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BBCB0" w14:textId="77777777" w:rsidR="00013E21" w:rsidRPr="00013E21" w:rsidRDefault="00013E21" w:rsidP="003226B0">
      <w:pPr>
        <w:rPr>
          <w:b/>
          <w:bCs/>
          <w:snapToGrid w:val="0"/>
          <w:sz w:val="24"/>
        </w:rPr>
      </w:pPr>
      <w:r w:rsidRPr="00013E21">
        <w:rPr>
          <w:b/>
          <w:bCs/>
          <w:snapToGrid w:val="0"/>
          <w:sz w:val="24"/>
        </w:rPr>
        <w:t xml:space="preserve">Jakub </w:t>
      </w:r>
      <w:proofErr w:type="spellStart"/>
      <w:r w:rsidRPr="00013E21">
        <w:rPr>
          <w:b/>
          <w:bCs/>
          <w:snapToGrid w:val="0"/>
          <w:sz w:val="24"/>
        </w:rPr>
        <w:t>Hoňka</w:t>
      </w:r>
      <w:proofErr w:type="spellEnd"/>
      <w:r w:rsidRPr="00013E21">
        <w:rPr>
          <w:b/>
          <w:bCs/>
          <w:snapToGrid w:val="0"/>
          <w:sz w:val="24"/>
        </w:rPr>
        <w:t xml:space="preserve">: Výcvik československých paravýsadků ve Velké Británii za druhé světové války. </w:t>
      </w:r>
    </w:p>
    <w:p w14:paraId="62628147" w14:textId="77777777" w:rsidR="001A7C8F" w:rsidRDefault="001A7C8F" w:rsidP="003226B0">
      <w:pPr>
        <w:rPr>
          <w:snapToGrid w:val="0"/>
          <w:sz w:val="24"/>
        </w:rPr>
      </w:pPr>
      <w:r>
        <w:rPr>
          <w:snapToGrid w:val="0"/>
          <w:sz w:val="24"/>
        </w:rPr>
        <w:t xml:space="preserve">Bakalářská práce. </w:t>
      </w:r>
      <w:r w:rsidR="003F36EE">
        <w:rPr>
          <w:snapToGrid w:val="0"/>
          <w:sz w:val="24"/>
        </w:rPr>
        <w:t>Ústav</w:t>
      </w:r>
      <w:r>
        <w:rPr>
          <w:snapToGrid w:val="0"/>
          <w:sz w:val="24"/>
        </w:rPr>
        <w:t xml:space="preserve"> historických věd </w:t>
      </w:r>
      <w:r w:rsidR="00464E35">
        <w:rPr>
          <w:snapToGrid w:val="0"/>
          <w:sz w:val="24"/>
        </w:rPr>
        <w:t>Filosofické f</w:t>
      </w:r>
      <w:r>
        <w:rPr>
          <w:snapToGrid w:val="0"/>
          <w:sz w:val="24"/>
        </w:rPr>
        <w:t>akulty University Pardubice, Pardubice 20</w:t>
      </w:r>
      <w:r w:rsidR="00F54094">
        <w:rPr>
          <w:snapToGrid w:val="0"/>
          <w:sz w:val="24"/>
        </w:rPr>
        <w:t>2</w:t>
      </w:r>
      <w:r w:rsidR="00013E21">
        <w:rPr>
          <w:snapToGrid w:val="0"/>
          <w:sz w:val="24"/>
        </w:rPr>
        <w:t>4</w:t>
      </w:r>
      <w:r>
        <w:rPr>
          <w:snapToGrid w:val="0"/>
          <w:sz w:val="24"/>
        </w:rPr>
        <w:t>.</w:t>
      </w:r>
    </w:p>
    <w:p w14:paraId="78067CB9" w14:textId="77777777" w:rsidR="001A7C8F" w:rsidRDefault="001A7C8F" w:rsidP="003226B0">
      <w:pPr>
        <w:rPr>
          <w:snapToGrid w:val="0"/>
          <w:sz w:val="24"/>
        </w:rPr>
      </w:pPr>
      <w:r>
        <w:rPr>
          <w:snapToGrid w:val="0"/>
          <w:sz w:val="24"/>
        </w:rPr>
        <w:t xml:space="preserve">Oponentský posudek </w:t>
      </w:r>
    </w:p>
    <w:p w14:paraId="2BEBAFAF" w14:textId="77777777" w:rsidR="001A7C8F" w:rsidRDefault="001A7C8F" w:rsidP="003226B0">
      <w:pPr>
        <w:rPr>
          <w:snapToGrid w:val="0"/>
          <w:sz w:val="24"/>
        </w:rPr>
      </w:pPr>
    </w:p>
    <w:p w14:paraId="4D46FCE5" w14:textId="77777777" w:rsidR="00013E21" w:rsidRPr="00013E21" w:rsidRDefault="00013E21" w:rsidP="003226B0">
      <w:pPr>
        <w:jc w:val="both"/>
        <w:rPr>
          <w:bCs/>
          <w:snapToGrid w:val="0"/>
          <w:sz w:val="24"/>
        </w:rPr>
      </w:pPr>
      <w:r w:rsidRPr="00013E21">
        <w:rPr>
          <w:bCs/>
          <w:snapToGrid w:val="0"/>
          <w:sz w:val="24"/>
        </w:rPr>
        <w:tab/>
        <w:t>Předložená práce je aktuální zejména vzhledem k tomu, že daná otázka, tedy výcvik výsadkářů v Británii, dosud nebyla podrobněji sledována.</w:t>
      </w:r>
    </w:p>
    <w:p w14:paraId="12F60F9E" w14:textId="08A3D02A" w:rsidR="002C51EF" w:rsidRPr="002C51EF" w:rsidRDefault="002C51EF" w:rsidP="003226B0">
      <w:pPr>
        <w:ind w:firstLine="720"/>
        <w:jc w:val="both"/>
        <w:rPr>
          <w:bCs/>
          <w:snapToGrid w:val="0"/>
          <w:sz w:val="24"/>
        </w:rPr>
      </w:pPr>
      <w:r w:rsidRPr="002C51EF">
        <w:rPr>
          <w:bCs/>
          <w:snapToGrid w:val="0"/>
          <w:sz w:val="24"/>
        </w:rPr>
        <w:t xml:space="preserve">V úvodu autor stanovil cíl práce a zhodnotil použitou literaturu a archivní prameny. </w:t>
      </w:r>
      <w:r>
        <w:rPr>
          <w:bCs/>
          <w:snapToGrid w:val="0"/>
          <w:sz w:val="24"/>
        </w:rPr>
        <w:t>První kapitola se zabývá předhistorií, tedy cestou čs. příslušníků z okupované vlasti do zahra</w:t>
      </w:r>
      <w:r w:rsidR="003226B0">
        <w:rPr>
          <w:bCs/>
          <w:snapToGrid w:val="0"/>
          <w:sz w:val="24"/>
        </w:rPr>
        <w:softHyphen/>
      </w:r>
      <w:r>
        <w:rPr>
          <w:bCs/>
          <w:snapToGrid w:val="0"/>
          <w:sz w:val="24"/>
        </w:rPr>
        <w:t>ničního odboje</w:t>
      </w:r>
      <w:r w:rsidR="00B46700">
        <w:rPr>
          <w:bCs/>
          <w:snapToGrid w:val="0"/>
          <w:sz w:val="24"/>
        </w:rPr>
        <w:t xml:space="preserve">, druhá </w:t>
      </w:r>
      <w:r w:rsidR="00FE799E">
        <w:rPr>
          <w:bCs/>
          <w:snapToGrid w:val="0"/>
          <w:sz w:val="24"/>
        </w:rPr>
        <w:t xml:space="preserve">na základě odborné literatury </w:t>
      </w:r>
      <w:r w:rsidR="00B46700">
        <w:rPr>
          <w:bCs/>
          <w:snapToGrid w:val="0"/>
          <w:sz w:val="24"/>
        </w:rPr>
        <w:t xml:space="preserve">přestavuje organizační základnu přípravy výsadkářů v Británii, příslušné orgány a výběr dobrovolníků. </w:t>
      </w:r>
      <w:r w:rsidR="005775F0">
        <w:rPr>
          <w:bCs/>
          <w:snapToGrid w:val="0"/>
          <w:sz w:val="24"/>
        </w:rPr>
        <w:t>Další část je věnována výcviko</w:t>
      </w:r>
      <w:r w:rsidR="003226B0">
        <w:rPr>
          <w:bCs/>
          <w:snapToGrid w:val="0"/>
          <w:sz w:val="24"/>
        </w:rPr>
        <w:softHyphen/>
      </w:r>
      <w:r w:rsidR="005775F0">
        <w:rPr>
          <w:bCs/>
          <w:snapToGrid w:val="0"/>
          <w:sz w:val="24"/>
        </w:rPr>
        <w:t>vým základnám a činnostem, jež zajišťovaly. Na s. 36 je mylné tvrzení, že Singapur se na</w:t>
      </w:r>
      <w:r w:rsidR="003226B0">
        <w:rPr>
          <w:bCs/>
          <w:snapToGrid w:val="0"/>
          <w:sz w:val="24"/>
        </w:rPr>
        <w:softHyphen/>
      </w:r>
      <w:r w:rsidR="005775F0">
        <w:rPr>
          <w:bCs/>
          <w:snapToGrid w:val="0"/>
          <w:sz w:val="24"/>
        </w:rPr>
        <w:t xml:space="preserve">chází v Indii. </w:t>
      </w:r>
      <w:r w:rsidR="00DF4FC8">
        <w:rPr>
          <w:bCs/>
          <w:snapToGrid w:val="0"/>
          <w:sz w:val="24"/>
        </w:rPr>
        <w:t>Je tu pop</w:t>
      </w:r>
      <w:r w:rsidR="00B16987">
        <w:rPr>
          <w:bCs/>
          <w:snapToGrid w:val="0"/>
          <w:sz w:val="24"/>
        </w:rPr>
        <w:t>s</w:t>
      </w:r>
      <w:r w:rsidR="00DF4FC8">
        <w:rPr>
          <w:bCs/>
          <w:snapToGrid w:val="0"/>
          <w:sz w:val="24"/>
        </w:rPr>
        <w:t>án denní režim</w:t>
      </w:r>
      <w:r w:rsidR="00E3737E">
        <w:rPr>
          <w:bCs/>
          <w:snapToGrid w:val="0"/>
          <w:sz w:val="24"/>
        </w:rPr>
        <w:t>, uvedeni nejvýznamnější instruktoři se stručnými živo</w:t>
      </w:r>
      <w:r w:rsidR="003226B0">
        <w:rPr>
          <w:bCs/>
          <w:snapToGrid w:val="0"/>
          <w:sz w:val="24"/>
        </w:rPr>
        <w:softHyphen/>
      </w:r>
      <w:r w:rsidR="00E3737E">
        <w:rPr>
          <w:bCs/>
          <w:snapToGrid w:val="0"/>
          <w:sz w:val="24"/>
        </w:rPr>
        <w:t>topisy. Výcvik samotný</w:t>
      </w:r>
      <w:r w:rsidR="00CB69E9">
        <w:rPr>
          <w:bCs/>
          <w:snapToGrid w:val="0"/>
          <w:sz w:val="24"/>
        </w:rPr>
        <w:t xml:space="preserve">, týkající se mnoha potřebných oborů, </w:t>
      </w:r>
      <w:r w:rsidR="00E3737E">
        <w:rPr>
          <w:bCs/>
          <w:snapToGrid w:val="0"/>
          <w:sz w:val="24"/>
        </w:rPr>
        <w:t>je předmětem čtvrté kapitoly</w:t>
      </w:r>
      <w:r w:rsidR="00740959">
        <w:rPr>
          <w:bCs/>
          <w:snapToGrid w:val="0"/>
          <w:sz w:val="24"/>
        </w:rPr>
        <w:t>.</w:t>
      </w:r>
      <w:r w:rsidR="003226B0">
        <w:rPr>
          <w:bCs/>
          <w:snapToGrid w:val="0"/>
          <w:sz w:val="24"/>
        </w:rPr>
        <w:t xml:space="preserve"> Ta je zpracována velmi podrobně a přehledně</w:t>
      </w:r>
      <w:r w:rsidR="00740959">
        <w:rPr>
          <w:bCs/>
          <w:snapToGrid w:val="0"/>
          <w:sz w:val="24"/>
        </w:rPr>
        <w:t xml:space="preserve"> Které místo má autor na mysli vyjádřením „</w:t>
      </w:r>
      <w:r w:rsidR="00740959" w:rsidRPr="003226B0">
        <w:rPr>
          <w:bCs/>
          <w:i/>
          <w:iCs/>
          <w:snapToGrid w:val="0"/>
          <w:sz w:val="24"/>
        </w:rPr>
        <w:t>v okolí Skotska</w:t>
      </w:r>
      <w:r w:rsidR="00740959">
        <w:rPr>
          <w:bCs/>
          <w:snapToGrid w:val="0"/>
          <w:sz w:val="24"/>
        </w:rPr>
        <w:t>“ (s. 44)? Výklad je zde doplněn fotografiemi z výcviku, u nichž ale chybí uve</w:t>
      </w:r>
      <w:r w:rsidR="003226B0">
        <w:rPr>
          <w:bCs/>
          <w:snapToGrid w:val="0"/>
          <w:sz w:val="24"/>
        </w:rPr>
        <w:softHyphen/>
      </w:r>
      <w:r w:rsidR="00740959">
        <w:rPr>
          <w:bCs/>
          <w:snapToGrid w:val="0"/>
          <w:sz w:val="24"/>
        </w:rPr>
        <w:t>dení zdroje</w:t>
      </w:r>
      <w:r w:rsidR="003226B0">
        <w:rPr>
          <w:bCs/>
          <w:snapToGrid w:val="0"/>
          <w:sz w:val="24"/>
        </w:rPr>
        <w:t xml:space="preserve"> (nachází se v úvodu, ale v textu by mělo být také)</w:t>
      </w:r>
      <w:r w:rsidR="00740959">
        <w:rPr>
          <w:bCs/>
          <w:snapToGrid w:val="0"/>
          <w:sz w:val="24"/>
        </w:rPr>
        <w:t xml:space="preserve">. </w:t>
      </w:r>
      <w:r w:rsidR="00B1615E">
        <w:rPr>
          <w:bCs/>
          <w:snapToGrid w:val="0"/>
          <w:sz w:val="24"/>
        </w:rPr>
        <w:t>Na s. 55-56 je nejasnost v da</w:t>
      </w:r>
      <w:r w:rsidR="003226B0">
        <w:rPr>
          <w:bCs/>
          <w:snapToGrid w:val="0"/>
          <w:sz w:val="24"/>
        </w:rPr>
        <w:softHyphen/>
      </w:r>
      <w:r w:rsidR="00B1615E">
        <w:rPr>
          <w:bCs/>
          <w:snapToGrid w:val="0"/>
          <w:sz w:val="24"/>
        </w:rPr>
        <w:t xml:space="preserve">tech – Karel Čurda se na gestapu přihlásil až 16. června 1942. </w:t>
      </w:r>
      <w:r w:rsidR="0085742F">
        <w:rPr>
          <w:bCs/>
          <w:snapToGrid w:val="0"/>
          <w:sz w:val="24"/>
        </w:rPr>
        <w:t>Jistý epilog představuje kapi</w:t>
      </w:r>
      <w:r w:rsidR="003226B0">
        <w:rPr>
          <w:bCs/>
          <w:snapToGrid w:val="0"/>
          <w:sz w:val="24"/>
        </w:rPr>
        <w:softHyphen/>
      </w:r>
      <w:r w:rsidR="0085742F">
        <w:rPr>
          <w:bCs/>
          <w:snapToGrid w:val="0"/>
          <w:sz w:val="24"/>
        </w:rPr>
        <w:t xml:space="preserve">tola </w:t>
      </w:r>
      <w:r w:rsidR="0085742F" w:rsidRPr="003226B0">
        <w:rPr>
          <w:bCs/>
          <w:i/>
          <w:iCs/>
          <w:snapToGrid w:val="0"/>
          <w:sz w:val="24"/>
        </w:rPr>
        <w:t>Realita výsadků</w:t>
      </w:r>
      <w:r w:rsidR="00394E58">
        <w:rPr>
          <w:bCs/>
          <w:snapToGrid w:val="0"/>
          <w:sz w:val="24"/>
        </w:rPr>
        <w:t xml:space="preserve">, </w:t>
      </w:r>
      <w:r w:rsidR="0085742F">
        <w:rPr>
          <w:bCs/>
          <w:snapToGrid w:val="0"/>
          <w:sz w:val="24"/>
        </w:rPr>
        <w:t xml:space="preserve">v níž autor </w:t>
      </w:r>
      <w:r w:rsidR="00394E58">
        <w:rPr>
          <w:bCs/>
          <w:snapToGrid w:val="0"/>
          <w:sz w:val="24"/>
        </w:rPr>
        <w:t>již jen přehledově uvádí potíže, s nimiž se výsadky setkávaly při dopravě na cílovou oblast a pak v samotném protektorátu. Nesprávné je vyjádření, že „</w:t>
      </w:r>
      <w:r w:rsidR="00394E58" w:rsidRPr="00394E58">
        <w:rPr>
          <w:bCs/>
          <w:i/>
          <w:iCs/>
          <w:snapToGrid w:val="0"/>
          <w:sz w:val="24"/>
        </w:rPr>
        <w:t>Gestapo mělo ve svých řadách taktéž množství konfidentů</w:t>
      </w:r>
      <w:r w:rsidR="00394E58">
        <w:rPr>
          <w:bCs/>
          <w:snapToGrid w:val="0"/>
          <w:sz w:val="24"/>
        </w:rPr>
        <w:t>“ (s. 73). Konfidenti totiž v na</w:t>
      </w:r>
      <w:r w:rsidR="003226B0">
        <w:rPr>
          <w:bCs/>
          <w:snapToGrid w:val="0"/>
          <w:sz w:val="24"/>
        </w:rPr>
        <w:softHyphen/>
      </w:r>
      <w:r w:rsidR="00394E58">
        <w:rPr>
          <w:bCs/>
          <w:snapToGrid w:val="0"/>
          <w:sz w:val="24"/>
        </w:rPr>
        <w:t xml:space="preserve">prosté většině nebyli příslušníky Gestapa, ale jeho spolupracovníky z civilního prostředí. </w:t>
      </w:r>
      <w:r w:rsidR="00C27627">
        <w:rPr>
          <w:bCs/>
          <w:snapToGrid w:val="0"/>
          <w:sz w:val="24"/>
        </w:rPr>
        <w:t>Po</w:t>
      </w:r>
      <w:r w:rsidR="003226B0">
        <w:rPr>
          <w:bCs/>
          <w:snapToGrid w:val="0"/>
          <w:sz w:val="24"/>
        </w:rPr>
        <w:softHyphen/>
      </w:r>
      <w:r w:rsidR="00C27627">
        <w:rPr>
          <w:bCs/>
          <w:snapToGrid w:val="0"/>
          <w:sz w:val="24"/>
        </w:rPr>
        <w:t>dobně výraz, že se „</w:t>
      </w:r>
      <w:r w:rsidR="00C27627" w:rsidRPr="00C27627">
        <w:rPr>
          <w:bCs/>
          <w:i/>
          <w:iCs/>
          <w:snapToGrid w:val="0"/>
          <w:sz w:val="24"/>
        </w:rPr>
        <w:t>parašutisté stali štváči</w:t>
      </w:r>
      <w:r w:rsidR="00C27627">
        <w:rPr>
          <w:bCs/>
          <w:snapToGrid w:val="0"/>
          <w:sz w:val="24"/>
        </w:rPr>
        <w:t xml:space="preserve">“ (s. 74), je naprosto převrácený – správně by mělo být „štvanci“. </w:t>
      </w:r>
      <w:r w:rsidR="003226B0">
        <w:rPr>
          <w:bCs/>
          <w:snapToGrid w:val="0"/>
          <w:sz w:val="24"/>
        </w:rPr>
        <w:t xml:space="preserve">Práci uzavírá shrnující závěr. </w:t>
      </w:r>
    </w:p>
    <w:p w14:paraId="04C1DFB7" w14:textId="7BD15592" w:rsidR="00013E21" w:rsidRPr="003226B0" w:rsidRDefault="003226B0" w:rsidP="003226B0">
      <w:pPr>
        <w:jc w:val="both"/>
        <w:rPr>
          <w:bCs/>
          <w:snapToGrid w:val="0"/>
          <w:sz w:val="24"/>
        </w:rPr>
      </w:pPr>
      <w:r w:rsidRPr="003226B0">
        <w:rPr>
          <w:bCs/>
          <w:snapToGrid w:val="0"/>
          <w:sz w:val="24"/>
        </w:rPr>
        <w:tab/>
        <w:t xml:space="preserve">Práce je vystavěna logicky, kapitoly na sebe navzájem dobře navazují. </w:t>
      </w:r>
      <w:r>
        <w:rPr>
          <w:bCs/>
          <w:snapToGrid w:val="0"/>
          <w:sz w:val="24"/>
        </w:rPr>
        <w:t>Hlavním zdro</w:t>
      </w:r>
      <w:r>
        <w:rPr>
          <w:bCs/>
          <w:snapToGrid w:val="0"/>
          <w:sz w:val="24"/>
        </w:rPr>
        <w:softHyphen/>
        <w:t xml:space="preserve">jem se stala odborná literatura, v menší míře archivní prameny. Je nesporné, že se autorovi podařilo stanovené téma z obsahového hlediska zpracovat a představit dobře. </w:t>
      </w:r>
      <w:r w:rsidR="00013E21" w:rsidRPr="003226B0">
        <w:rPr>
          <w:bCs/>
          <w:snapToGrid w:val="0"/>
          <w:sz w:val="24"/>
        </w:rPr>
        <w:tab/>
      </w:r>
    </w:p>
    <w:p w14:paraId="4D7CBC0F" w14:textId="1DEA1C24" w:rsidR="005C7DB4" w:rsidRPr="003226B0" w:rsidRDefault="0080782A" w:rsidP="003226B0">
      <w:pPr>
        <w:ind w:firstLine="720"/>
        <w:jc w:val="both"/>
        <w:rPr>
          <w:b/>
          <w:snapToGrid w:val="0"/>
          <w:sz w:val="24"/>
        </w:rPr>
      </w:pPr>
      <w:r w:rsidRPr="003226B0">
        <w:rPr>
          <w:bCs/>
          <w:snapToGrid w:val="0"/>
          <w:sz w:val="24"/>
        </w:rPr>
        <w:t>Formální náležitosti práce</w:t>
      </w:r>
      <w:r w:rsidR="003226B0" w:rsidRPr="003226B0">
        <w:rPr>
          <w:bCs/>
          <w:snapToGrid w:val="0"/>
          <w:sz w:val="24"/>
        </w:rPr>
        <w:t xml:space="preserve"> bohužel vykazují určité nedostatky. Poznámkový aparát není zpracován jednotně</w:t>
      </w:r>
      <w:r w:rsidR="003226B0">
        <w:rPr>
          <w:bCs/>
          <w:snapToGrid w:val="0"/>
          <w:sz w:val="24"/>
        </w:rPr>
        <w:t xml:space="preserve"> a neprošel závěrečnou úpravou</w:t>
      </w:r>
      <w:r w:rsidR="003226B0" w:rsidRPr="003226B0">
        <w:rPr>
          <w:bCs/>
          <w:snapToGrid w:val="0"/>
          <w:sz w:val="24"/>
        </w:rPr>
        <w:t xml:space="preserve">. </w:t>
      </w:r>
      <w:r w:rsidR="0070486D">
        <w:rPr>
          <w:bCs/>
          <w:snapToGrid w:val="0"/>
          <w:sz w:val="24"/>
        </w:rPr>
        <w:t xml:space="preserve">Jaká je návaznost poznámky 118 na předchozí? </w:t>
      </w:r>
      <w:r w:rsidR="00135FC5">
        <w:rPr>
          <w:bCs/>
          <w:snapToGrid w:val="0"/>
          <w:sz w:val="24"/>
        </w:rPr>
        <w:t>Na co odkazuje pozn. 143?</w:t>
      </w:r>
      <w:r w:rsidR="0003783E">
        <w:rPr>
          <w:bCs/>
          <w:snapToGrid w:val="0"/>
          <w:sz w:val="24"/>
        </w:rPr>
        <w:t xml:space="preserve"> </w:t>
      </w:r>
      <w:r w:rsidR="00394E58">
        <w:rPr>
          <w:bCs/>
          <w:snapToGrid w:val="0"/>
          <w:sz w:val="24"/>
        </w:rPr>
        <w:t xml:space="preserve">Na co pozn. 153? </w:t>
      </w:r>
      <w:r w:rsidR="0070486D">
        <w:rPr>
          <w:bCs/>
          <w:snapToGrid w:val="0"/>
          <w:sz w:val="24"/>
        </w:rPr>
        <w:t xml:space="preserve">Číselné odkazy v textu mají být až za interpunkčním znaménkem. </w:t>
      </w:r>
    </w:p>
    <w:p w14:paraId="2DC2E699" w14:textId="3AB0D7B4" w:rsidR="005B21E2" w:rsidRDefault="005B21E2" w:rsidP="003226B0">
      <w:pPr>
        <w:jc w:val="both"/>
        <w:rPr>
          <w:bCs/>
          <w:snapToGrid w:val="0"/>
          <w:sz w:val="24"/>
        </w:rPr>
      </w:pPr>
      <w:r w:rsidRPr="005B21E2">
        <w:rPr>
          <w:bCs/>
          <w:snapToGrid w:val="0"/>
          <w:sz w:val="24"/>
        </w:rPr>
        <w:tab/>
      </w:r>
      <w:r w:rsidR="00E9351A">
        <w:rPr>
          <w:bCs/>
          <w:snapToGrid w:val="0"/>
          <w:sz w:val="24"/>
        </w:rPr>
        <w:t>Bohužel jazyková úroveň práce je velmi průměrná, autor si v tomto ohledu často nevě</w:t>
      </w:r>
      <w:r w:rsidR="003226B0">
        <w:rPr>
          <w:bCs/>
          <w:snapToGrid w:val="0"/>
          <w:sz w:val="24"/>
        </w:rPr>
        <w:softHyphen/>
      </w:r>
      <w:r w:rsidR="00E9351A">
        <w:rPr>
          <w:bCs/>
          <w:snapToGrid w:val="0"/>
          <w:sz w:val="24"/>
        </w:rPr>
        <w:t>děl rady a zřejmě pominul závěrečnou korekturu. V práci tak najdeme mnoho c</w:t>
      </w:r>
      <w:r w:rsidRPr="005B21E2">
        <w:rPr>
          <w:bCs/>
          <w:snapToGrid w:val="0"/>
          <w:sz w:val="24"/>
        </w:rPr>
        <w:t>hyb v p</w:t>
      </w:r>
      <w:r w:rsidR="0090199E">
        <w:rPr>
          <w:bCs/>
          <w:snapToGrid w:val="0"/>
          <w:sz w:val="24"/>
        </w:rPr>
        <w:t>s</w:t>
      </w:r>
      <w:r w:rsidRPr="005B21E2">
        <w:rPr>
          <w:bCs/>
          <w:snapToGrid w:val="0"/>
          <w:sz w:val="24"/>
        </w:rPr>
        <w:t xml:space="preserve">aní velkých písmen </w:t>
      </w:r>
      <w:r w:rsidR="00E9351A">
        <w:rPr>
          <w:bCs/>
          <w:snapToGrid w:val="0"/>
          <w:sz w:val="24"/>
        </w:rPr>
        <w:t>(</w:t>
      </w:r>
      <w:r w:rsidRPr="005B21E2">
        <w:rPr>
          <w:bCs/>
          <w:snapToGrid w:val="0"/>
          <w:sz w:val="24"/>
        </w:rPr>
        <w:t>hned v</w:t>
      </w:r>
      <w:r w:rsidR="0090199E">
        <w:rPr>
          <w:bCs/>
          <w:snapToGrid w:val="0"/>
          <w:sz w:val="24"/>
        </w:rPr>
        <w:t> </w:t>
      </w:r>
      <w:r w:rsidRPr="005B21E2">
        <w:rPr>
          <w:bCs/>
          <w:snapToGrid w:val="0"/>
          <w:sz w:val="24"/>
        </w:rPr>
        <w:t>obsahu</w:t>
      </w:r>
      <w:r w:rsidR="0090199E">
        <w:rPr>
          <w:bCs/>
          <w:snapToGrid w:val="0"/>
          <w:sz w:val="24"/>
        </w:rPr>
        <w:t xml:space="preserve"> a dále</w:t>
      </w:r>
      <w:r w:rsidR="00E9351A">
        <w:rPr>
          <w:bCs/>
          <w:snapToGrid w:val="0"/>
          <w:sz w:val="24"/>
        </w:rPr>
        <w:t>)</w:t>
      </w:r>
      <w:r w:rsidR="0090199E">
        <w:rPr>
          <w:bCs/>
          <w:snapToGrid w:val="0"/>
          <w:sz w:val="24"/>
        </w:rPr>
        <w:t>, hrub</w:t>
      </w:r>
      <w:r w:rsidR="00E9351A">
        <w:rPr>
          <w:bCs/>
          <w:snapToGrid w:val="0"/>
          <w:sz w:val="24"/>
        </w:rPr>
        <w:t>é pravopisné chyby</w:t>
      </w:r>
      <w:r w:rsidR="0090199E">
        <w:rPr>
          <w:bCs/>
          <w:snapToGrid w:val="0"/>
          <w:sz w:val="24"/>
        </w:rPr>
        <w:t xml:space="preserve"> (s. 17,</w:t>
      </w:r>
      <w:r w:rsidR="00D87CA7">
        <w:rPr>
          <w:bCs/>
          <w:snapToGrid w:val="0"/>
          <w:sz w:val="24"/>
        </w:rPr>
        <w:t xml:space="preserve"> 19,</w:t>
      </w:r>
      <w:r w:rsidR="00B46700">
        <w:rPr>
          <w:bCs/>
          <w:snapToGrid w:val="0"/>
          <w:sz w:val="24"/>
        </w:rPr>
        <w:t xml:space="preserve"> 32,</w:t>
      </w:r>
      <w:r w:rsidR="0090199E">
        <w:rPr>
          <w:bCs/>
          <w:snapToGrid w:val="0"/>
          <w:sz w:val="24"/>
        </w:rPr>
        <w:t xml:space="preserve"> </w:t>
      </w:r>
      <w:r w:rsidR="00F21AA5">
        <w:rPr>
          <w:bCs/>
          <w:snapToGrid w:val="0"/>
          <w:sz w:val="24"/>
        </w:rPr>
        <w:t>64</w:t>
      </w:r>
      <w:r w:rsidR="00540FFF">
        <w:rPr>
          <w:bCs/>
          <w:snapToGrid w:val="0"/>
          <w:sz w:val="24"/>
        </w:rPr>
        <w:t xml:space="preserve"> – </w:t>
      </w:r>
      <w:r w:rsidR="00E9351A">
        <w:rPr>
          <w:bCs/>
          <w:snapToGrid w:val="0"/>
          <w:sz w:val="24"/>
        </w:rPr>
        <w:t xml:space="preserve">hned </w:t>
      </w:r>
      <w:r w:rsidR="00540FFF">
        <w:rPr>
          <w:bCs/>
          <w:snapToGrid w:val="0"/>
          <w:sz w:val="24"/>
        </w:rPr>
        <w:t>4 x !!!,</w:t>
      </w:r>
      <w:r w:rsidR="00FA6CDC">
        <w:rPr>
          <w:bCs/>
          <w:snapToGrid w:val="0"/>
          <w:sz w:val="24"/>
        </w:rPr>
        <w:t xml:space="preserve"> 67</w:t>
      </w:r>
      <w:r w:rsidR="00E9351A">
        <w:rPr>
          <w:bCs/>
          <w:snapToGrid w:val="0"/>
          <w:sz w:val="24"/>
        </w:rPr>
        <w:t>)</w:t>
      </w:r>
      <w:r w:rsidR="00FA6CDC">
        <w:rPr>
          <w:bCs/>
          <w:snapToGrid w:val="0"/>
          <w:sz w:val="24"/>
        </w:rPr>
        <w:t xml:space="preserve">, </w:t>
      </w:r>
      <w:r w:rsidR="00E9351A">
        <w:rPr>
          <w:bCs/>
          <w:snapToGrid w:val="0"/>
          <w:sz w:val="24"/>
        </w:rPr>
        <w:t xml:space="preserve">četné nedostatky v </w:t>
      </w:r>
      <w:r w:rsidR="002B55FD">
        <w:rPr>
          <w:bCs/>
          <w:snapToGrid w:val="0"/>
          <w:sz w:val="24"/>
        </w:rPr>
        <w:t>interpunkc</w:t>
      </w:r>
      <w:r w:rsidR="00E9351A">
        <w:rPr>
          <w:bCs/>
          <w:snapToGrid w:val="0"/>
          <w:sz w:val="24"/>
        </w:rPr>
        <w:t>i</w:t>
      </w:r>
      <w:r w:rsidR="002B55FD">
        <w:rPr>
          <w:bCs/>
          <w:snapToGrid w:val="0"/>
          <w:sz w:val="24"/>
        </w:rPr>
        <w:t xml:space="preserve">, </w:t>
      </w:r>
      <w:r w:rsidR="0085742F">
        <w:rPr>
          <w:bCs/>
          <w:snapToGrid w:val="0"/>
          <w:sz w:val="24"/>
        </w:rPr>
        <w:t>vychýlení z</w:t>
      </w:r>
      <w:r w:rsidR="00E9351A">
        <w:rPr>
          <w:bCs/>
          <w:snapToGrid w:val="0"/>
          <w:sz w:val="24"/>
        </w:rPr>
        <w:t> </w:t>
      </w:r>
      <w:r w:rsidR="0085742F">
        <w:rPr>
          <w:bCs/>
          <w:snapToGrid w:val="0"/>
          <w:sz w:val="24"/>
        </w:rPr>
        <w:t>vazby</w:t>
      </w:r>
      <w:r w:rsidR="00E9351A">
        <w:rPr>
          <w:bCs/>
          <w:snapToGrid w:val="0"/>
          <w:sz w:val="24"/>
        </w:rPr>
        <w:t xml:space="preserve"> (např. „</w:t>
      </w:r>
      <w:r w:rsidR="00E9351A" w:rsidRPr="00E9351A">
        <w:rPr>
          <w:bCs/>
          <w:i/>
          <w:iCs/>
          <w:snapToGrid w:val="0"/>
          <w:sz w:val="24"/>
        </w:rPr>
        <w:t>věnovat pozornost na formu spolupráce</w:t>
      </w:r>
      <w:r w:rsidR="00E9351A">
        <w:rPr>
          <w:bCs/>
          <w:i/>
          <w:iCs/>
          <w:snapToGrid w:val="0"/>
          <w:sz w:val="24"/>
        </w:rPr>
        <w:t>“</w:t>
      </w:r>
      <w:r w:rsidR="00E9351A">
        <w:rPr>
          <w:bCs/>
          <w:snapToGrid w:val="0"/>
          <w:sz w:val="24"/>
        </w:rPr>
        <w:t xml:space="preserve"> – s. 78)</w:t>
      </w:r>
      <w:r w:rsidR="0085742F">
        <w:rPr>
          <w:bCs/>
          <w:snapToGrid w:val="0"/>
          <w:sz w:val="24"/>
        </w:rPr>
        <w:t xml:space="preserve">, </w:t>
      </w:r>
      <w:r w:rsidR="00E9351A">
        <w:rPr>
          <w:bCs/>
          <w:snapToGrid w:val="0"/>
          <w:sz w:val="24"/>
        </w:rPr>
        <w:t>časté</w:t>
      </w:r>
      <w:r w:rsidR="002B55FD">
        <w:rPr>
          <w:bCs/>
          <w:snapToGrid w:val="0"/>
          <w:sz w:val="24"/>
        </w:rPr>
        <w:t xml:space="preserve"> slohové výkyvy</w:t>
      </w:r>
      <w:r w:rsidR="00E9351A">
        <w:rPr>
          <w:bCs/>
          <w:snapToGrid w:val="0"/>
          <w:sz w:val="24"/>
        </w:rPr>
        <w:t>.</w:t>
      </w:r>
      <w:r w:rsidR="00540FFF">
        <w:rPr>
          <w:bCs/>
          <w:snapToGrid w:val="0"/>
          <w:sz w:val="24"/>
        </w:rPr>
        <w:t xml:space="preserve"> Věty na začátku kap. 4.3.1. nedávají smysl</w:t>
      </w:r>
      <w:r w:rsidR="00C27627">
        <w:rPr>
          <w:bCs/>
          <w:snapToGrid w:val="0"/>
          <w:sz w:val="24"/>
        </w:rPr>
        <w:t xml:space="preserve">, podobně začátek druhého odstavce na s. 76. </w:t>
      </w:r>
    </w:p>
    <w:p w14:paraId="305E539D" w14:textId="77777777" w:rsidR="003226B0" w:rsidRPr="005B21E2" w:rsidRDefault="003226B0" w:rsidP="003226B0">
      <w:pPr>
        <w:rPr>
          <w:bCs/>
          <w:snapToGrid w:val="0"/>
          <w:sz w:val="24"/>
        </w:rPr>
      </w:pPr>
    </w:p>
    <w:p w14:paraId="5948F899" w14:textId="4F9F8C33" w:rsidR="00780D95" w:rsidRDefault="003226B0" w:rsidP="003226B0">
      <w:pPr>
        <w:rPr>
          <w:b/>
          <w:snapToGrid w:val="0"/>
          <w:sz w:val="24"/>
        </w:rPr>
      </w:pPr>
      <w:r w:rsidRPr="003226B0">
        <w:rPr>
          <w:bCs/>
          <w:snapToGrid w:val="0"/>
          <w:sz w:val="24"/>
        </w:rPr>
        <w:tab/>
        <w:t xml:space="preserve">Domnívám se, že Jakub </w:t>
      </w:r>
      <w:proofErr w:type="spellStart"/>
      <w:r w:rsidRPr="003226B0">
        <w:rPr>
          <w:bCs/>
          <w:snapToGrid w:val="0"/>
          <w:sz w:val="24"/>
        </w:rPr>
        <w:t>Hoňka</w:t>
      </w:r>
      <w:proofErr w:type="spellEnd"/>
      <w:r w:rsidRPr="003226B0">
        <w:rPr>
          <w:bCs/>
          <w:snapToGrid w:val="0"/>
          <w:sz w:val="24"/>
        </w:rPr>
        <w:t xml:space="preserve"> splnil cíl bakalářské práce, doporučuji ji k obhajobě, vzhledem k uvedeným nedostatkům navrhuji hodnocení</w:t>
      </w:r>
      <w:r>
        <w:rPr>
          <w:b/>
          <w:snapToGrid w:val="0"/>
          <w:sz w:val="24"/>
        </w:rPr>
        <w:t xml:space="preserve"> velmi dobře – C.</w:t>
      </w:r>
    </w:p>
    <w:p w14:paraId="5808D083" w14:textId="77777777" w:rsidR="003226B0" w:rsidRDefault="003226B0" w:rsidP="003226B0">
      <w:pPr>
        <w:rPr>
          <w:b/>
          <w:snapToGrid w:val="0"/>
          <w:sz w:val="24"/>
        </w:rPr>
      </w:pPr>
    </w:p>
    <w:p w14:paraId="3CF8EFCE" w14:textId="2F22B0A9" w:rsidR="003226B0" w:rsidRDefault="003226B0" w:rsidP="003226B0">
      <w:pPr>
        <w:rPr>
          <w:bCs/>
          <w:snapToGrid w:val="0"/>
          <w:sz w:val="24"/>
        </w:rPr>
      </w:pPr>
      <w:r w:rsidRPr="003226B0">
        <w:rPr>
          <w:bCs/>
          <w:snapToGrid w:val="0"/>
          <w:sz w:val="24"/>
        </w:rPr>
        <w:t>15. května 2024</w:t>
      </w:r>
    </w:p>
    <w:p w14:paraId="0EB7B087" w14:textId="77777777" w:rsidR="003226B0" w:rsidRDefault="003226B0" w:rsidP="003226B0">
      <w:pPr>
        <w:rPr>
          <w:bCs/>
          <w:snapToGrid w:val="0"/>
          <w:sz w:val="24"/>
        </w:rPr>
      </w:pPr>
    </w:p>
    <w:p w14:paraId="1B678CF3" w14:textId="77777777" w:rsidR="003226B0" w:rsidRDefault="003226B0" w:rsidP="003226B0">
      <w:pPr>
        <w:rPr>
          <w:bCs/>
          <w:snapToGrid w:val="0"/>
          <w:sz w:val="24"/>
        </w:rPr>
      </w:pPr>
    </w:p>
    <w:p w14:paraId="5466680E" w14:textId="20318871" w:rsidR="003226B0" w:rsidRPr="003226B0" w:rsidRDefault="003226B0" w:rsidP="003226B0">
      <w:pPr>
        <w:ind w:left="3600" w:firstLine="720"/>
        <w:rPr>
          <w:bCs/>
          <w:snapToGrid w:val="0"/>
          <w:sz w:val="24"/>
        </w:rPr>
      </w:pPr>
      <w:r>
        <w:rPr>
          <w:bCs/>
          <w:snapToGrid w:val="0"/>
          <w:sz w:val="24"/>
        </w:rPr>
        <w:t xml:space="preserve">       doc. PhDr. Tomáš Jiránek, Ph.D.</w:t>
      </w:r>
    </w:p>
    <w:sectPr w:rsidR="003226B0" w:rsidRPr="003226B0" w:rsidSect="003226B0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Bookman Old Sty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13E21"/>
    <w:rsid w:val="0003783E"/>
    <w:rsid w:val="00135FC5"/>
    <w:rsid w:val="001A7C8F"/>
    <w:rsid w:val="002B55FD"/>
    <w:rsid w:val="002C51EF"/>
    <w:rsid w:val="003226B0"/>
    <w:rsid w:val="00394E58"/>
    <w:rsid w:val="003F36EE"/>
    <w:rsid w:val="00464E35"/>
    <w:rsid w:val="00497112"/>
    <w:rsid w:val="004C3651"/>
    <w:rsid w:val="00540FFF"/>
    <w:rsid w:val="00576DFC"/>
    <w:rsid w:val="005775F0"/>
    <w:rsid w:val="005B21E2"/>
    <w:rsid w:val="005C7DB4"/>
    <w:rsid w:val="0070486D"/>
    <w:rsid w:val="00740959"/>
    <w:rsid w:val="007537D1"/>
    <w:rsid w:val="00780D95"/>
    <w:rsid w:val="007D6E5A"/>
    <w:rsid w:val="0080782A"/>
    <w:rsid w:val="0085742F"/>
    <w:rsid w:val="0090199E"/>
    <w:rsid w:val="009B41C0"/>
    <w:rsid w:val="00A32419"/>
    <w:rsid w:val="00AF4456"/>
    <w:rsid w:val="00B1615E"/>
    <w:rsid w:val="00B16987"/>
    <w:rsid w:val="00B36BB6"/>
    <w:rsid w:val="00B46700"/>
    <w:rsid w:val="00BA61E6"/>
    <w:rsid w:val="00C27627"/>
    <w:rsid w:val="00CB69E9"/>
    <w:rsid w:val="00D65CB5"/>
    <w:rsid w:val="00D87CA7"/>
    <w:rsid w:val="00DF4FC8"/>
    <w:rsid w:val="00E3737E"/>
    <w:rsid w:val="00E9351A"/>
    <w:rsid w:val="00F21AA5"/>
    <w:rsid w:val="00F54094"/>
    <w:rsid w:val="00F94743"/>
    <w:rsid w:val="00FA6CDC"/>
    <w:rsid w:val="00FE7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D7540A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450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2009-12-15T08:26:00Z</cp:lastPrinted>
  <dcterms:created xsi:type="dcterms:W3CDTF">2024-05-15T07:59:00Z</dcterms:created>
  <dcterms:modified xsi:type="dcterms:W3CDTF">2024-05-15T07:59:00Z</dcterms:modified>
</cp:coreProperties>
</file>