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charts/chart4.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A58F3" w:rsidRPr="0041740F" w:rsidRDefault="005A5ACD" w:rsidP="00AA58F3">
      <w:pPr>
        <w:rPr>
          <w:rFonts w:asciiTheme="minorHAnsi" w:hAnsiTheme="minorHAnsi"/>
          <w:b/>
          <w:szCs w:val="18"/>
          <w:lang w:val="en-GB"/>
        </w:rPr>
      </w:pPr>
      <w:r w:rsidRPr="0041740F">
        <w:rPr>
          <w:rFonts w:asciiTheme="minorHAnsi" w:hAnsiTheme="minorHAnsi"/>
          <w:b/>
          <w:sz w:val="20"/>
          <w:szCs w:val="18"/>
          <w:lang w:val="en-GB"/>
        </w:rPr>
        <w:t xml:space="preserve">OPTIMIZING OF PHOSPHORUS DOSAGE IN AUTOTROPHIC DENITRIFICATION OF </w:t>
      </w:r>
      <w:r w:rsidRPr="0041740F">
        <w:rPr>
          <w:rFonts w:asciiTheme="minorHAnsi" w:hAnsiTheme="minorHAnsi"/>
          <w:b/>
          <w:i/>
          <w:sz w:val="20"/>
          <w:szCs w:val="18"/>
          <w:lang w:val="en-GB"/>
        </w:rPr>
        <w:t>THIOBACILLUS DENITRIFICANS</w:t>
      </w:r>
      <w:r w:rsidRPr="0041740F">
        <w:rPr>
          <w:rFonts w:asciiTheme="minorHAnsi" w:hAnsiTheme="minorHAnsi"/>
          <w:b/>
          <w:sz w:val="20"/>
          <w:szCs w:val="18"/>
          <w:lang w:val="en-GB"/>
        </w:rPr>
        <w:t xml:space="preserve"> IN BATCH REACTORS</w:t>
      </w:r>
    </w:p>
    <w:p w:rsidR="00AA58F3" w:rsidRPr="0041740F" w:rsidRDefault="00AA58F3" w:rsidP="00AA58F3">
      <w:pPr>
        <w:rPr>
          <w:rFonts w:asciiTheme="minorHAnsi" w:hAnsiTheme="minorHAnsi"/>
          <w:color w:val="FF0000"/>
          <w:sz w:val="20"/>
          <w:szCs w:val="20"/>
          <w:lang w:val="en-GB"/>
        </w:rPr>
      </w:pPr>
    </w:p>
    <w:p w:rsidR="00AA58F3" w:rsidRPr="0041740F" w:rsidRDefault="00E55E12" w:rsidP="00AA58F3">
      <w:pPr>
        <w:rPr>
          <w:rFonts w:asciiTheme="minorHAnsi" w:hAnsiTheme="minorHAnsi"/>
          <w:sz w:val="20"/>
          <w:szCs w:val="20"/>
          <w:lang w:val="en-GB"/>
        </w:rPr>
      </w:pPr>
      <w:r w:rsidRPr="0041740F">
        <w:rPr>
          <w:rFonts w:asciiTheme="minorHAnsi" w:hAnsiTheme="minorHAnsi"/>
          <w:b/>
          <w:sz w:val="20"/>
          <w:szCs w:val="20"/>
          <w:u w:val="single"/>
          <w:lang w:val="en-GB"/>
        </w:rPr>
        <w:t>Blažková Z</w:t>
      </w:r>
      <w:r w:rsidR="00867785" w:rsidRPr="0041740F">
        <w:rPr>
          <w:rFonts w:asciiTheme="minorHAnsi" w:hAnsiTheme="minorHAnsi"/>
          <w:b/>
          <w:sz w:val="20"/>
          <w:szCs w:val="20"/>
          <w:u w:val="single"/>
          <w:lang w:val="en-GB"/>
        </w:rPr>
        <w:t>.</w:t>
      </w:r>
      <w:r w:rsidR="00106E8F" w:rsidRPr="0041740F">
        <w:rPr>
          <w:rFonts w:asciiTheme="minorHAnsi" w:hAnsiTheme="minorHAnsi"/>
          <w:sz w:val="20"/>
          <w:szCs w:val="20"/>
          <w:lang w:val="en-GB"/>
        </w:rPr>
        <w:t xml:space="preserve">, </w:t>
      </w:r>
      <w:r w:rsidRPr="0041740F">
        <w:rPr>
          <w:rFonts w:asciiTheme="minorHAnsi" w:hAnsiTheme="minorHAnsi"/>
          <w:sz w:val="20"/>
          <w:szCs w:val="20"/>
          <w:lang w:val="en-GB"/>
        </w:rPr>
        <w:t xml:space="preserve">Slehová E., Trousil V., Muselíková J., Palarčík J., Slezák M., Cakl J. </w:t>
      </w:r>
    </w:p>
    <w:p w:rsidR="00AA58F3" w:rsidRPr="0041740F" w:rsidRDefault="00E55E12" w:rsidP="00E55E12">
      <w:pPr>
        <w:tabs>
          <w:tab w:val="left" w:pos="1620"/>
        </w:tabs>
        <w:rPr>
          <w:rFonts w:asciiTheme="minorHAnsi" w:hAnsiTheme="minorHAnsi"/>
          <w:color w:val="FF0000"/>
          <w:sz w:val="20"/>
          <w:szCs w:val="20"/>
          <w:lang w:val="en-GB"/>
        </w:rPr>
      </w:pPr>
      <w:r w:rsidRPr="0041740F">
        <w:rPr>
          <w:rFonts w:asciiTheme="minorHAnsi" w:hAnsiTheme="minorHAnsi"/>
          <w:color w:val="FF0000"/>
          <w:sz w:val="20"/>
          <w:szCs w:val="20"/>
          <w:lang w:val="en-GB"/>
        </w:rPr>
        <w:tab/>
      </w:r>
      <w:bookmarkStart w:id="0" w:name="_GoBack"/>
      <w:bookmarkEnd w:id="0"/>
    </w:p>
    <w:p w:rsidR="00AA58F3" w:rsidRPr="0041740F" w:rsidRDefault="00E55E12" w:rsidP="00AA58F3">
      <w:pPr>
        <w:rPr>
          <w:rFonts w:asciiTheme="minorHAnsi" w:hAnsiTheme="minorHAnsi"/>
          <w:i/>
          <w:color w:val="FF0000"/>
          <w:sz w:val="20"/>
          <w:szCs w:val="20"/>
          <w:lang w:val="en-GB"/>
        </w:rPr>
      </w:pPr>
      <w:r w:rsidRPr="0041740F">
        <w:rPr>
          <w:rFonts w:asciiTheme="minorHAnsi" w:hAnsiTheme="minorHAnsi"/>
          <w:i/>
          <w:sz w:val="20"/>
          <w:szCs w:val="20"/>
          <w:lang w:val="en-US"/>
        </w:rPr>
        <w:t>Institute of Environmental and Chemical Engineering, Faculty of Chemical Technology, University of Pardubice, Studentská 573, 532 10, Pardubice</w:t>
      </w:r>
      <w:r w:rsidR="00867785" w:rsidRPr="0041740F">
        <w:rPr>
          <w:rFonts w:asciiTheme="minorHAnsi" w:hAnsiTheme="minorHAnsi"/>
          <w:i/>
          <w:sz w:val="20"/>
          <w:szCs w:val="20"/>
          <w:lang w:val="en-GB"/>
        </w:rPr>
        <w:br/>
      </w:r>
      <w:r w:rsidRPr="0041740F">
        <w:rPr>
          <w:rFonts w:asciiTheme="minorHAnsi" w:hAnsiTheme="minorHAnsi"/>
          <w:i/>
          <w:sz w:val="20"/>
          <w:szCs w:val="20"/>
          <w:lang w:val="en-GB"/>
        </w:rPr>
        <w:t>Zuzana.Blazkova@upce.cz</w:t>
      </w:r>
    </w:p>
    <w:p w:rsidR="0006102A" w:rsidRPr="0041740F" w:rsidRDefault="0006102A" w:rsidP="00AA58F3">
      <w:pPr>
        <w:jc w:val="both"/>
        <w:rPr>
          <w:rFonts w:asciiTheme="minorHAnsi" w:hAnsiTheme="minorHAnsi"/>
          <w:color w:val="FF0000"/>
          <w:sz w:val="20"/>
          <w:szCs w:val="20"/>
          <w:lang w:val="en-GB"/>
        </w:rPr>
      </w:pPr>
    </w:p>
    <w:p w:rsidR="0025327D" w:rsidRPr="0041740F" w:rsidRDefault="0025327D" w:rsidP="0025327D">
      <w:pPr>
        <w:pStyle w:val="Nadpis2"/>
        <w:rPr>
          <w:rFonts w:asciiTheme="minorHAnsi" w:hAnsiTheme="minorHAnsi"/>
          <w:sz w:val="24"/>
          <w:szCs w:val="24"/>
        </w:rPr>
      </w:pPr>
      <w:r w:rsidRPr="0041740F">
        <w:rPr>
          <w:rFonts w:asciiTheme="minorHAnsi" w:hAnsiTheme="minorHAnsi"/>
          <w:sz w:val="24"/>
          <w:szCs w:val="24"/>
        </w:rPr>
        <w:t>Abstract</w:t>
      </w:r>
    </w:p>
    <w:p w:rsidR="0041740F" w:rsidRPr="0041740F" w:rsidRDefault="0011283D" w:rsidP="004E3845">
      <w:pPr>
        <w:jc w:val="both"/>
        <w:rPr>
          <w:rFonts w:asciiTheme="minorHAnsi" w:hAnsiTheme="minorHAnsi"/>
          <w:sz w:val="20"/>
          <w:szCs w:val="20"/>
          <w:lang w:val="en-US"/>
        </w:rPr>
      </w:pPr>
      <w:r>
        <w:rPr>
          <w:rFonts w:asciiTheme="minorHAnsi" w:hAnsiTheme="minorHAnsi"/>
          <w:i/>
          <w:sz w:val="20"/>
          <w:szCs w:val="20"/>
          <w:lang w:val="en-US"/>
        </w:rPr>
        <w:t>Thiobacillus (T</w:t>
      </w:r>
      <w:r w:rsidR="0041740F" w:rsidRPr="0041740F">
        <w:rPr>
          <w:rFonts w:asciiTheme="minorHAnsi" w:hAnsiTheme="minorHAnsi"/>
          <w:i/>
          <w:sz w:val="20"/>
          <w:szCs w:val="20"/>
          <w:lang w:val="en-US"/>
        </w:rPr>
        <w:t>.) denitrificans</w:t>
      </w:r>
      <w:r w:rsidR="0041740F" w:rsidRPr="0041740F">
        <w:rPr>
          <w:rFonts w:asciiTheme="minorHAnsi" w:hAnsiTheme="minorHAnsi"/>
          <w:sz w:val="20"/>
          <w:szCs w:val="20"/>
          <w:lang w:val="en-US"/>
        </w:rPr>
        <w:t xml:space="preserve"> is widely distributed microorganism, which is not toxic and pathogenic. It belongs to group of chemolithoautotrophic and facultative anaerobic bacteria.  It can obtain energy by the oxidation of elemental sulfur and certain other sulfur-containing inorganic compounds while electrons are released. Under anoxic conditions, nitrate and nitrite ions are reduced by these electrons. It is environmentally important – </w:t>
      </w:r>
      <w:r w:rsidR="00CE152C">
        <w:rPr>
          <w:rFonts w:asciiTheme="minorHAnsi" w:hAnsiTheme="minorHAnsi"/>
          <w:i/>
          <w:sz w:val="20"/>
          <w:szCs w:val="20"/>
          <w:lang w:val="en-US"/>
        </w:rPr>
        <w:t>T</w:t>
      </w:r>
      <w:r w:rsidR="0041740F" w:rsidRPr="0041740F">
        <w:rPr>
          <w:rFonts w:asciiTheme="minorHAnsi" w:hAnsiTheme="minorHAnsi"/>
          <w:i/>
          <w:sz w:val="20"/>
          <w:szCs w:val="20"/>
          <w:lang w:val="en-US"/>
        </w:rPr>
        <w:t>. denitrificans</w:t>
      </w:r>
      <w:r w:rsidR="0041740F" w:rsidRPr="0041740F">
        <w:rPr>
          <w:rFonts w:asciiTheme="minorHAnsi" w:hAnsiTheme="minorHAnsi"/>
          <w:sz w:val="20"/>
          <w:szCs w:val="20"/>
          <w:lang w:val="en-US"/>
        </w:rPr>
        <w:t xml:space="preserve"> can be used in processes of alternative methods of removing nitrates from contaminated water. </w:t>
      </w:r>
    </w:p>
    <w:p w:rsidR="0025327D" w:rsidRDefault="0041740F" w:rsidP="004E3845">
      <w:pPr>
        <w:pStyle w:val="Body"/>
        <w:spacing w:before="0" w:after="0"/>
        <w:rPr>
          <w:rFonts w:asciiTheme="minorHAnsi" w:hAnsiTheme="minorHAnsi"/>
        </w:rPr>
      </w:pPr>
      <w:r w:rsidRPr="0041740F">
        <w:rPr>
          <w:rFonts w:asciiTheme="minorHAnsi" w:hAnsiTheme="minorHAnsi"/>
        </w:rPr>
        <w:t>In this work, we focused on the optimal dosage of phosphorus to the reactor</w:t>
      </w:r>
      <w:r w:rsidR="00D80224">
        <w:rPr>
          <w:rFonts w:asciiTheme="minorHAnsi" w:hAnsiTheme="minorHAnsi"/>
        </w:rPr>
        <w:t xml:space="preserve"> for autotrophic denitrification using </w:t>
      </w:r>
      <w:r w:rsidR="00D80224" w:rsidRPr="00D80224">
        <w:rPr>
          <w:rFonts w:asciiTheme="minorHAnsi" w:hAnsiTheme="minorHAnsi"/>
          <w:i/>
        </w:rPr>
        <w:t xml:space="preserve">T. </w:t>
      </w:r>
      <w:r w:rsidR="00CE152C">
        <w:rPr>
          <w:rFonts w:asciiTheme="minorHAnsi" w:hAnsiTheme="minorHAnsi"/>
          <w:i/>
        </w:rPr>
        <w:t>d</w:t>
      </w:r>
      <w:r w:rsidR="00D80224" w:rsidRPr="00D80224">
        <w:rPr>
          <w:rFonts w:asciiTheme="minorHAnsi" w:hAnsiTheme="minorHAnsi"/>
          <w:i/>
        </w:rPr>
        <w:t>enitrificans</w:t>
      </w:r>
      <w:r w:rsidR="00D80224">
        <w:rPr>
          <w:rFonts w:asciiTheme="minorHAnsi" w:hAnsiTheme="minorHAnsi"/>
        </w:rPr>
        <w:t>.</w:t>
      </w:r>
      <w:r w:rsidRPr="0041740F">
        <w:rPr>
          <w:rFonts w:asciiTheme="minorHAnsi" w:hAnsiTheme="minorHAnsi"/>
        </w:rPr>
        <w:t xml:space="preserve"> </w:t>
      </w:r>
      <w:r w:rsidR="00D80224">
        <w:rPr>
          <w:rFonts w:asciiTheme="minorHAnsi" w:hAnsiTheme="minorHAnsi"/>
        </w:rPr>
        <w:t>The optimal dosage of phosphorus</w:t>
      </w:r>
      <w:r w:rsidRPr="0041740F">
        <w:rPr>
          <w:rFonts w:asciiTheme="minorHAnsi" w:hAnsiTheme="minorHAnsi"/>
        </w:rPr>
        <w:t xml:space="preserve"> is one of the key factors affecting gr</w:t>
      </w:r>
      <w:r w:rsidR="00D80224">
        <w:rPr>
          <w:rFonts w:asciiTheme="minorHAnsi" w:hAnsiTheme="minorHAnsi"/>
        </w:rPr>
        <w:t>owth of bacteria cells and</w:t>
      </w:r>
      <w:r w:rsidRPr="0041740F">
        <w:rPr>
          <w:rFonts w:asciiTheme="minorHAnsi" w:hAnsiTheme="minorHAnsi"/>
        </w:rPr>
        <w:t xml:space="preserve"> does not lead to secondary contamination of treated water. All experiments were done in batch reactors and the elemental sulfur was used as electron donor.</w:t>
      </w:r>
    </w:p>
    <w:p w:rsidR="00D57CE0" w:rsidRPr="004E3845" w:rsidRDefault="00D57CE0" w:rsidP="0025327D">
      <w:pPr>
        <w:pStyle w:val="Nadpis2"/>
        <w:rPr>
          <w:rFonts w:asciiTheme="minorHAnsi" w:hAnsiTheme="minorHAnsi"/>
          <w:sz w:val="24"/>
          <w:szCs w:val="24"/>
        </w:rPr>
      </w:pPr>
      <w:r w:rsidRPr="004E3845">
        <w:rPr>
          <w:rFonts w:asciiTheme="minorHAnsi" w:hAnsiTheme="minorHAnsi"/>
          <w:sz w:val="24"/>
          <w:szCs w:val="24"/>
        </w:rPr>
        <w:t>Introduction</w:t>
      </w:r>
    </w:p>
    <w:p w:rsidR="004E3845" w:rsidRPr="004E3845" w:rsidRDefault="0011283D" w:rsidP="004E3845">
      <w:pPr>
        <w:jc w:val="both"/>
        <w:rPr>
          <w:rFonts w:asciiTheme="minorHAnsi" w:hAnsiTheme="minorHAnsi"/>
          <w:color w:val="0070C0"/>
          <w:sz w:val="20"/>
          <w:szCs w:val="20"/>
          <w:lang w:val="cs-CZ" w:eastAsia="en-US"/>
        </w:rPr>
      </w:pPr>
      <w:r w:rsidRPr="003B4376">
        <w:rPr>
          <w:rFonts w:asciiTheme="minorHAnsi" w:hAnsiTheme="minorHAnsi"/>
          <w:i/>
          <w:iCs/>
          <w:sz w:val="20"/>
          <w:szCs w:val="20"/>
          <w:lang w:val="en-US" w:eastAsia="en-US"/>
        </w:rPr>
        <w:t>T</w:t>
      </w:r>
      <w:r w:rsidR="004E3845" w:rsidRPr="003B4376">
        <w:rPr>
          <w:rFonts w:asciiTheme="minorHAnsi" w:hAnsiTheme="minorHAnsi"/>
          <w:i/>
          <w:iCs/>
          <w:sz w:val="20"/>
          <w:szCs w:val="20"/>
          <w:lang w:val="en-US" w:eastAsia="en-US"/>
        </w:rPr>
        <w:t>. denitrificans</w:t>
      </w:r>
      <w:r w:rsidR="004E3845" w:rsidRPr="003B4376">
        <w:rPr>
          <w:rFonts w:asciiTheme="minorHAnsi" w:hAnsiTheme="minorHAnsi"/>
          <w:sz w:val="20"/>
          <w:szCs w:val="20"/>
          <w:lang w:val="en-US" w:eastAsia="en-US"/>
        </w:rPr>
        <w:t xml:space="preserve"> is found in soil and water habitants. It is not toxic and pathogenic </w:t>
      </w:r>
      <w:r w:rsidRPr="003B4376">
        <w:rPr>
          <w:rFonts w:asciiTheme="minorHAnsi" w:hAnsiTheme="minorHAnsi"/>
          <w:sz w:val="20"/>
          <w:szCs w:val="20"/>
          <w:lang w:val="en-US" w:eastAsia="en-US"/>
        </w:rPr>
        <w:t xml:space="preserve">microorganism </w:t>
      </w:r>
      <w:r w:rsidR="004E3845" w:rsidRPr="003B4376">
        <w:rPr>
          <w:rFonts w:asciiTheme="minorHAnsi" w:hAnsiTheme="minorHAnsi"/>
          <w:sz w:val="20"/>
          <w:szCs w:val="20"/>
          <w:lang w:val="en-US" w:eastAsia="en-US"/>
        </w:rPr>
        <w:t xml:space="preserve">and </w:t>
      </w:r>
      <w:r w:rsidR="003B4376" w:rsidRPr="003B4376">
        <w:rPr>
          <w:rFonts w:asciiTheme="minorHAnsi" w:hAnsiTheme="minorHAnsi"/>
          <w:sz w:val="20"/>
          <w:szCs w:val="20"/>
          <w:lang w:val="en-US" w:eastAsia="en-US"/>
        </w:rPr>
        <w:t xml:space="preserve">it </w:t>
      </w:r>
      <w:r w:rsidR="004E3845" w:rsidRPr="003B4376">
        <w:rPr>
          <w:rFonts w:asciiTheme="minorHAnsi" w:hAnsiTheme="minorHAnsi"/>
          <w:sz w:val="20"/>
          <w:szCs w:val="20"/>
          <w:lang w:val="en-US" w:eastAsia="en-US"/>
        </w:rPr>
        <w:t>belongs to group of chemolithoautotrophic and facultative anaerobic bacteria.</w:t>
      </w:r>
      <w:r w:rsidR="004E3845" w:rsidRPr="004E3845">
        <w:rPr>
          <w:rFonts w:asciiTheme="minorHAnsi" w:hAnsiTheme="minorHAnsi"/>
          <w:color w:val="0070C0"/>
          <w:sz w:val="20"/>
          <w:szCs w:val="20"/>
          <w:lang w:val="en-US" w:eastAsia="en-US"/>
        </w:rPr>
        <w:t xml:space="preserve"> </w:t>
      </w:r>
      <w:r w:rsidR="004E3845" w:rsidRPr="007D5766">
        <w:rPr>
          <w:rFonts w:asciiTheme="minorHAnsi" w:hAnsiTheme="minorHAnsi"/>
          <w:sz w:val="20"/>
          <w:szCs w:val="20"/>
          <w:lang w:val="en-US" w:eastAsia="en-US"/>
        </w:rPr>
        <w:t xml:space="preserve">In terms of environmental, </w:t>
      </w:r>
      <w:r w:rsidR="007375DB" w:rsidRPr="007D5766">
        <w:rPr>
          <w:rFonts w:asciiTheme="minorHAnsi" w:hAnsiTheme="minorHAnsi"/>
          <w:i/>
          <w:sz w:val="20"/>
          <w:szCs w:val="20"/>
          <w:lang w:val="en-US" w:eastAsia="en-US"/>
        </w:rPr>
        <w:t>T. denitrificans</w:t>
      </w:r>
      <w:r w:rsidR="007375DB" w:rsidRPr="007D5766">
        <w:rPr>
          <w:rFonts w:asciiTheme="minorHAnsi" w:hAnsiTheme="minorHAnsi"/>
          <w:sz w:val="20"/>
          <w:szCs w:val="20"/>
          <w:lang w:val="en-US" w:eastAsia="en-US"/>
        </w:rPr>
        <w:t xml:space="preserve"> is</w:t>
      </w:r>
      <w:r w:rsidR="007D5766" w:rsidRPr="007D5766">
        <w:rPr>
          <w:rFonts w:asciiTheme="minorHAnsi" w:hAnsiTheme="minorHAnsi"/>
          <w:sz w:val="20"/>
          <w:szCs w:val="20"/>
          <w:lang w:val="en-US" w:eastAsia="en-US"/>
        </w:rPr>
        <w:t xml:space="preserve"> very important, because this organism</w:t>
      </w:r>
      <w:r w:rsidR="004E3845" w:rsidRPr="007D5766">
        <w:rPr>
          <w:rFonts w:asciiTheme="minorHAnsi" w:hAnsiTheme="minorHAnsi"/>
          <w:sz w:val="20"/>
          <w:szCs w:val="20"/>
          <w:lang w:val="en-US" w:eastAsia="en-US"/>
        </w:rPr>
        <w:t xml:space="preserve"> can be used in processes of alternative methods of removing nit</w:t>
      </w:r>
      <w:r w:rsidR="007D5766" w:rsidRPr="007D5766">
        <w:rPr>
          <w:rFonts w:asciiTheme="minorHAnsi" w:hAnsiTheme="minorHAnsi"/>
          <w:sz w:val="20"/>
          <w:szCs w:val="20"/>
          <w:lang w:val="en-US" w:eastAsia="en-US"/>
        </w:rPr>
        <w:t>rates from contaminated water. I</w:t>
      </w:r>
      <w:r w:rsidR="004E3845" w:rsidRPr="007D5766">
        <w:rPr>
          <w:rFonts w:asciiTheme="minorHAnsi" w:hAnsiTheme="minorHAnsi"/>
          <w:sz w:val="20"/>
          <w:szCs w:val="20"/>
          <w:lang w:val="en-US" w:eastAsia="en-US"/>
        </w:rPr>
        <w:t xml:space="preserve">t can obtain energy by the oxidation of elemental sulfur and certain other sulfur-containing inorganic compounds while electrons are </w:t>
      </w:r>
      <w:r w:rsidR="007D5766" w:rsidRPr="007D5766">
        <w:rPr>
          <w:rFonts w:asciiTheme="minorHAnsi" w:hAnsiTheme="minorHAnsi"/>
          <w:sz w:val="20"/>
          <w:szCs w:val="20"/>
          <w:lang w:val="en-US" w:eastAsia="en-US"/>
        </w:rPr>
        <w:t>released.</w:t>
      </w:r>
      <w:r w:rsidR="004E3845" w:rsidRPr="004E3845">
        <w:rPr>
          <w:rFonts w:asciiTheme="minorHAnsi" w:hAnsiTheme="minorHAnsi"/>
          <w:color w:val="0070C0"/>
          <w:sz w:val="20"/>
          <w:szCs w:val="20"/>
          <w:lang w:val="en-US" w:eastAsia="en-US"/>
        </w:rPr>
        <w:t xml:space="preserve"> </w:t>
      </w:r>
      <w:r w:rsidR="007D5766" w:rsidRPr="007D5766">
        <w:rPr>
          <w:rFonts w:asciiTheme="minorHAnsi" w:hAnsiTheme="minorHAnsi"/>
          <w:sz w:val="20"/>
          <w:szCs w:val="20"/>
          <w:lang w:val="en-US" w:eastAsia="en-US"/>
        </w:rPr>
        <w:t>N</w:t>
      </w:r>
      <w:r w:rsidR="004E3845" w:rsidRPr="007D5766">
        <w:rPr>
          <w:rFonts w:asciiTheme="minorHAnsi" w:hAnsiTheme="minorHAnsi"/>
          <w:sz w:val="20"/>
          <w:szCs w:val="20"/>
          <w:lang w:val="en-US" w:eastAsia="en-US"/>
        </w:rPr>
        <w:t>itrate and nitrite ions are reduced by these electrons and molecules of nitrogen gas are formed</w:t>
      </w:r>
      <w:r w:rsidR="007D5766" w:rsidRPr="007D5766">
        <w:rPr>
          <w:rFonts w:asciiTheme="minorHAnsi" w:hAnsiTheme="minorHAnsi"/>
          <w:sz w:val="20"/>
          <w:szCs w:val="20"/>
          <w:lang w:val="en-US" w:eastAsia="en-US"/>
        </w:rPr>
        <w:t xml:space="preserve"> under anoxic conditions</w:t>
      </w:r>
      <w:r w:rsidR="00DB0F0E" w:rsidRPr="00DB0F0E">
        <w:rPr>
          <w:rFonts w:asciiTheme="minorHAnsi" w:hAnsiTheme="minorHAnsi"/>
          <w:sz w:val="20"/>
          <w:szCs w:val="20"/>
          <w:vertAlign w:val="superscript"/>
          <w:lang w:val="en-US" w:eastAsia="en-US"/>
        </w:rPr>
        <w:t>1-4</w:t>
      </w:r>
      <w:r w:rsidR="004E3845" w:rsidRPr="007D5766">
        <w:rPr>
          <w:rFonts w:asciiTheme="minorHAnsi" w:hAnsiTheme="minorHAnsi"/>
          <w:sz w:val="20"/>
          <w:szCs w:val="20"/>
          <w:lang w:val="en-US" w:eastAsia="en-US"/>
        </w:rPr>
        <w:t>.</w:t>
      </w:r>
    </w:p>
    <w:p w:rsidR="00D57CE0" w:rsidRPr="00B85034" w:rsidRDefault="004E3845" w:rsidP="003265B7">
      <w:pPr>
        <w:jc w:val="both"/>
        <w:rPr>
          <w:rFonts w:asciiTheme="minorHAnsi" w:hAnsiTheme="minorHAnsi"/>
          <w:sz w:val="20"/>
          <w:szCs w:val="20"/>
          <w:lang w:val="en-GB" w:eastAsia="en-US"/>
        </w:rPr>
      </w:pPr>
      <w:r w:rsidRPr="00B85034">
        <w:rPr>
          <w:rFonts w:asciiTheme="minorHAnsi" w:hAnsiTheme="minorHAnsi"/>
          <w:sz w:val="20"/>
          <w:szCs w:val="20"/>
          <w:lang w:val="en-US" w:eastAsia="en-US"/>
        </w:rPr>
        <w:t xml:space="preserve">The optimal function of autotrophic denitrification using </w:t>
      </w:r>
      <w:r w:rsidR="00CE152C">
        <w:rPr>
          <w:rFonts w:asciiTheme="minorHAnsi" w:hAnsiTheme="minorHAnsi"/>
          <w:i/>
          <w:iCs/>
          <w:sz w:val="20"/>
          <w:szCs w:val="20"/>
          <w:lang w:val="en-US" w:eastAsia="en-US"/>
        </w:rPr>
        <w:t>T</w:t>
      </w:r>
      <w:r w:rsidRPr="00B85034">
        <w:rPr>
          <w:rFonts w:asciiTheme="minorHAnsi" w:hAnsiTheme="minorHAnsi"/>
          <w:i/>
          <w:iCs/>
          <w:sz w:val="20"/>
          <w:szCs w:val="20"/>
          <w:lang w:val="en-US" w:eastAsia="en-US"/>
        </w:rPr>
        <w:t xml:space="preserve">. denitrificans </w:t>
      </w:r>
      <w:r w:rsidRPr="00B85034">
        <w:rPr>
          <w:rFonts w:asciiTheme="minorHAnsi" w:hAnsiTheme="minorHAnsi"/>
          <w:sz w:val="20"/>
          <w:szCs w:val="20"/>
          <w:lang w:val="en-US" w:eastAsia="en-US"/>
        </w:rPr>
        <w:t>is influenced by a number of agents and factors</w:t>
      </w:r>
      <w:r w:rsidR="00DB0F0E" w:rsidRPr="00DB0F0E">
        <w:rPr>
          <w:rFonts w:asciiTheme="minorHAnsi" w:hAnsiTheme="minorHAnsi"/>
          <w:sz w:val="20"/>
          <w:szCs w:val="20"/>
          <w:vertAlign w:val="superscript"/>
          <w:lang w:val="en-US" w:eastAsia="en-US"/>
        </w:rPr>
        <w:t>1,</w:t>
      </w:r>
      <w:r w:rsidR="00DB0F0E">
        <w:rPr>
          <w:rFonts w:asciiTheme="minorHAnsi" w:hAnsiTheme="minorHAnsi"/>
          <w:sz w:val="20"/>
          <w:szCs w:val="20"/>
          <w:vertAlign w:val="superscript"/>
          <w:lang w:val="en-US" w:eastAsia="en-US"/>
        </w:rPr>
        <w:t xml:space="preserve"> </w:t>
      </w:r>
      <w:r w:rsidR="00DB0F0E" w:rsidRPr="00DB0F0E">
        <w:rPr>
          <w:rFonts w:asciiTheme="minorHAnsi" w:hAnsiTheme="minorHAnsi"/>
          <w:sz w:val="20"/>
          <w:szCs w:val="20"/>
          <w:vertAlign w:val="superscript"/>
          <w:lang w:val="en-US" w:eastAsia="en-US"/>
        </w:rPr>
        <w:t>5-7</w:t>
      </w:r>
      <w:r w:rsidRPr="00B85034">
        <w:rPr>
          <w:rFonts w:asciiTheme="minorHAnsi" w:hAnsiTheme="minorHAnsi"/>
          <w:sz w:val="20"/>
          <w:szCs w:val="20"/>
          <w:lang w:val="en-US" w:eastAsia="en-US"/>
        </w:rPr>
        <w:t>.</w:t>
      </w:r>
      <w:r w:rsidRPr="004E3845">
        <w:rPr>
          <w:rFonts w:asciiTheme="minorHAnsi" w:hAnsiTheme="minorHAnsi"/>
          <w:color w:val="0070C0"/>
          <w:sz w:val="20"/>
          <w:szCs w:val="20"/>
          <w:lang w:val="en-US" w:eastAsia="en-US"/>
        </w:rPr>
        <w:t xml:space="preserve"> </w:t>
      </w:r>
      <w:r w:rsidRPr="00B85034">
        <w:rPr>
          <w:rFonts w:asciiTheme="minorHAnsi" w:hAnsiTheme="minorHAnsi"/>
          <w:sz w:val="20"/>
          <w:szCs w:val="20"/>
          <w:lang w:val="en-US" w:eastAsia="en-US"/>
        </w:rPr>
        <w:t>In this work, we focused on the optimal dosage of phosphorus to the reactor, which is one of the key factors affecting growth of bacteria cells and which does not lead to secondary contamination of treated water.</w:t>
      </w:r>
    </w:p>
    <w:p w:rsidR="00D57CE0" w:rsidRPr="004E3845" w:rsidRDefault="00D57CE0" w:rsidP="0025327D">
      <w:pPr>
        <w:pStyle w:val="Nadpis2"/>
        <w:rPr>
          <w:rFonts w:asciiTheme="minorHAnsi" w:hAnsiTheme="minorHAnsi"/>
          <w:sz w:val="24"/>
          <w:szCs w:val="24"/>
        </w:rPr>
      </w:pPr>
      <w:r w:rsidRPr="004E3845">
        <w:rPr>
          <w:rFonts w:asciiTheme="minorHAnsi" w:hAnsiTheme="minorHAnsi"/>
          <w:sz w:val="24"/>
          <w:szCs w:val="24"/>
        </w:rPr>
        <w:t>Experiments</w:t>
      </w:r>
    </w:p>
    <w:p w:rsidR="003265B7" w:rsidRDefault="004E3845" w:rsidP="004E3845">
      <w:pPr>
        <w:jc w:val="both"/>
        <w:rPr>
          <w:rFonts w:asciiTheme="minorHAnsi" w:hAnsiTheme="minorHAnsi"/>
          <w:sz w:val="20"/>
          <w:szCs w:val="20"/>
          <w:lang w:val="en-US" w:eastAsia="en-US"/>
        </w:rPr>
      </w:pPr>
      <w:r w:rsidRPr="00FB75C5">
        <w:rPr>
          <w:rFonts w:asciiTheme="minorHAnsi" w:hAnsiTheme="minorHAnsi"/>
          <w:sz w:val="20"/>
          <w:szCs w:val="20"/>
          <w:lang w:val="en-US" w:eastAsia="en-US"/>
        </w:rPr>
        <w:t xml:space="preserve">All experiments were done in batch reactors: ten reactors (with volume 1 l) were prepared for testing the effect of phosphorus at the rate and course of the denitrification processes of bacteria </w:t>
      </w:r>
      <w:r w:rsidRPr="00FB75C5">
        <w:rPr>
          <w:rFonts w:asciiTheme="minorHAnsi" w:hAnsiTheme="minorHAnsi"/>
          <w:i/>
          <w:iCs/>
          <w:sz w:val="20"/>
          <w:szCs w:val="20"/>
          <w:lang w:val="en-US" w:eastAsia="en-US"/>
        </w:rPr>
        <w:t>T. denitrificans</w:t>
      </w:r>
      <w:r w:rsidRPr="00FB75C5">
        <w:rPr>
          <w:rFonts w:asciiTheme="minorHAnsi" w:hAnsiTheme="minorHAnsi"/>
          <w:sz w:val="20"/>
          <w:szCs w:val="20"/>
          <w:lang w:val="en-US" w:eastAsia="en-US"/>
        </w:rPr>
        <w:t>. All reactors contained crushed sulfur as electron donor (size fraction from 2</w:t>
      </w:r>
      <w:r w:rsidR="00CE152C">
        <w:rPr>
          <w:rFonts w:asciiTheme="minorHAnsi" w:hAnsiTheme="minorHAnsi"/>
          <w:sz w:val="20"/>
          <w:szCs w:val="20"/>
          <w:lang w:val="en-US" w:eastAsia="en-US"/>
        </w:rPr>
        <w:t>.</w:t>
      </w:r>
      <w:r w:rsidRPr="00FB75C5">
        <w:rPr>
          <w:rFonts w:asciiTheme="minorHAnsi" w:hAnsiTheme="minorHAnsi"/>
          <w:sz w:val="20"/>
          <w:szCs w:val="20"/>
          <w:lang w:val="en-US" w:eastAsia="en-US"/>
        </w:rPr>
        <w:t>5 to 5</w:t>
      </w:r>
      <w:r w:rsidR="00CE152C">
        <w:rPr>
          <w:rFonts w:asciiTheme="minorHAnsi" w:hAnsiTheme="minorHAnsi"/>
          <w:sz w:val="20"/>
          <w:szCs w:val="20"/>
          <w:lang w:val="en-US" w:eastAsia="en-US"/>
        </w:rPr>
        <w:t>.</w:t>
      </w:r>
      <w:r w:rsidRPr="00FB75C5">
        <w:rPr>
          <w:rFonts w:asciiTheme="minorHAnsi" w:hAnsiTheme="minorHAnsi"/>
          <w:sz w:val="20"/>
          <w:szCs w:val="20"/>
          <w:lang w:val="en-US" w:eastAsia="en-US"/>
        </w:rPr>
        <w:t>0 mm), crushed limestone for pH control (size fraction from 3</w:t>
      </w:r>
      <w:r w:rsidR="00CE152C">
        <w:rPr>
          <w:rFonts w:asciiTheme="minorHAnsi" w:hAnsiTheme="minorHAnsi"/>
          <w:sz w:val="20"/>
          <w:szCs w:val="20"/>
          <w:lang w:val="en-US" w:eastAsia="en-US"/>
        </w:rPr>
        <w:t>.</w:t>
      </w:r>
      <w:r w:rsidRPr="00FB75C5">
        <w:rPr>
          <w:rFonts w:asciiTheme="minorHAnsi" w:hAnsiTheme="minorHAnsi"/>
          <w:sz w:val="20"/>
          <w:szCs w:val="20"/>
          <w:lang w:val="en-US" w:eastAsia="en-US"/>
        </w:rPr>
        <w:t>0 to 4</w:t>
      </w:r>
      <w:r w:rsidR="00CE152C">
        <w:rPr>
          <w:rFonts w:asciiTheme="minorHAnsi" w:hAnsiTheme="minorHAnsi"/>
          <w:sz w:val="20"/>
          <w:szCs w:val="20"/>
          <w:lang w:val="en-US" w:eastAsia="en-US"/>
        </w:rPr>
        <w:t>.</w:t>
      </w:r>
      <w:r w:rsidRPr="00FB75C5">
        <w:rPr>
          <w:rFonts w:asciiTheme="minorHAnsi" w:hAnsiTheme="minorHAnsi"/>
          <w:sz w:val="20"/>
          <w:szCs w:val="20"/>
          <w:lang w:val="en-US" w:eastAsia="en-US"/>
        </w:rPr>
        <w:t>0 mm), solution of NaNO</w:t>
      </w:r>
      <w:r w:rsidRPr="00FB75C5">
        <w:rPr>
          <w:rFonts w:asciiTheme="minorHAnsi" w:hAnsiTheme="minorHAnsi"/>
          <w:sz w:val="20"/>
          <w:szCs w:val="20"/>
          <w:vertAlign w:val="subscript"/>
          <w:lang w:val="en-US" w:eastAsia="en-US"/>
        </w:rPr>
        <w:t>3</w:t>
      </w:r>
      <w:r w:rsidRPr="00FB75C5">
        <w:rPr>
          <w:rFonts w:asciiTheme="minorHAnsi" w:hAnsiTheme="minorHAnsi"/>
          <w:sz w:val="20"/>
          <w:szCs w:val="20"/>
          <w:lang w:val="en-US" w:eastAsia="en-US"/>
        </w:rPr>
        <w:t xml:space="preserve"> with initial concentration of 100 mg/l NO</w:t>
      </w:r>
      <w:r w:rsidRPr="00FB75C5">
        <w:rPr>
          <w:rFonts w:asciiTheme="minorHAnsi" w:hAnsiTheme="minorHAnsi"/>
          <w:sz w:val="20"/>
          <w:szCs w:val="20"/>
          <w:vertAlign w:val="subscript"/>
          <w:lang w:val="en-US" w:eastAsia="en-US"/>
        </w:rPr>
        <w:t>3</w:t>
      </w:r>
      <w:r w:rsidRPr="00FB75C5">
        <w:rPr>
          <w:rFonts w:asciiTheme="minorHAnsi" w:hAnsiTheme="minorHAnsi"/>
          <w:sz w:val="20"/>
          <w:szCs w:val="20"/>
          <w:vertAlign w:val="superscript"/>
          <w:lang w:val="en-US" w:eastAsia="en-US"/>
        </w:rPr>
        <w:t>-</w:t>
      </w:r>
      <w:r w:rsidRPr="00FB75C5">
        <w:rPr>
          <w:rFonts w:asciiTheme="minorHAnsi" w:hAnsiTheme="minorHAnsi"/>
          <w:sz w:val="20"/>
          <w:szCs w:val="20"/>
          <w:lang w:val="en-US" w:eastAsia="en-US"/>
        </w:rPr>
        <w:t xml:space="preserve"> and suspension of bacterial cells </w:t>
      </w:r>
      <w:r w:rsidR="00FB75C5" w:rsidRPr="00FB75C5">
        <w:rPr>
          <w:rFonts w:asciiTheme="minorHAnsi" w:hAnsiTheme="minorHAnsi"/>
          <w:i/>
          <w:iCs/>
          <w:sz w:val="20"/>
          <w:szCs w:val="20"/>
          <w:lang w:val="en-US" w:eastAsia="en-US"/>
        </w:rPr>
        <w:t>T</w:t>
      </w:r>
      <w:r w:rsidRPr="00FB75C5">
        <w:rPr>
          <w:rFonts w:asciiTheme="minorHAnsi" w:hAnsiTheme="minorHAnsi"/>
          <w:i/>
          <w:iCs/>
          <w:sz w:val="20"/>
          <w:szCs w:val="20"/>
          <w:lang w:val="en-US" w:eastAsia="en-US"/>
        </w:rPr>
        <w:t xml:space="preserve">. denitrificans </w:t>
      </w:r>
      <w:r w:rsidRPr="00FB75C5">
        <w:rPr>
          <w:rFonts w:asciiTheme="minorHAnsi" w:hAnsiTheme="minorHAnsi"/>
          <w:sz w:val="20"/>
          <w:szCs w:val="20"/>
          <w:lang w:val="en-US" w:eastAsia="en-US"/>
        </w:rPr>
        <w:t>(optical density of suspension was OD = 0</w:t>
      </w:r>
      <w:r w:rsidR="00CE152C">
        <w:rPr>
          <w:rFonts w:asciiTheme="minorHAnsi" w:hAnsiTheme="minorHAnsi"/>
          <w:sz w:val="20"/>
          <w:szCs w:val="20"/>
          <w:lang w:val="en-US" w:eastAsia="en-US"/>
        </w:rPr>
        <w:t>.</w:t>
      </w:r>
      <w:r w:rsidRPr="00FB75C5">
        <w:rPr>
          <w:rFonts w:asciiTheme="minorHAnsi" w:hAnsiTheme="minorHAnsi"/>
          <w:sz w:val="20"/>
          <w:szCs w:val="20"/>
          <w:lang w:val="en-US" w:eastAsia="en-US"/>
        </w:rPr>
        <w:t xml:space="preserve">17). </w:t>
      </w:r>
    </w:p>
    <w:p w:rsidR="003237D2" w:rsidRDefault="003237D2" w:rsidP="004E3845">
      <w:pPr>
        <w:jc w:val="both"/>
        <w:rPr>
          <w:rFonts w:asciiTheme="minorHAnsi" w:hAnsiTheme="minorHAnsi"/>
          <w:color w:val="0070C0"/>
          <w:sz w:val="20"/>
          <w:szCs w:val="20"/>
          <w:lang w:val="en-US" w:eastAsia="en-US"/>
        </w:rPr>
      </w:pPr>
    </w:p>
    <w:p w:rsidR="003237D2" w:rsidRPr="003265B7" w:rsidRDefault="003237D2" w:rsidP="004E3845">
      <w:pPr>
        <w:jc w:val="both"/>
        <w:rPr>
          <w:rFonts w:asciiTheme="minorHAnsi" w:hAnsiTheme="minorHAnsi"/>
          <w:sz w:val="20"/>
          <w:szCs w:val="20"/>
          <w:lang w:val="en-US" w:eastAsia="en-US"/>
        </w:rPr>
      </w:pPr>
      <w:r w:rsidRPr="003265B7">
        <w:rPr>
          <w:rFonts w:asciiTheme="minorHAnsi" w:hAnsiTheme="minorHAnsi"/>
          <w:sz w:val="20"/>
          <w:szCs w:val="20"/>
          <w:lang w:val="en-US" w:eastAsia="en-US"/>
        </w:rPr>
        <w:t>Table I</w:t>
      </w:r>
    </w:p>
    <w:p w:rsidR="003237D2" w:rsidRPr="003265B7" w:rsidRDefault="003237D2" w:rsidP="004E3845">
      <w:pPr>
        <w:jc w:val="both"/>
        <w:rPr>
          <w:rFonts w:asciiTheme="minorHAnsi" w:hAnsiTheme="minorHAnsi"/>
          <w:sz w:val="20"/>
          <w:szCs w:val="20"/>
          <w:lang w:val="en-US" w:eastAsia="en-US"/>
        </w:rPr>
      </w:pPr>
      <w:r w:rsidRPr="003265B7">
        <w:rPr>
          <w:rFonts w:asciiTheme="minorHAnsi" w:hAnsiTheme="minorHAnsi"/>
          <w:sz w:val="20"/>
          <w:szCs w:val="20"/>
          <w:lang w:val="en-US" w:eastAsia="en-US"/>
        </w:rPr>
        <w:t xml:space="preserve">Summary of batch experiments and </w:t>
      </w:r>
      <w:r w:rsidR="003265B7" w:rsidRPr="003265B7">
        <w:rPr>
          <w:rFonts w:asciiTheme="minorHAnsi" w:hAnsiTheme="minorHAnsi"/>
          <w:sz w:val="20"/>
          <w:szCs w:val="20"/>
          <w:lang w:val="en-US" w:eastAsia="en-US"/>
        </w:rPr>
        <w:t>their</w:t>
      </w:r>
      <w:r w:rsidRPr="003265B7">
        <w:rPr>
          <w:rFonts w:asciiTheme="minorHAnsi" w:hAnsiTheme="minorHAnsi"/>
          <w:sz w:val="20"/>
          <w:szCs w:val="20"/>
          <w:lang w:val="en-US" w:eastAsia="en-US"/>
        </w:rPr>
        <w:t xml:space="preserve"> content</w:t>
      </w:r>
    </w:p>
    <w:tbl>
      <w:tblPr>
        <w:tblW w:w="9087" w:type="dxa"/>
        <w:tblInd w:w="55" w:type="dxa"/>
        <w:tblCellMar>
          <w:left w:w="70" w:type="dxa"/>
          <w:right w:w="70" w:type="dxa"/>
        </w:tblCellMar>
        <w:tblLook w:val="04A0"/>
      </w:tblPr>
      <w:tblGrid>
        <w:gridCol w:w="1716"/>
        <w:gridCol w:w="2600"/>
        <w:gridCol w:w="2503"/>
        <w:gridCol w:w="2268"/>
      </w:tblGrid>
      <w:tr w:rsidR="003237D2" w:rsidRPr="003237D2" w:rsidTr="003237D2">
        <w:trPr>
          <w:trHeight w:val="300"/>
        </w:trPr>
        <w:tc>
          <w:tcPr>
            <w:tcW w:w="1716" w:type="dxa"/>
            <w:tcBorders>
              <w:top w:val="single" w:sz="4" w:space="0" w:color="auto"/>
              <w:left w:val="nil"/>
              <w:bottom w:val="single" w:sz="4" w:space="0" w:color="auto"/>
              <w:right w:val="nil"/>
            </w:tcBorders>
            <w:shd w:val="clear" w:color="auto" w:fill="auto"/>
            <w:noWrap/>
            <w:vAlign w:val="center"/>
            <w:hideMark/>
          </w:tcPr>
          <w:p w:rsidR="003237D2" w:rsidRPr="003237D2" w:rsidRDefault="003237D2" w:rsidP="003237D2">
            <w:pPr>
              <w:jc w:val="center"/>
              <w:rPr>
                <w:rFonts w:ascii="Calibri" w:hAnsi="Calibri"/>
                <w:color w:val="000000"/>
                <w:sz w:val="20"/>
                <w:szCs w:val="20"/>
                <w:lang w:val="cs-CZ" w:eastAsia="cs-CZ"/>
              </w:rPr>
            </w:pPr>
            <w:r w:rsidRPr="003237D2">
              <w:rPr>
                <w:rFonts w:ascii="Calibri" w:hAnsi="Calibri"/>
                <w:color w:val="000000"/>
                <w:sz w:val="20"/>
                <w:szCs w:val="20"/>
                <w:lang w:val="en-US" w:eastAsia="cs-CZ"/>
              </w:rPr>
              <w:t>Label</w:t>
            </w:r>
          </w:p>
        </w:tc>
        <w:tc>
          <w:tcPr>
            <w:tcW w:w="2600" w:type="dxa"/>
            <w:tcBorders>
              <w:top w:val="single" w:sz="4" w:space="0" w:color="auto"/>
              <w:left w:val="nil"/>
              <w:bottom w:val="single" w:sz="4" w:space="0" w:color="auto"/>
              <w:right w:val="nil"/>
            </w:tcBorders>
            <w:shd w:val="clear" w:color="auto" w:fill="auto"/>
            <w:noWrap/>
            <w:vAlign w:val="center"/>
            <w:hideMark/>
          </w:tcPr>
          <w:p w:rsidR="003237D2" w:rsidRPr="003237D2" w:rsidRDefault="003237D2" w:rsidP="003237D2">
            <w:pPr>
              <w:jc w:val="center"/>
              <w:rPr>
                <w:rFonts w:ascii="Calibri" w:hAnsi="Calibri"/>
                <w:color w:val="000000"/>
                <w:sz w:val="20"/>
                <w:szCs w:val="20"/>
                <w:lang w:val="cs-CZ" w:eastAsia="cs-CZ"/>
              </w:rPr>
            </w:pPr>
            <w:r w:rsidRPr="003237D2">
              <w:rPr>
                <w:rFonts w:ascii="Calibri" w:hAnsi="Calibri"/>
                <w:color w:val="000000"/>
                <w:sz w:val="20"/>
                <w:szCs w:val="20"/>
                <w:lang w:val="cs-CZ" w:eastAsia="cs-CZ"/>
              </w:rPr>
              <w:t>S, CaCO</w:t>
            </w:r>
            <w:r w:rsidRPr="003237D2">
              <w:rPr>
                <w:rFonts w:ascii="Calibri" w:hAnsi="Calibri"/>
                <w:color w:val="000000"/>
                <w:sz w:val="20"/>
                <w:szCs w:val="20"/>
                <w:vertAlign w:val="subscript"/>
                <w:lang w:val="cs-CZ" w:eastAsia="cs-CZ"/>
              </w:rPr>
              <w:t>3</w:t>
            </w:r>
            <w:r w:rsidRPr="003237D2">
              <w:rPr>
                <w:rFonts w:ascii="Calibri" w:hAnsi="Calibri"/>
                <w:color w:val="000000"/>
                <w:sz w:val="20"/>
                <w:szCs w:val="20"/>
                <w:lang w:val="cs-CZ" w:eastAsia="cs-CZ"/>
              </w:rPr>
              <w:t xml:space="preserve"> - 1:1 [g]</w:t>
            </w:r>
          </w:p>
        </w:tc>
        <w:tc>
          <w:tcPr>
            <w:tcW w:w="2503" w:type="dxa"/>
            <w:tcBorders>
              <w:top w:val="single" w:sz="4" w:space="0" w:color="auto"/>
              <w:left w:val="nil"/>
              <w:bottom w:val="single" w:sz="4" w:space="0" w:color="auto"/>
              <w:right w:val="nil"/>
            </w:tcBorders>
            <w:shd w:val="clear" w:color="auto" w:fill="auto"/>
            <w:noWrap/>
            <w:vAlign w:val="center"/>
            <w:hideMark/>
          </w:tcPr>
          <w:p w:rsidR="003237D2" w:rsidRPr="003237D2" w:rsidRDefault="003237D2" w:rsidP="003237D2">
            <w:pPr>
              <w:jc w:val="center"/>
              <w:rPr>
                <w:rFonts w:ascii="Calibri" w:hAnsi="Calibri"/>
                <w:color w:val="000000"/>
                <w:sz w:val="20"/>
                <w:szCs w:val="20"/>
                <w:lang w:val="cs-CZ" w:eastAsia="cs-CZ"/>
              </w:rPr>
            </w:pPr>
            <w:r w:rsidRPr="003237D2">
              <w:rPr>
                <w:rFonts w:ascii="Calibri" w:hAnsi="Calibri"/>
                <w:color w:val="000000"/>
                <w:sz w:val="20"/>
                <w:szCs w:val="20"/>
                <w:lang w:val="cs-CZ" w:eastAsia="cs-CZ"/>
              </w:rPr>
              <w:t>cNO</w:t>
            </w:r>
            <w:r w:rsidRPr="003237D2">
              <w:rPr>
                <w:rFonts w:ascii="Calibri" w:hAnsi="Calibri"/>
                <w:color w:val="000000"/>
                <w:sz w:val="20"/>
                <w:szCs w:val="20"/>
                <w:vertAlign w:val="subscript"/>
                <w:lang w:val="cs-CZ" w:eastAsia="cs-CZ"/>
              </w:rPr>
              <w:t>3</w:t>
            </w:r>
            <w:r w:rsidRPr="003237D2">
              <w:rPr>
                <w:rFonts w:ascii="Calibri" w:hAnsi="Calibri"/>
                <w:color w:val="000000"/>
                <w:sz w:val="20"/>
                <w:szCs w:val="20"/>
                <w:vertAlign w:val="superscript"/>
                <w:lang w:val="cs-CZ" w:eastAsia="cs-CZ"/>
              </w:rPr>
              <w:t>-</w:t>
            </w:r>
            <w:r w:rsidRPr="003237D2">
              <w:rPr>
                <w:rFonts w:ascii="Calibri" w:hAnsi="Calibri"/>
                <w:color w:val="000000"/>
                <w:sz w:val="20"/>
                <w:szCs w:val="20"/>
                <w:lang w:val="cs-CZ" w:eastAsia="cs-CZ"/>
              </w:rPr>
              <w:t xml:space="preserve"> [mg/l]</w:t>
            </w:r>
          </w:p>
        </w:tc>
        <w:tc>
          <w:tcPr>
            <w:tcW w:w="2268" w:type="dxa"/>
            <w:tcBorders>
              <w:top w:val="single" w:sz="4" w:space="0" w:color="auto"/>
              <w:left w:val="nil"/>
              <w:bottom w:val="single" w:sz="4" w:space="0" w:color="auto"/>
              <w:right w:val="nil"/>
            </w:tcBorders>
            <w:shd w:val="clear" w:color="auto" w:fill="auto"/>
            <w:noWrap/>
            <w:vAlign w:val="center"/>
            <w:hideMark/>
          </w:tcPr>
          <w:p w:rsidR="003237D2" w:rsidRPr="003237D2" w:rsidRDefault="003237D2" w:rsidP="003237D2">
            <w:pPr>
              <w:jc w:val="center"/>
              <w:rPr>
                <w:rFonts w:ascii="Calibri" w:hAnsi="Calibri"/>
                <w:color w:val="000000"/>
                <w:sz w:val="20"/>
                <w:szCs w:val="20"/>
                <w:lang w:val="cs-CZ" w:eastAsia="cs-CZ"/>
              </w:rPr>
            </w:pPr>
            <w:r w:rsidRPr="003237D2">
              <w:rPr>
                <w:rFonts w:ascii="Calibri" w:hAnsi="Calibri"/>
                <w:color w:val="000000"/>
                <w:sz w:val="20"/>
                <w:szCs w:val="20"/>
                <w:lang w:val="cs-CZ" w:eastAsia="cs-CZ"/>
              </w:rPr>
              <w:t>cP-PO</w:t>
            </w:r>
            <w:r w:rsidRPr="003237D2">
              <w:rPr>
                <w:rFonts w:ascii="Calibri" w:hAnsi="Calibri"/>
                <w:color w:val="000000"/>
                <w:sz w:val="20"/>
                <w:szCs w:val="20"/>
                <w:vertAlign w:val="subscript"/>
                <w:lang w:val="cs-CZ" w:eastAsia="cs-CZ"/>
              </w:rPr>
              <w:t>4</w:t>
            </w:r>
            <w:r w:rsidRPr="003237D2">
              <w:rPr>
                <w:rFonts w:ascii="Calibri" w:hAnsi="Calibri"/>
                <w:color w:val="000000"/>
                <w:sz w:val="20"/>
                <w:szCs w:val="20"/>
                <w:vertAlign w:val="superscript"/>
                <w:lang w:val="cs-CZ" w:eastAsia="cs-CZ"/>
              </w:rPr>
              <w:t>3-</w:t>
            </w:r>
            <w:r w:rsidRPr="003237D2">
              <w:rPr>
                <w:rFonts w:ascii="Calibri" w:hAnsi="Calibri"/>
                <w:color w:val="000000"/>
                <w:sz w:val="20"/>
                <w:szCs w:val="20"/>
                <w:lang w:val="cs-CZ" w:eastAsia="cs-CZ"/>
              </w:rPr>
              <w:t xml:space="preserve"> [mg/l]</w:t>
            </w:r>
          </w:p>
        </w:tc>
      </w:tr>
      <w:tr w:rsidR="003237D2" w:rsidRPr="003237D2" w:rsidTr="003237D2">
        <w:trPr>
          <w:trHeight w:val="285"/>
        </w:trPr>
        <w:tc>
          <w:tcPr>
            <w:tcW w:w="1716" w:type="dxa"/>
            <w:tcBorders>
              <w:top w:val="nil"/>
              <w:left w:val="nil"/>
              <w:bottom w:val="nil"/>
              <w:right w:val="nil"/>
            </w:tcBorders>
            <w:shd w:val="clear" w:color="auto" w:fill="auto"/>
            <w:noWrap/>
            <w:vAlign w:val="center"/>
            <w:hideMark/>
          </w:tcPr>
          <w:p w:rsidR="003237D2" w:rsidRPr="003237D2" w:rsidRDefault="003237D2" w:rsidP="003237D2">
            <w:pPr>
              <w:jc w:val="center"/>
              <w:rPr>
                <w:rFonts w:ascii="Calibri" w:hAnsi="Calibri"/>
                <w:color w:val="000000"/>
                <w:sz w:val="20"/>
                <w:szCs w:val="20"/>
                <w:lang w:val="cs-CZ" w:eastAsia="cs-CZ"/>
              </w:rPr>
            </w:pPr>
            <w:r w:rsidRPr="003237D2">
              <w:rPr>
                <w:rFonts w:ascii="Calibri" w:hAnsi="Calibri"/>
                <w:color w:val="000000"/>
                <w:sz w:val="20"/>
                <w:szCs w:val="20"/>
                <w:lang w:val="cs-CZ" w:eastAsia="cs-CZ"/>
              </w:rPr>
              <w:t>K</w:t>
            </w:r>
            <w:r w:rsidR="006C4A30">
              <w:rPr>
                <w:rFonts w:ascii="Calibri" w:hAnsi="Calibri"/>
                <w:color w:val="000000"/>
                <w:sz w:val="20"/>
                <w:szCs w:val="20"/>
                <w:lang w:val="cs-CZ" w:eastAsia="cs-CZ"/>
              </w:rPr>
              <w:t>1</w:t>
            </w:r>
          </w:p>
        </w:tc>
        <w:tc>
          <w:tcPr>
            <w:tcW w:w="2600" w:type="dxa"/>
            <w:tcBorders>
              <w:top w:val="nil"/>
              <w:left w:val="nil"/>
              <w:bottom w:val="nil"/>
              <w:right w:val="nil"/>
            </w:tcBorders>
            <w:shd w:val="clear" w:color="auto" w:fill="auto"/>
            <w:noWrap/>
            <w:vAlign w:val="center"/>
            <w:hideMark/>
          </w:tcPr>
          <w:p w:rsidR="003237D2" w:rsidRPr="003237D2" w:rsidRDefault="003237D2" w:rsidP="003237D2">
            <w:pPr>
              <w:jc w:val="center"/>
              <w:rPr>
                <w:rFonts w:ascii="Calibri" w:hAnsi="Calibri"/>
                <w:color w:val="000000"/>
                <w:sz w:val="20"/>
                <w:szCs w:val="20"/>
                <w:lang w:val="cs-CZ" w:eastAsia="cs-CZ"/>
              </w:rPr>
            </w:pPr>
            <w:r w:rsidRPr="003237D2">
              <w:rPr>
                <w:rFonts w:ascii="Calibri" w:hAnsi="Calibri"/>
                <w:color w:val="000000"/>
                <w:sz w:val="20"/>
                <w:szCs w:val="20"/>
                <w:lang w:val="cs-CZ" w:eastAsia="cs-CZ"/>
              </w:rPr>
              <w:t>100</w:t>
            </w:r>
          </w:p>
        </w:tc>
        <w:tc>
          <w:tcPr>
            <w:tcW w:w="2503" w:type="dxa"/>
            <w:tcBorders>
              <w:top w:val="nil"/>
              <w:left w:val="nil"/>
              <w:bottom w:val="nil"/>
              <w:right w:val="nil"/>
            </w:tcBorders>
            <w:shd w:val="clear" w:color="auto" w:fill="auto"/>
            <w:noWrap/>
            <w:vAlign w:val="center"/>
            <w:hideMark/>
          </w:tcPr>
          <w:p w:rsidR="003237D2" w:rsidRPr="003237D2" w:rsidRDefault="003237D2" w:rsidP="003237D2">
            <w:pPr>
              <w:jc w:val="center"/>
              <w:rPr>
                <w:rFonts w:ascii="Calibri" w:hAnsi="Calibri"/>
                <w:color w:val="000000"/>
                <w:sz w:val="20"/>
                <w:szCs w:val="20"/>
                <w:lang w:val="cs-CZ" w:eastAsia="cs-CZ"/>
              </w:rPr>
            </w:pPr>
            <w:r w:rsidRPr="003237D2">
              <w:rPr>
                <w:rFonts w:ascii="Calibri" w:hAnsi="Calibri"/>
                <w:color w:val="000000"/>
                <w:sz w:val="20"/>
                <w:szCs w:val="20"/>
                <w:lang w:val="cs-CZ" w:eastAsia="cs-CZ"/>
              </w:rPr>
              <w:t>100</w:t>
            </w:r>
          </w:p>
        </w:tc>
        <w:tc>
          <w:tcPr>
            <w:tcW w:w="2268" w:type="dxa"/>
            <w:tcBorders>
              <w:top w:val="nil"/>
              <w:left w:val="nil"/>
              <w:bottom w:val="nil"/>
              <w:right w:val="nil"/>
            </w:tcBorders>
            <w:shd w:val="clear" w:color="auto" w:fill="auto"/>
            <w:noWrap/>
            <w:vAlign w:val="center"/>
            <w:hideMark/>
          </w:tcPr>
          <w:p w:rsidR="003237D2" w:rsidRPr="003237D2" w:rsidRDefault="003237D2" w:rsidP="003237D2">
            <w:pPr>
              <w:jc w:val="center"/>
              <w:rPr>
                <w:rFonts w:ascii="Calibri" w:hAnsi="Calibri"/>
                <w:color w:val="000000"/>
                <w:sz w:val="20"/>
                <w:szCs w:val="20"/>
                <w:lang w:val="cs-CZ" w:eastAsia="cs-CZ"/>
              </w:rPr>
            </w:pPr>
            <w:r w:rsidRPr="003237D2">
              <w:rPr>
                <w:rFonts w:ascii="Calibri" w:hAnsi="Calibri"/>
                <w:color w:val="000000"/>
                <w:sz w:val="20"/>
                <w:szCs w:val="20"/>
                <w:lang w:val="cs-CZ" w:eastAsia="cs-CZ"/>
              </w:rPr>
              <w:t>-</w:t>
            </w:r>
          </w:p>
        </w:tc>
      </w:tr>
      <w:tr w:rsidR="006C4A30" w:rsidRPr="003237D2" w:rsidTr="003237D2">
        <w:trPr>
          <w:trHeight w:val="285"/>
        </w:trPr>
        <w:tc>
          <w:tcPr>
            <w:tcW w:w="1716" w:type="dxa"/>
            <w:tcBorders>
              <w:top w:val="nil"/>
              <w:left w:val="nil"/>
              <w:bottom w:val="nil"/>
              <w:right w:val="nil"/>
            </w:tcBorders>
            <w:shd w:val="clear" w:color="auto" w:fill="auto"/>
            <w:noWrap/>
            <w:vAlign w:val="center"/>
            <w:hideMark/>
          </w:tcPr>
          <w:p w:rsidR="006C4A30" w:rsidRPr="003237D2" w:rsidRDefault="006C4A30" w:rsidP="003237D2">
            <w:pPr>
              <w:jc w:val="center"/>
              <w:rPr>
                <w:rFonts w:ascii="Calibri" w:hAnsi="Calibri"/>
                <w:color w:val="000000"/>
                <w:sz w:val="20"/>
                <w:szCs w:val="20"/>
                <w:lang w:val="cs-CZ" w:eastAsia="cs-CZ"/>
              </w:rPr>
            </w:pPr>
            <w:r>
              <w:rPr>
                <w:rFonts w:ascii="Calibri" w:hAnsi="Calibri"/>
                <w:color w:val="000000"/>
                <w:sz w:val="20"/>
                <w:szCs w:val="20"/>
                <w:lang w:val="cs-CZ" w:eastAsia="cs-CZ"/>
              </w:rPr>
              <w:t>K2</w:t>
            </w:r>
          </w:p>
        </w:tc>
        <w:tc>
          <w:tcPr>
            <w:tcW w:w="2600" w:type="dxa"/>
            <w:tcBorders>
              <w:top w:val="nil"/>
              <w:left w:val="nil"/>
              <w:bottom w:val="nil"/>
              <w:right w:val="nil"/>
            </w:tcBorders>
            <w:shd w:val="clear" w:color="auto" w:fill="auto"/>
            <w:noWrap/>
            <w:vAlign w:val="center"/>
            <w:hideMark/>
          </w:tcPr>
          <w:p w:rsidR="006C4A30" w:rsidRPr="003237D2" w:rsidRDefault="006C4A30" w:rsidP="003237D2">
            <w:pPr>
              <w:jc w:val="center"/>
              <w:rPr>
                <w:rFonts w:ascii="Calibri" w:hAnsi="Calibri"/>
                <w:color w:val="000000"/>
                <w:sz w:val="20"/>
                <w:szCs w:val="20"/>
                <w:lang w:val="cs-CZ" w:eastAsia="cs-CZ"/>
              </w:rPr>
            </w:pPr>
            <w:r>
              <w:rPr>
                <w:rFonts w:ascii="Calibri" w:hAnsi="Calibri"/>
                <w:color w:val="000000"/>
                <w:sz w:val="20"/>
                <w:szCs w:val="20"/>
                <w:lang w:val="cs-CZ" w:eastAsia="cs-CZ"/>
              </w:rPr>
              <w:t>200</w:t>
            </w:r>
          </w:p>
        </w:tc>
        <w:tc>
          <w:tcPr>
            <w:tcW w:w="2503" w:type="dxa"/>
            <w:tcBorders>
              <w:top w:val="nil"/>
              <w:left w:val="nil"/>
              <w:bottom w:val="nil"/>
              <w:right w:val="nil"/>
            </w:tcBorders>
            <w:shd w:val="clear" w:color="auto" w:fill="auto"/>
            <w:noWrap/>
            <w:vAlign w:val="center"/>
            <w:hideMark/>
          </w:tcPr>
          <w:p w:rsidR="006C4A30" w:rsidRPr="003237D2" w:rsidRDefault="006C4A30" w:rsidP="003237D2">
            <w:pPr>
              <w:jc w:val="center"/>
              <w:rPr>
                <w:rFonts w:ascii="Calibri" w:hAnsi="Calibri"/>
                <w:color w:val="000000"/>
                <w:sz w:val="20"/>
                <w:szCs w:val="20"/>
                <w:lang w:val="cs-CZ" w:eastAsia="cs-CZ"/>
              </w:rPr>
            </w:pPr>
            <w:r>
              <w:rPr>
                <w:rFonts w:ascii="Calibri" w:hAnsi="Calibri"/>
                <w:color w:val="000000"/>
                <w:sz w:val="20"/>
                <w:szCs w:val="20"/>
                <w:lang w:val="cs-CZ" w:eastAsia="cs-CZ"/>
              </w:rPr>
              <w:t>100</w:t>
            </w:r>
          </w:p>
        </w:tc>
        <w:tc>
          <w:tcPr>
            <w:tcW w:w="2268" w:type="dxa"/>
            <w:tcBorders>
              <w:top w:val="nil"/>
              <w:left w:val="nil"/>
              <w:bottom w:val="nil"/>
              <w:right w:val="nil"/>
            </w:tcBorders>
            <w:shd w:val="clear" w:color="auto" w:fill="auto"/>
            <w:noWrap/>
            <w:vAlign w:val="center"/>
            <w:hideMark/>
          </w:tcPr>
          <w:p w:rsidR="006C4A30" w:rsidRPr="003237D2" w:rsidRDefault="006C4A30" w:rsidP="003237D2">
            <w:pPr>
              <w:jc w:val="center"/>
              <w:rPr>
                <w:rFonts w:ascii="Calibri" w:hAnsi="Calibri"/>
                <w:color w:val="000000"/>
                <w:sz w:val="20"/>
                <w:szCs w:val="20"/>
                <w:lang w:val="cs-CZ" w:eastAsia="cs-CZ"/>
              </w:rPr>
            </w:pPr>
            <w:r>
              <w:rPr>
                <w:rFonts w:ascii="Calibri" w:hAnsi="Calibri"/>
                <w:color w:val="000000"/>
                <w:sz w:val="20"/>
                <w:szCs w:val="20"/>
                <w:lang w:val="cs-CZ" w:eastAsia="cs-CZ"/>
              </w:rPr>
              <w:t>-</w:t>
            </w:r>
          </w:p>
        </w:tc>
      </w:tr>
      <w:tr w:rsidR="003237D2" w:rsidRPr="003237D2" w:rsidTr="003237D2">
        <w:trPr>
          <w:trHeight w:val="285"/>
        </w:trPr>
        <w:tc>
          <w:tcPr>
            <w:tcW w:w="1716" w:type="dxa"/>
            <w:tcBorders>
              <w:top w:val="nil"/>
              <w:left w:val="nil"/>
              <w:bottom w:val="nil"/>
              <w:right w:val="nil"/>
            </w:tcBorders>
            <w:shd w:val="clear" w:color="auto" w:fill="auto"/>
            <w:noWrap/>
            <w:vAlign w:val="center"/>
            <w:hideMark/>
          </w:tcPr>
          <w:p w:rsidR="003237D2" w:rsidRPr="003237D2" w:rsidRDefault="003237D2" w:rsidP="003237D2">
            <w:pPr>
              <w:jc w:val="center"/>
              <w:rPr>
                <w:rFonts w:ascii="Calibri" w:hAnsi="Calibri"/>
                <w:color w:val="000000"/>
                <w:sz w:val="20"/>
                <w:szCs w:val="20"/>
                <w:lang w:val="cs-CZ" w:eastAsia="cs-CZ"/>
              </w:rPr>
            </w:pPr>
            <w:r w:rsidRPr="003237D2">
              <w:rPr>
                <w:rFonts w:ascii="Calibri" w:hAnsi="Calibri"/>
                <w:color w:val="000000"/>
                <w:sz w:val="20"/>
                <w:szCs w:val="20"/>
                <w:lang w:val="cs-CZ" w:eastAsia="cs-CZ"/>
              </w:rPr>
              <w:t>P1</w:t>
            </w:r>
          </w:p>
        </w:tc>
        <w:tc>
          <w:tcPr>
            <w:tcW w:w="2600" w:type="dxa"/>
            <w:tcBorders>
              <w:top w:val="nil"/>
              <w:left w:val="nil"/>
              <w:bottom w:val="nil"/>
              <w:right w:val="nil"/>
            </w:tcBorders>
            <w:shd w:val="clear" w:color="auto" w:fill="auto"/>
            <w:noWrap/>
            <w:vAlign w:val="center"/>
            <w:hideMark/>
          </w:tcPr>
          <w:p w:rsidR="003237D2" w:rsidRPr="003237D2" w:rsidRDefault="003237D2" w:rsidP="003237D2">
            <w:pPr>
              <w:jc w:val="center"/>
              <w:rPr>
                <w:rFonts w:ascii="Calibri" w:hAnsi="Calibri"/>
                <w:color w:val="000000"/>
                <w:sz w:val="20"/>
                <w:szCs w:val="20"/>
                <w:lang w:val="cs-CZ" w:eastAsia="cs-CZ"/>
              </w:rPr>
            </w:pPr>
            <w:r w:rsidRPr="003237D2">
              <w:rPr>
                <w:rFonts w:ascii="Calibri" w:hAnsi="Calibri"/>
                <w:color w:val="000000"/>
                <w:sz w:val="20"/>
                <w:szCs w:val="20"/>
                <w:lang w:val="cs-CZ" w:eastAsia="cs-CZ"/>
              </w:rPr>
              <w:t>100</w:t>
            </w:r>
          </w:p>
        </w:tc>
        <w:tc>
          <w:tcPr>
            <w:tcW w:w="2503" w:type="dxa"/>
            <w:tcBorders>
              <w:top w:val="nil"/>
              <w:left w:val="nil"/>
              <w:bottom w:val="nil"/>
              <w:right w:val="nil"/>
            </w:tcBorders>
            <w:shd w:val="clear" w:color="auto" w:fill="auto"/>
            <w:noWrap/>
            <w:vAlign w:val="center"/>
            <w:hideMark/>
          </w:tcPr>
          <w:p w:rsidR="003237D2" w:rsidRPr="003237D2" w:rsidRDefault="003237D2" w:rsidP="003237D2">
            <w:pPr>
              <w:jc w:val="center"/>
              <w:rPr>
                <w:rFonts w:ascii="Calibri" w:hAnsi="Calibri"/>
                <w:color w:val="000000"/>
                <w:sz w:val="20"/>
                <w:szCs w:val="20"/>
                <w:lang w:val="cs-CZ" w:eastAsia="cs-CZ"/>
              </w:rPr>
            </w:pPr>
            <w:r w:rsidRPr="003237D2">
              <w:rPr>
                <w:rFonts w:ascii="Calibri" w:hAnsi="Calibri"/>
                <w:color w:val="000000"/>
                <w:sz w:val="20"/>
                <w:szCs w:val="20"/>
                <w:lang w:val="cs-CZ" w:eastAsia="cs-CZ"/>
              </w:rPr>
              <w:t>100</w:t>
            </w:r>
          </w:p>
        </w:tc>
        <w:tc>
          <w:tcPr>
            <w:tcW w:w="2268" w:type="dxa"/>
            <w:tcBorders>
              <w:top w:val="nil"/>
              <w:left w:val="nil"/>
              <w:bottom w:val="nil"/>
              <w:right w:val="nil"/>
            </w:tcBorders>
            <w:shd w:val="clear" w:color="auto" w:fill="auto"/>
            <w:noWrap/>
            <w:vAlign w:val="center"/>
            <w:hideMark/>
          </w:tcPr>
          <w:p w:rsidR="003237D2" w:rsidRPr="003237D2" w:rsidRDefault="003237D2" w:rsidP="003237D2">
            <w:pPr>
              <w:jc w:val="center"/>
              <w:rPr>
                <w:rFonts w:ascii="Calibri" w:hAnsi="Calibri"/>
                <w:color w:val="000000"/>
                <w:sz w:val="20"/>
                <w:szCs w:val="20"/>
                <w:lang w:val="cs-CZ" w:eastAsia="cs-CZ"/>
              </w:rPr>
            </w:pPr>
            <w:r w:rsidRPr="003237D2">
              <w:rPr>
                <w:rFonts w:ascii="Calibri" w:hAnsi="Calibri"/>
                <w:color w:val="000000"/>
                <w:sz w:val="20"/>
                <w:szCs w:val="20"/>
                <w:lang w:val="cs-CZ" w:eastAsia="cs-CZ"/>
              </w:rPr>
              <w:t>0.5</w:t>
            </w:r>
          </w:p>
        </w:tc>
      </w:tr>
      <w:tr w:rsidR="003237D2" w:rsidRPr="003237D2" w:rsidTr="003237D2">
        <w:trPr>
          <w:trHeight w:val="285"/>
        </w:trPr>
        <w:tc>
          <w:tcPr>
            <w:tcW w:w="1716" w:type="dxa"/>
            <w:tcBorders>
              <w:top w:val="nil"/>
              <w:left w:val="nil"/>
              <w:bottom w:val="nil"/>
              <w:right w:val="nil"/>
            </w:tcBorders>
            <w:shd w:val="clear" w:color="auto" w:fill="auto"/>
            <w:noWrap/>
            <w:vAlign w:val="center"/>
            <w:hideMark/>
          </w:tcPr>
          <w:p w:rsidR="003237D2" w:rsidRPr="003237D2" w:rsidRDefault="003237D2" w:rsidP="003237D2">
            <w:pPr>
              <w:jc w:val="center"/>
              <w:rPr>
                <w:rFonts w:ascii="Calibri" w:hAnsi="Calibri"/>
                <w:color w:val="000000"/>
                <w:sz w:val="20"/>
                <w:szCs w:val="20"/>
                <w:lang w:val="cs-CZ" w:eastAsia="cs-CZ"/>
              </w:rPr>
            </w:pPr>
            <w:r w:rsidRPr="003237D2">
              <w:rPr>
                <w:rFonts w:ascii="Calibri" w:hAnsi="Calibri"/>
                <w:color w:val="000000"/>
                <w:sz w:val="20"/>
                <w:szCs w:val="20"/>
                <w:lang w:val="cs-CZ" w:eastAsia="cs-CZ"/>
              </w:rPr>
              <w:t>P2</w:t>
            </w:r>
          </w:p>
        </w:tc>
        <w:tc>
          <w:tcPr>
            <w:tcW w:w="2600" w:type="dxa"/>
            <w:tcBorders>
              <w:top w:val="nil"/>
              <w:left w:val="nil"/>
              <w:bottom w:val="nil"/>
              <w:right w:val="nil"/>
            </w:tcBorders>
            <w:shd w:val="clear" w:color="auto" w:fill="auto"/>
            <w:noWrap/>
            <w:vAlign w:val="center"/>
            <w:hideMark/>
          </w:tcPr>
          <w:p w:rsidR="003237D2" w:rsidRPr="003237D2" w:rsidRDefault="003237D2" w:rsidP="003237D2">
            <w:pPr>
              <w:jc w:val="center"/>
              <w:rPr>
                <w:rFonts w:ascii="Calibri" w:hAnsi="Calibri"/>
                <w:color w:val="000000"/>
                <w:sz w:val="20"/>
                <w:szCs w:val="20"/>
                <w:lang w:val="cs-CZ" w:eastAsia="cs-CZ"/>
              </w:rPr>
            </w:pPr>
            <w:r w:rsidRPr="003237D2">
              <w:rPr>
                <w:rFonts w:ascii="Calibri" w:hAnsi="Calibri"/>
                <w:color w:val="000000"/>
                <w:sz w:val="20"/>
                <w:szCs w:val="20"/>
                <w:lang w:val="cs-CZ" w:eastAsia="cs-CZ"/>
              </w:rPr>
              <w:t>100</w:t>
            </w:r>
          </w:p>
        </w:tc>
        <w:tc>
          <w:tcPr>
            <w:tcW w:w="2503" w:type="dxa"/>
            <w:tcBorders>
              <w:top w:val="nil"/>
              <w:left w:val="nil"/>
              <w:bottom w:val="nil"/>
              <w:right w:val="nil"/>
            </w:tcBorders>
            <w:shd w:val="clear" w:color="auto" w:fill="auto"/>
            <w:noWrap/>
            <w:vAlign w:val="center"/>
            <w:hideMark/>
          </w:tcPr>
          <w:p w:rsidR="003237D2" w:rsidRPr="003237D2" w:rsidRDefault="003237D2" w:rsidP="003237D2">
            <w:pPr>
              <w:jc w:val="center"/>
              <w:rPr>
                <w:rFonts w:ascii="Calibri" w:hAnsi="Calibri"/>
                <w:color w:val="000000"/>
                <w:sz w:val="20"/>
                <w:szCs w:val="20"/>
                <w:lang w:val="cs-CZ" w:eastAsia="cs-CZ"/>
              </w:rPr>
            </w:pPr>
            <w:r w:rsidRPr="003237D2">
              <w:rPr>
                <w:rFonts w:ascii="Calibri" w:hAnsi="Calibri"/>
                <w:color w:val="000000"/>
                <w:sz w:val="20"/>
                <w:szCs w:val="20"/>
                <w:lang w:val="cs-CZ" w:eastAsia="cs-CZ"/>
              </w:rPr>
              <w:t>100</w:t>
            </w:r>
          </w:p>
        </w:tc>
        <w:tc>
          <w:tcPr>
            <w:tcW w:w="2268" w:type="dxa"/>
            <w:tcBorders>
              <w:top w:val="nil"/>
              <w:left w:val="nil"/>
              <w:bottom w:val="nil"/>
              <w:right w:val="nil"/>
            </w:tcBorders>
            <w:shd w:val="clear" w:color="auto" w:fill="auto"/>
            <w:noWrap/>
            <w:vAlign w:val="center"/>
            <w:hideMark/>
          </w:tcPr>
          <w:p w:rsidR="003237D2" w:rsidRPr="003237D2" w:rsidRDefault="003237D2" w:rsidP="003237D2">
            <w:pPr>
              <w:jc w:val="center"/>
              <w:rPr>
                <w:rFonts w:ascii="Calibri" w:hAnsi="Calibri"/>
                <w:color w:val="000000"/>
                <w:sz w:val="20"/>
                <w:szCs w:val="20"/>
                <w:lang w:val="cs-CZ" w:eastAsia="cs-CZ"/>
              </w:rPr>
            </w:pPr>
            <w:r w:rsidRPr="003237D2">
              <w:rPr>
                <w:rFonts w:ascii="Calibri" w:hAnsi="Calibri"/>
                <w:color w:val="000000"/>
                <w:sz w:val="20"/>
                <w:szCs w:val="20"/>
                <w:lang w:val="cs-CZ" w:eastAsia="cs-CZ"/>
              </w:rPr>
              <w:t>1.0</w:t>
            </w:r>
          </w:p>
        </w:tc>
      </w:tr>
      <w:tr w:rsidR="003237D2" w:rsidRPr="003237D2" w:rsidTr="003237D2">
        <w:trPr>
          <w:trHeight w:val="285"/>
        </w:trPr>
        <w:tc>
          <w:tcPr>
            <w:tcW w:w="1716" w:type="dxa"/>
            <w:tcBorders>
              <w:top w:val="nil"/>
              <w:left w:val="nil"/>
              <w:bottom w:val="nil"/>
              <w:right w:val="nil"/>
            </w:tcBorders>
            <w:shd w:val="clear" w:color="auto" w:fill="auto"/>
            <w:noWrap/>
            <w:vAlign w:val="center"/>
            <w:hideMark/>
          </w:tcPr>
          <w:p w:rsidR="003237D2" w:rsidRPr="003237D2" w:rsidRDefault="003237D2" w:rsidP="003237D2">
            <w:pPr>
              <w:jc w:val="center"/>
              <w:rPr>
                <w:rFonts w:ascii="Calibri" w:hAnsi="Calibri"/>
                <w:color w:val="000000"/>
                <w:sz w:val="20"/>
                <w:szCs w:val="20"/>
                <w:lang w:val="cs-CZ" w:eastAsia="cs-CZ"/>
              </w:rPr>
            </w:pPr>
            <w:r w:rsidRPr="003237D2">
              <w:rPr>
                <w:rFonts w:ascii="Calibri" w:hAnsi="Calibri"/>
                <w:color w:val="000000"/>
                <w:sz w:val="20"/>
                <w:szCs w:val="20"/>
                <w:lang w:val="cs-CZ" w:eastAsia="cs-CZ"/>
              </w:rPr>
              <w:t>P3</w:t>
            </w:r>
          </w:p>
        </w:tc>
        <w:tc>
          <w:tcPr>
            <w:tcW w:w="2600" w:type="dxa"/>
            <w:tcBorders>
              <w:top w:val="nil"/>
              <w:left w:val="nil"/>
              <w:bottom w:val="nil"/>
              <w:right w:val="nil"/>
            </w:tcBorders>
            <w:shd w:val="clear" w:color="auto" w:fill="auto"/>
            <w:noWrap/>
            <w:vAlign w:val="center"/>
            <w:hideMark/>
          </w:tcPr>
          <w:p w:rsidR="003237D2" w:rsidRPr="003237D2" w:rsidRDefault="003237D2" w:rsidP="003237D2">
            <w:pPr>
              <w:jc w:val="center"/>
              <w:rPr>
                <w:rFonts w:ascii="Calibri" w:hAnsi="Calibri"/>
                <w:color w:val="000000"/>
                <w:sz w:val="20"/>
                <w:szCs w:val="20"/>
                <w:lang w:val="cs-CZ" w:eastAsia="cs-CZ"/>
              </w:rPr>
            </w:pPr>
            <w:r w:rsidRPr="003237D2">
              <w:rPr>
                <w:rFonts w:ascii="Calibri" w:hAnsi="Calibri"/>
                <w:color w:val="000000"/>
                <w:sz w:val="20"/>
                <w:szCs w:val="20"/>
                <w:lang w:val="cs-CZ" w:eastAsia="cs-CZ"/>
              </w:rPr>
              <w:t>100</w:t>
            </w:r>
          </w:p>
        </w:tc>
        <w:tc>
          <w:tcPr>
            <w:tcW w:w="2503" w:type="dxa"/>
            <w:tcBorders>
              <w:top w:val="nil"/>
              <w:left w:val="nil"/>
              <w:bottom w:val="nil"/>
              <w:right w:val="nil"/>
            </w:tcBorders>
            <w:shd w:val="clear" w:color="auto" w:fill="auto"/>
            <w:noWrap/>
            <w:vAlign w:val="center"/>
            <w:hideMark/>
          </w:tcPr>
          <w:p w:rsidR="003237D2" w:rsidRPr="003237D2" w:rsidRDefault="003237D2" w:rsidP="003237D2">
            <w:pPr>
              <w:jc w:val="center"/>
              <w:rPr>
                <w:rFonts w:ascii="Calibri" w:hAnsi="Calibri"/>
                <w:color w:val="000000"/>
                <w:sz w:val="20"/>
                <w:szCs w:val="20"/>
                <w:lang w:val="cs-CZ" w:eastAsia="cs-CZ"/>
              </w:rPr>
            </w:pPr>
            <w:r w:rsidRPr="003237D2">
              <w:rPr>
                <w:rFonts w:ascii="Calibri" w:hAnsi="Calibri"/>
                <w:color w:val="000000"/>
                <w:sz w:val="20"/>
                <w:szCs w:val="20"/>
                <w:lang w:val="cs-CZ" w:eastAsia="cs-CZ"/>
              </w:rPr>
              <w:t>100</w:t>
            </w:r>
          </w:p>
        </w:tc>
        <w:tc>
          <w:tcPr>
            <w:tcW w:w="2268" w:type="dxa"/>
            <w:tcBorders>
              <w:top w:val="nil"/>
              <w:left w:val="nil"/>
              <w:bottom w:val="nil"/>
              <w:right w:val="nil"/>
            </w:tcBorders>
            <w:shd w:val="clear" w:color="auto" w:fill="auto"/>
            <w:noWrap/>
            <w:vAlign w:val="center"/>
            <w:hideMark/>
          </w:tcPr>
          <w:p w:rsidR="003237D2" w:rsidRPr="003237D2" w:rsidRDefault="003237D2" w:rsidP="003237D2">
            <w:pPr>
              <w:jc w:val="center"/>
              <w:rPr>
                <w:rFonts w:ascii="Calibri" w:hAnsi="Calibri"/>
                <w:color w:val="000000"/>
                <w:sz w:val="20"/>
                <w:szCs w:val="20"/>
                <w:lang w:val="cs-CZ" w:eastAsia="cs-CZ"/>
              </w:rPr>
            </w:pPr>
            <w:r w:rsidRPr="003237D2">
              <w:rPr>
                <w:rFonts w:ascii="Calibri" w:hAnsi="Calibri"/>
                <w:color w:val="000000"/>
                <w:sz w:val="20"/>
                <w:szCs w:val="20"/>
                <w:lang w:val="cs-CZ" w:eastAsia="cs-CZ"/>
              </w:rPr>
              <w:t>1.5</w:t>
            </w:r>
          </w:p>
        </w:tc>
      </w:tr>
      <w:tr w:rsidR="003237D2" w:rsidRPr="003237D2" w:rsidTr="003237D2">
        <w:trPr>
          <w:trHeight w:val="285"/>
        </w:trPr>
        <w:tc>
          <w:tcPr>
            <w:tcW w:w="1716" w:type="dxa"/>
            <w:tcBorders>
              <w:top w:val="nil"/>
              <w:left w:val="nil"/>
              <w:bottom w:val="nil"/>
              <w:right w:val="nil"/>
            </w:tcBorders>
            <w:shd w:val="clear" w:color="auto" w:fill="auto"/>
            <w:noWrap/>
            <w:vAlign w:val="center"/>
            <w:hideMark/>
          </w:tcPr>
          <w:p w:rsidR="003237D2" w:rsidRPr="003237D2" w:rsidRDefault="003237D2" w:rsidP="003237D2">
            <w:pPr>
              <w:jc w:val="center"/>
              <w:rPr>
                <w:rFonts w:ascii="Calibri" w:hAnsi="Calibri"/>
                <w:color w:val="000000"/>
                <w:sz w:val="20"/>
                <w:szCs w:val="20"/>
                <w:lang w:val="cs-CZ" w:eastAsia="cs-CZ"/>
              </w:rPr>
            </w:pPr>
            <w:r w:rsidRPr="003237D2">
              <w:rPr>
                <w:rFonts w:ascii="Calibri" w:hAnsi="Calibri"/>
                <w:color w:val="000000"/>
                <w:sz w:val="20"/>
                <w:szCs w:val="20"/>
                <w:lang w:val="cs-CZ" w:eastAsia="cs-CZ"/>
              </w:rPr>
              <w:t>P4</w:t>
            </w:r>
          </w:p>
        </w:tc>
        <w:tc>
          <w:tcPr>
            <w:tcW w:w="2600" w:type="dxa"/>
            <w:tcBorders>
              <w:top w:val="nil"/>
              <w:left w:val="nil"/>
              <w:bottom w:val="nil"/>
              <w:right w:val="nil"/>
            </w:tcBorders>
            <w:shd w:val="clear" w:color="auto" w:fill="auto"/>
            <w:noWrap/>
            <w:vAlign w:val="center"/>
            <w:hideMark/>
          </w:tcPr>
          <w:p w:rsidR="003237D2" w:rsidRPr="003237D2" w:rsidRDefault="003237D2" w:rsidP="003237D2">
            <w:pPr>
              <w:jc w:val="center"/>
              <w:rPr>
                <w:rFonts w:ascii="Calibri" w:hAnsi="Calibri"/>
                <w:color w:val="000000"/>
                <w:sz w:val="20"/>
                <w:szCs w:val="20"/>
                <w:lang w:val="cs-CZ" w:eastAsia="cs-CZ"/>
              </w:rPr>
            </w:pPr>
            <w:r w:rsidRPr="003237D2">
              <w:rPr>
                <w:rFonts w:ascii="Calibri" w:hAnsi="Calibri"/>
                <w:color w:val="000000"/>
                <w:sz w:val="20"/>
                <w:szCs w:val="20"/>
                <w:lang w:val="cs-CZ" w:eastAsia="cs-CZ"/>
              </w:rPr>
              <w:t>100</w:t>
            </w:r>
          </w:p>
        </w:tc>
        <w:tc>
          <w:tcPr>
            <w:tcW w:w="2503" w:type="dxa"/>
            <w:tcBorders>
              <w:top w:val="nil"/>
              <w:left w:val="nil"/>
              <w:bottom w:val="nil"/>
              <w:right w:val="nil"/>
            </w:tcBorders>
            <w:shd w:val="clear" w:color="auto" w:fill="auto"/>
            <w:noWrap/>
            <w:vAlign w:val="center"/>
            <w:hideMark/>
          </w:tcPr>
          <w:p w:rsidR="003237D2" w:rsidRPr="003237D2" w:rsidRDefault="003237D2" w:rsidP="003237D2">
            <w:pPr>
              <w:jc w:val="center"/>
              <w:rPr>
                <w:rFonts w:ascii="Calibri" w:hAnsi="Calibri"/>
                <w:color w:val="000000"/>
                <w:sz w:val="20"/>
                <w:szCs w:val="20"/>
                <w:lang w:val="cs-CZ" w:eastAsia="cs-CZ"/>
              </w:rPr>
            </w:pPr>
            <w:r w:rsidRPr="003237D2">
              <w:rPr>
                <w:rFonts w:ascii="Calibri" w:hAnsi="Calibri"/>
                <w:color w:val="000000"/>
                <w:sz w:val="20"/>
                <w:szCs w:val="20"/>
                <w:lang w:val="cs-CZ" w:eastAsia="cs-CZ"/>
              </w:rPr>
              <w:t>100</w:t>
            </w:r>
          </w:p>
        </w:tc>
        <w:tc>
          <w:tcPr>
            <w:tcW w:w="2268" w:type="dxa"/>
            <w:tcBorders>
              <w:top w:val="nil"/>
              <w:left w:val="nil"/>
              <w:bottom w:val="nil"/>
              <w:right w:val="nil"/>
            </w:tcBorders>
            <w:shd w:val="clear" w:color="auto" w:fill="auto"/>
            <w:noWrap/>
            <w:vAlign w:val="center"/>
            <w:hideMark/>
          </w:tcPr>
          <w:p w:rsidR="003237D2" w:rsidRPr="003237D2" w:rsidRDefault="003237D2" w:rsidP="003237D2">
            <w:pPr>
              <w:jc w:val="center"/>
              <w:rPr>
                <w:rFonts w:ascii="Calibri" w:hAnsi="Calibri"/>
                <w:color w:val="000000"/>
                <w:sz w:val="20"/>
                <w:szCs w:val="20"/>
                <w:lang w:val="cs-CZ" w:eastAsia="cs-CZ"/>
              </w:rPr>
            </w:pPr>
            <w:r w:rsidRPr="003237D2">
              <w:rPr>
                <w:rFonts w:ascii="Calibri" w:hAnsi="Calibri"/>
                <w:color w:val="000000"/>
                <w:sz w:val="20"/>
                <w:szCs w:val="20"/>
                <w:lang w:val="cs-CZ" w:eastAsia="cs-CZ"/>
              </w:rPr>
              <w:t>2.0</w:t>
            </w:r>
          </w:p>
        </w:tc>
      </w:tr>
      <w:tr w:rsidR="003237D2" w:rsidRPr="003237D2" w:rsidTr="003237D2">
        <w:trPr>
          <w:trHeight w:val="285"/>
        </w:trPr>
        <w:tc>
          <w:tcPr>
            <w:tcW w:w="1716" w:type="dxa"/>
            <w:tcBorders>
              <w:top w:val="nil"/>
              <w:left w:val="nil"/>
              <w:bottom w:val="nil"/>
              <w:right w:val="nil"/>
            </w:tcBorders>
            <w:shd w:val="clear" w:color="auto" w:fill="auto"/>
            <w:noWrap/>
            <w:vAlign w:val="center"/>
            <w:hideMark/>
          </w:tcPr>
          <w:p w:rsidR="003237D2" w:rsidRPr="003237D2" w:rsidRDefault="003237D2" w:rsidP="003237D2">
            <w:pPr>
              <w:jc w:val="center"/>
              <w:rPr>
                <w:rFonts w:ascii="Calibri" w:hAnsi="Calibri"/>
                <w:color w:val="000000"/>
                <w:sz w:val="20"/>
                <w:szCs w:val="20"/>
                <w:lang w:val="cs-CZ" w:eastAsia="cs-CZ"/>
              </w:rPr>
            </w:pPr>
            <w:r w:rsidRPr="003237D2">
              <w:rPr>
                <w:rFonts w:ascii="Calibri" w:hAnsi="Calibri"/>
                <w:color w:val="000000"/>
                <w:sz w:val="20"/>
                <w:szCs w:val="20"/>
                <w:lang w:val="cs-CZ" w:eastAsia="cs-CZ"/>
              </w:rPr>
              <w:t>P5</w:t>
            </w:r>
          </w:p>
        </w:tc>
        <w:tc>
          <w:tcPr>
            <w:tcW w:w="2600" w:type="dxa"/>
            <w:tcBorders>
              <w:top w:val="nil"/>
              <w:left w:val="nil"/>
              <w:bottom w:val="nil"/>
              <w:right w:val="nil"/>
            </w:tcBorders>
            <w:shd w:val="clear" w:color="auto" w:fill="auto"/>
            <w:noWrap/>
            <w:vAlign w:val="center"/>
            <w:hideMark/>
          </w:tcPr>
          <w:p w:rsidR="003237D2" w:rsidRPr="003237D2" w:rsidRDefault="003237D2" w:rsidP="003237D2">
            <w:pPr>
              <w:jc w:val="center"/>
              <w:rPr>
                <w:rFonts w:ascii="Calibri" w:hAnsi="Calibri"/>
                <w:color w:val="000000"/>
                <w:sz w:val="20"/>
                <w:szCs w:val="20"/>
                <w:lang w:val="cs-CZ" w:eastAsia="cs-CZ"/>
              </w:rPr>
            </w:pPr>
            <w:r w:rsidRPr="003237D2">
              <w:rPr>
                <w:rFonts w:ascii="Calibri" w:hAnsi="Calibri"/>
                <w:color w:val="000000"/>
                <w:sz w:val="20"/>
                <w:szCs w:val="20"/>
                <w:lang w:val="cs-CZ" w:eastAsia="cs-CZ"/>
              </w:rPr>
              <w:t>100</w:t>
            </w:r>
          </w:p>
        </w:tc>
        <w:tc>
          <w:tcPr>
            <w:tcW w:w="2503" w:type="dxa"/>
            <w:tcBorders>
              <w:top w:val="nil"/>
              <w:left w:val="nil"/>
              <w:bottom w:val="nil"/>
              <w:right w:val="nil"/>
            </w:tcBorders>
            <w:shd w:val="clear" w:color="auto" w:fill="auto"/>
            <w:noWrap/>
            <w:vAlign w:val="center"/>
            <w:hideMark/>
          </w:tcPr>
          <w:p w:rsidR="003237D2" w:rsidRPr="003237D2" w:rsidRDefault="003237D2" w:rsidP="003237D2">
            <w:pPr>
              <w:jc w:val="center"/>
              <w:rPr>
                <w:rFonts w:ascii="Calibri" w:hAnsi="Calibri"/>
                <w:color w:val="000000"/>
                <w:sz w:val="20"/>
                <w:szCs w:val="20"/>
                <w:lang w:val="cs-CZ" w:eastAsia="cs-CZ"/>
              </w:rPr>
            </w:pPr>
            <w:r w:rsidRPr="003237D2">
              <w:rPr>
                <w:rFonts w:ascii="Calibri" w:hAnsi="Calibri"/>
                <w:color w:val="000000"/>
                <w:sz w:val="20"/>
                <w:szCs w:val="20"/>
                <w:lang w:val="cs-CZ" w:eastAsia="cs-CZ"/>
              </w:rPr>
              <w:t>100</w:t>
            </w:r>
          </w:p>
        </w:tc>
        <w:tc>
          <w:tcPr>
            <w:tcW w:w="2268" w:type="dxa"/>
            <w:tcBorders>
              <w:top w:val="nil"/>
              <w:left w:val="nil"/>
              <w:bottom w:val="nil"/>
              <w:right w:val="nil"/>
            </w:tcBorders>
            <w:shd w:val="clear" w:color="auto" w:fill="auto"/>
            <w:noWrap/>
            <w:vAlign w:val="center"/>
            <w:hideMark/>
          </w:tcPr>
          <w:p w:rsidR="003237D2" w:rsidRPr="003237D2" w:rsidRDefault="003237D2" w:rsidP="003237D2">
            <w:pPr>
              <w:jc w:val="center"/>
              <w:rPr>
                <w:rFonts w:ascii="Calibri" w:hAnsi="Calibri"/>
                <w:color w:val="000000"/>
                <w:sz w:val="20"/>
                <w:szCs w:val="20"/>
                <w:lang w:val="cs-CZ" w:eastAsia="cs-CZ"/>
              </w:rPr>
            </w:pPr>
            <w:r w:rsidRPr="003237D2">
              <w:rPr>
                <w:rFonts w:ascii="Calibri" w:hAnsi="Calibri"/>
                <w:color w:val="000000"/>
                <w:sz w:val="20"/>
                <w:szCs w:val="20"/>
                <w:lang w:val="cs-CZ" w:eastAsia="cs-CZ"/>
              </w:rPr>
              <w:t>3.0</w:t>
            </w:r>
          </w:p>
        </w:tc>
      </w:tr>
      <w:tr w:rsidR="003237D2" w:rsidRPr="003237D2" w:rsidTr="003237D2">
        <w:trPr>
          <w:trHeight w:val="285"/>
        </w:trPr>
        <w:tc>
          <w:tcPr>
            <w:tcW w:w="1716" w:type="dxa"/>
            <w:tcBorders>
              <w:top w:val="nil"/>
              <w:left w:val="nil"/>
              <w:bottom w:val="nil"/>
              <w:right w:val="nil"/>
            </w:tcBorders>
            <w:shd w:val="clear" w:color="auto" w:fill="auto"/>
            <w:noWrap/>
            <w:vAlign w:val="center"/>
            <w:hideMark/>
          </w:tcPr>
          <w:p w:rsidR="003237D2" w:rsidRPr="003237D2" w:rsidRDefault="003237D2" w:rsidP="003237D2">
            <w:pPr>
              <w:jc w:val="center"/>
              <w:rPr>
                <w:rFonts w:ascii="Calibri" w:hAnsi="Calibri"/>
                <w:color w:val="000000"/>
                <w:sz w:val="20"/>
                <w:szCs w:val="20"/>
                <w:lang w:val="cs-CZ" w:eastAsia="cs-CZ"/>
              </w:rPr>
            </w:pPr>
            <w:r w:rsidRPr="003237D2">
              <w:rPr>
                <w:rFonts w:ascii="Calibri" w:hAnsi="Calibri"/>
                <w:color w:val="000000"/>
                <w:sz w:val="20"/>
                <w:szCs w:val="20"/>
                <w:lang w:val="cs-CZ" w:eastAsia="cs-CZ"/>
              </w:rPr>
              <w:t>P6</w:t>
            </w:r>
          </w:p>
        </w:tc>
        <w:tc>
          <w:tcPr>
            <w:tcW w:w="2600" w:type="dxa"/>
            <w:tcBorders>
              <w:top w:val="nil"/>
              <w:left w:val="nil"/>
              <w:bottom w:val="nil"/>
              <w:right w:val="nil"/>
            </w:tcBorders>
            <w:shd w:val="clear" w:color="auto" w:fill="auto"/>
            <w:noWrap/>
            <w:vAlign w:val="center"/>
            <w:hideMark/>
          </w:tcPr>
          <w:p w:rsidR="003237D2" w:rsidRPr="003237D2" w:rsidRDefault="003237D2" w:rsidP="003237D2">
            <w:pPr>
              <w:jc w:val="center"/>
              <w:rPr>
                <w:rFonts w:ascii="Calibri" w:hAnsi="Calibri"/>
                <w:color w:val="000000"/>
                <w:sz w:val="20"/>
                <w:szCs w:val="20"/>
                <w:lang w:val="cs-CZ" w:eastAsia="cs-CZ"/>
              </w:rPr>
            </w:pPr>
            <w:r w:rsidRPr="003237D2">
              <w:rPr>
                <w:rFonts w:ascii="Calibri" w:hAnsi="Calibri"/>
                <w:color w:val="000000"/>
                <w:sz w:val="20"/>
                <w:szCs w:val="20"/>
                <w:lang w:val="cs-CZ" w:eastAsia="cs-CZ"/>
              </w:rPr>
              <w:t>200</w:t>
            </w:r>
          </w:p>
        </w:tc>
        <w:tc>
          <w:tcPr>
            <w:tcW w:w="2503" w:type="dxa"/>
            <w:tcBorders>
              <w:top w:val="nil"/>
              <w:left w:val="nil"/>
              <w:bottom w:val="nil"/>
              <w:right w:val="nil"/>
            </w:tcBorders>
            <w:shd w:val="clear" w:color="auto" w:fill="auto"/>
            <w:noWrap/>
            <w:vAlign w:val="center"/>
            <w:hideMark/>
          </w:tcPr>
          <w:p w:rsidR="003237D2" w:rsidRPr="003237D2" w:rsidRDefault="003237D2" w:rsidP="003237D2">
            <w:pPr>
              <w:jc w:val="center"/>
              <w:rPr>
                <w:rFonts w:ascii="Calibri" w:hAnsi="Calibri"/>
                <w:color w:val="000000"/>
                <w:sz w:val="20"/>
                <w:szCs w:val="20"/>
                <w:lang w:val="cs-CZ" w:eastAsia="cs-CZ"/>
              </w:rPr>
            </w:pPr>
            <w:r w:rsidRPr="003237D2">
              <w:rPr>
                <w:rFonts w:ascii="Calibri" w:hAnsi="Calibri"/>
                <w:color w:val="000000"/>
                <w:sz w:val="20"/>
                <w:szCs w:val="20"/>
                <w:lang w:val="cs-CZ" w:eastAsia="cs-CZ"/>
              </w:rPr>
              <w:t>100</w:t>
            </w:r>
          </w:p>
        </w:tc>
        <w:tc>
          <w:tcPr>
            <w:tcW w:w="2268" w:type="dxa"/>
            <w:tcBorders>
              <w:top w:val="nil"/>
              <w:left w:val="nil"/>
              <w:bottom w:val="nil"/>
              <w:right w:val="nil"/>
            </w:tcBorders>
            <w:shd w:val="clear" w:color="auto" w:fill="auto"/>
            <w:noWrap/>
            <w:vAlign w:val="center"/>
            <w:hideMark/>
          </w:tcPr>
          <w:p w:rsidR="003237D2" w:rsidRPr="003237D2" w:rsidRDefault="003237D2" w:rsidP="003237D2">
            <w:pPr>
              <w:jc w:val="center"/>
              <w:rPr>
                <w:rFonts w:ascii="Calibri" w:hAnsi="Calibri"/>
                <w:color w:val="000000"/>
                <w:sz w:val="20"/>
                <w:szCs w:val="20"/>
                <w:lang w:val="cs-CZ" w:eastAsia="cs-CZ"/>
              </w:rPr>
            </w:pPr>
            <w:r w:rsidRPr="003237D2">
              <w:rPr>
                <w:rFonts w:ascii="Calibri" w:hAnsi="Calibri"/>
                <w:color w:val="000000"/>
                <w:sz w:val="20"/>
                <w:szCs w:val="20"/>
                <w:lang w:val="cs-CZ" w:eastAsia="cs-CZ"/>
              </w:rPr>
              <w:t>0.5</w:t>
            </w:r>
          </w:p>
        </w:tc>
      </w:tr>
      <w:tr w:rsidR="003237D2" w:rsidRPr="003237D2" w:rsidTr="003237D2">
        <w:trPr>
          <w:trHeight w:val="255"/>
        </w:trPr>
        <w:tc>
          <w:tcPr>
            <w:tcW w:w="1716" w:type="dxa"/>
            <w:tcBorders>
              <w:top w:val="nil"/>
              <w:left w:val="nil"/>
              <w:bottom w:val="nil"/>
              <w:right w:val="nil"/>
            </w:tcBorders>
            <w:shd w:val="clear" w:color="auto" w:fill="auto"/>
            <w:noWrap/>
            <w:vAlign w:val="center"/>
            <w:hideMark/>
          </w:tcPr>
          <w:p w:rsidR="003237D2" w:rsidRPr="003237D2" w:rsidRDefault="003237D2" w:rsidP="003237D2">
            <w:pPr>
              <w:jc w:val="center"/>
              <w:rPr>
                <w:rFonts w:ascii="Calibri" w:hAnsi="Calibri"/>
                <w:color w:val="000000"/>
                <w:sz w:val="20"/>
                <w:szCs w:val="20"/>
                <w:lang w:val="cs-CZ" w:eastAsia="cs-CZ"/>
              </w:rPr>
            </w:pPr>
            <w:r w:rsidRPr="003237D2">
              <w:rPr>
                <w:rFonts w:ascii="Calibri" w:hAnsi="Calibri"/>
                <w:color w:val="000000"/>
                <w:sz w:val="20"/>
                <w:szCs w:val="20"/>
                <w:lang w:val="cs-CZ" w:eastAsia="cs-CZ"/>
              </w:rPr>
              <w:t>P7</w:t>
            </w:r>
          </w:p>
        </w:tc>
        <w:tc>
          <w:tcPr>
            <w:tcW w:w="2600" w:type="dxa"/>
            <w:tcBorders>
              <w:top w:val="nil"/>
              <w:left w:val="nil"/>
              <w:bottom w:val="nil"/>
              <w:right w:val="nil"/>
            </w:tcBorders>
            <w:shd w:val="clear" w:color="auto" w:fill="auto"/>
            <w:noWrap/>
            <w:vAlign w:val="center"/>
            <w:hideMark/>
          </w:tcPr>
          <w:p w:rsidR="003237D2" w:rsidRPr="003237D2" w:rsidRDefault="003237D2" w:rsidP="003237D2">
            <w:pPr>
              <w:jc w:val="center"/>
              <w:rPr>
                <w:rFonts w:ascii="Calibri" w:hAnsi="Calibri"/>
                <w:color w:val="000000"/>
                <w:sz w:val="20"/>
                <w:szCs w:val="20"/>
                <w:lang w:val="cs-CZ" w:eastAsia="cs-CZ"/>
              </w:rPr>
            </w:pPr>
            <w:r w:rsidRPr="003237D2">
              <w:rPr>
                <w:rFonts w:ascii="Calibri" w:hAnsi="Calibri"/>
                <w:color w:val="000000"/>
                <w:sz w:val="20"/>
                <w:szCs w:val="20"/>
                <w:lang w:val="cs-CZ" w:eastAsia="cs-CZ"/>
              </w:rPr>
              <w:t>200</w:t>
            </w:r>
          </w:p>
        </w:tc>
        <w:tc>
          <w:tcPr>
            <w:tcW w:w="2503" w:type="dxa"/>
            <w:tcBorders>
              <w:top w:val="nil"/>
              <w:left w:val="nil"/>
              <w:bottom w:val="nil"/>
              <w:right w:val="nil"/>
            </w:tcBorders>
            <w:shd w:val="clear" w:color="auto" w:fill="auto"/>
            <w:noWrap/>
            <w:vAlign w:val="center"/>
            <w:hideMark/>
          </w:tcPr>
          <w:p w:rsidR="003237D2" w:rsidRPr="003237D2" w:rsidRDefault="003237D2" w:rsidP="003237D2">
            <w:pPr>
              <w:jc w:val="center"/>
              <w:rPr>
                <w:rFonts w:ascii="Calibri" w:hAnsi="Calibri"/>
                <w:color w:val="000000"/>
                <w:sz w:val="20"/>
                <w:szCs w:val="20"/>
                <w:lang w:val="cs-CZ" w:eastAsia="cs-CZ"/>
              </w:rPr>
            </w:pPr>
            <w:r w:rsidRPr="003237D2">
              <w:rPr>
                <w:rFonts w:ascii="Calibri" w:hAnsi="Calibri"/>
                <w:color w:val="000000"/>
                <w:sz w:val="20"/>
                <w:szCs w:val="20"/>
                <w:lang w:val="cs-CZ" w:eastAsia="cs-CZ"/>
              </w:rPr>
              <w:t>100</w:t>
            </w:r>
          </w:p>
        </w:tc>
        <w:tc>
          <w:tcPr>
            <w:tcW w:w="2268" w:type="dxa"/>
            <w:tcBorders>
              <w:top w:val="nil"/>
              <w:left w:val="nil"/>
              <w:bottom w:val="nil"/>
              <w:right w:val="nil"/>
            </w:tcBorders>
            <w:shd w:val="clear" w:color="auto" w:fill="auto"/>
            <w:noWrap/>
            <w:vAlign w:val="center"/>
            <w:hideMark/>
          </w:tcPr>
          <w:p w:rsidR="003237D2" w:rsidRPr="003237D2" w:rsidRDefault="003237D2" w:rsidP="003237D2">
            <w:pPr>
              <w:jc w:val="center"/>
              <w:rPr>
                <w:rFonts w:ascii="Calibri" w:hAnsi="Calibri"/>
                <w:color w:val="000000"/>
                <w:sz w:val="20"/>
                <w:szCs w:val="20"/>
                <w:lang w:val="cs-CZ" w:eastAsia="cs-CZ"/>
              </w:rPr>
            </w:pPr>
            <w:r w:rsidRPr="003237D2">
              <w:rPr>
                <w:rFonts w:ascii="Calibri" w:hAnsi="Calibri"/>
                <w:color w:val="000000"/>
                <w:sz w:val="20"/>
                <w:szCs w:val="20"/>
                <w:lang w:val="cs-CZ" w:eastAsia="cs-CZ"/>
              </w:rPr>
              <w:t>1.0</w:t>
            </w:r>
          </w:p>
        </w:tc>
      </w:tr>
      <w:tr w:rsidR="003237D2" w:rsidRPr="003237D2" w:rsidTr="003237D2">
        <w:trPr>
          <w:trHeight w:val="255"/>
        </w:trPr>
        <w:tc>
          <w:tcPr>
            <w:tcW w:w="1716" w:type="dxa"/>
            <w:tcBorders>
              <w:top w:val="nil"/>
              <w:left w:val="nil"/>
              <w:bottom w:val="single" w:sz="4" w:space="0" w:color="auto"/>
              <w:right w:val="nil"/>
            </w:tcBorders>
            <w:shd w:val="clear" w:color="auto" w:fill="auto"/>
            <w:noWrap/>
            <w:vAlign w:val="center"/>
            <w:hideMark/>
          </w:tcPr>
          <w:p w:rsidR="003237D2" w:rsidRPr="003237D2" w:rsidRDefault="003237D2" w:rsidP="003237D2">
            <w:pPr>
              <w:jc w:val="center"/>
              <w:rPr>
                <w:rFonts w:ascii="Calibri" w:hAnsi="Calibri"/>
                <w:color w:val="000000"/>
                <w:sz w:val="20"/>
                <w:szCs w:val="20"/>
                <w:lang w:val="cs-CZ" w:eastAsia="cs-CZ"/>
              </w:rPr>
            </w:pPr>
            <w:r w:rsidRPr="003237D2">
              <w:rPr>
                <w:rFonts w:ascii="Calibri" w:hAnsi="Calibri"/>
                <w:color w:val="000000"/>
                <w:sz w:val="20"/>
                <w:szCs w:val="20"/>
                <w:lang w:val="cs-CZ" w:eastAsia="cs-CZ"/>
              </w:rPr>
              <w:t>P8</w:t>
            </w:r>
          </w:p>
        </w:tc>
        <w:tc>
          <w:tcPr>
            <w:tcW w:w="2600" w:type="dxa"/>
            <w:tcBorders>
              <w:top w:val="nil"/>
              <w:left w:val="nil"/>
              <w:bottom w:val="single" w:sz="4" w:space="0" w:color="auto"/>
              <w:right w:val="nil"/>
            </w:tcBorders>
            <w:shd w:val="clear" w:color="auto" w:fill="auto"/>
            <w:noWrap/>
            <w:vAlign w:val="center"/>
            <w:hideMark/>
          </w:tcPr>
          <w:p w:rsidR="003237D2" w:rsidRPr="003237D2" w:rsidRDefault="003237D2" w:rsidP="003237D2">
            <w:pPr>
              <w:jc w:val="center"/>
              <w:rPr>
                <w:rFonts w:ascii="Calibri" w:hAnsi="Calibri"/>
                <w:color w:val="000000"/>
                <w:sz w:val="20"/>
                <w:szCs w:val="20"/>
                <w:lang w:val="cs-CZ" w:eastAsia="cs-CZ"/>
              </w:rPr>
            </w:pPr>
            <w:r w:rsidRPr="003237D2">
              <w:rPr>
                <w:rFonts w:ascii="Calibri" w:hAnsi="Calibri"/>
                <w:color w:val="000000"/>
                <w:sz w:val="20"/>
                <w:szCs w:val="20"/>
                <w:lang w:val="cs-CZ" w:eastAsia="cs-CZ"/>
              </w:rPr>
              <w:t>200</w:t>
            </w:r>
          </w:p>
        </w:tc>
        <w:tc>
          <w:tcPr>
            <w:tcW w:w="2503" w:type="dxa"/>
            <w:tcBorders>
              <w:top w:val="nil"/>
              <w:left w:val="nil"/>
              <w:bottom w:val="single" w:sz="4" w:space="0" w:color="auto"/>
              <w:right w:val="nil"/>
            </w:tcBorders>
            <w:shd w:val="clear" w:color="auto" w:fill="auto"/>
            <w:noWrap/>
            <w:vAlign w:val="center"/>
            <w:hideMark/>
          </w:tcPr>
          <w:p w:rsidR="003237D2" w:rsidRPr="003237D2" w:rsidRDefault="003237D2" w:rsidP="003237D2">
            <w:pPr>
              <w:jc w:val="center"/>
              <w:rPr>
                <w:rFonts w:ascii="Calibri" w:hAnsi="Calibri"/>
                <w:color w:val="000000"/>
                <w:sz w:val="20"/>
                <w:szCs w:val="20"/>
                <w:lang w:val="cs-CZ" w:eastAsia="cs-CZ"/>
              </w:rPr>
            </w:pPr>
            <w:r w:rsidRPr="003237D2">
              <w:rPr>
                <w:rFonts w:ascii="Calibri" w:hAnsi="Calibri"/>
                <w:color w:val="000000"/>
                <w:sz w:val="20"/>
                <w:szCs w:val="20"/>
                <w:lang w:val="cs-CZ" w:eastAsia="cs-CZ"/>
              </w:rPr>
              <w:t>100</w:t>
            </w:r>
          </w:p>
        </w:tc>
        <w:tc>
          <w:tcPr>
            <w:tcW w:w="2268" w:type="dxa"/>
            <w:tcBorders>
              <w:top w:val="nil"/>
              <w:left w:val="nil"/>
              <w:bottom w:val="single" w:sz="4" w:space="0" w:color="auto"/>
              <w:right w:val="nil"/>
            </w:tcBorders>
            <w:shd w:val="clear" w:color="auto" w:fill="auto"/>
            <w:noWrap/>
            <w:vAlign w:val="center"/>
            <w:hideMark/>
          </w:tcPr>
          <w:p w:rsidR="003237D2" w:rsidRPr="003237D2" w:rsidRDefault="003237D2" w:rsidP="003237D2">
            <w:pPr>
              <w:jc w:val="center"/>
              <w:rPr>
                <w:rFonts w:ascii="Calibri" w:hAnsi="Calibri"/>
                <w:color w:val="000000"/>
                <w:sz w:val="20"/>
                <w:szCs w:val="20"/>
                <w:lang w:val="cs-CZ" w:eastAsia="cs-CZ"/>
              </w:rPr>
            </w:pPr>
            <w:r w:rsidRPr="003237D2">
              <w:rPr>
                <w:rFonts w:ascii="Calibri" w:hAnsi="Calibri"/>
                <w:color w:val="000000"/>
                <w:sz w:val="20"/>
                <w:szCs w:val="20"/>
                <w:lang w:val="cs-CZ" w:eastAsia="cs-CZ"/>
              </w:rPr>
              <w:t>1.5</w:t>
            </w:r>
          </w:p>
        </w:tc>
      </w:tr>
    </w:tbl>
    <w:p w:rsidR="003265B7" w:rsidRPr="003237D2" w:rsidRDefault="003265B7" w:rsidP="003265B7">
      <w:pPr>
        <w:jc w:val="both"/>
        <w:rPr>
          <w:rFonts w:asciiTheme="minorHAnsi" w:hAnsiTheme="minorHAnsi"/>
          <w:sz w:val="20"/>
          <w:szCs w:val="20"/>
          <w:lang w:val="en-US" w:eastAsia="en-US"/>
        </w:rPr>
      </w:pPr>
      <w:r w:rsidRPr="00FB75C5">
        <w:rPr>
          <w:rFonts w:asciiTheme="minorHAnsi" w:hAnsiTheme="minorHAnsi"/>
          <w:sz w:val="20"/>
          <w:szCs w:val="20"/>
          <w:lang w:val="en-US" w:eastAsia="en-US"/>
        </w:rPr>
        <w:lastRenderedPageBreak/>
        <w:t>Two reactors was labeled as a control samples; in all other was added phosphorus in the form of NaH</w:t>
      </w:r>
      <w:r w:rsidRPr="00FB75C5">
        <w:rPr>
          <w:rFonts w:asciiTheme="minorHAnsi" w:hAnsiTheme="minorHAnsi"/>
          <w:sz w:val="20"/>
          <w:szCs w:val="20"/>
          <w:vertAlign w:val="subscript"/>
          <w:lang w:val="en-US" w:eastAsia="en-US"/>
        </w:rPr>
        <w:t>2</w:t>
      </w:r>
      <w:r w:rsidRPr="00FB75C5">
        <w:rPr>
          <w:rFonts w:asciiTheme="minorHAnsi" w:hAnsiTheme="minorHAnsi"/>
          <w:sz w:val="20"/>
          <w:szCs w:val="20"/>
          <w:lang w:val="en-US" w:eastAsia="en-US"/>
        </w:rPr>
        <w:t>PO</w:t>
      </w:r>
      <w:r w:rsidRPr="00FB75C5">
        <w:rPr>
          <w:rFonts w:asciiTheme="minorHAnsi" w:hAnsiTheme="minorHAnsi"/>
          <w:sz w:val="20"/>
          <w:szCs w:val="20"/>
          <w:vertAlign w:val="subscript"/>
          <w:lang w:val="en-US" w:eastAsia="en-US"/>
        </w:rPr>
        <w:t>4</w:t>
      </w:r>
      <w:r w:rsidRPr="00FB75C5">
        <w:rPr>
          <w:rFonts w:asciiTheme="minorHAnsi" w:hAnsiTheme="minorHAnsi"/>
          <w:sz w:val="20"/>
          <w:szCs w:val="20"/>
          <w:lang w:val="en-US" w:eastAsia="en-US"/>
        </w:rPr>
        <w:t xml:space="preserve"> in various concentration ranges. Summary of batch experiments and their content is shown in Table 1. For growing of </w:t>
      </w:r>
      <w:r w:rsidRPr="00FB75C5">
        <w:rPr>
          <w:rFonts w:asciiTheme="minorHAnsi" w:hAnsiTheme="minorHAnsi"/>
          <w:i/>
          <w:iCs/>
          <w:sz w:val="20"/>
          <w:szCs w:val="20"/>
          <w:lang w:val="en-US" w:eastAsia="en-US"/>
        </w:rPr>
        <w:t xml:space="preserve">Th. denitrificans </w:t>
      </w:r>
      <w:r w:rsidRPr="00FB75C5">
        <w:rPr>
          <w:rFonts w:asciiTheme="minorHAnsi" w:hAnsiTheme="minorHAnsi"/>
          <w:sz w:val="20"/>
          <w:szCs w:val="20"/>
          <w:lang w:val="en-US" w:eastAsia="en-US"/>
        </w:rPr>
        <w:t>was used broth S6</w:t>
      </w:r>
      <w:r>
        <w:rPr>
          <w:rFonts w:asciiTheme="minorHAnsi" w:hAnsiTheme="minorHAnsi"/>
          <w:sz w:val="20"/>
          <w:szCs w:val="20"/>
          <w:lang w:val="en-US" w:eastAsia="en-US"/>
        </w:rPr>
        <w:t xml:space="preserve"> – its content is shown in Table II. </w:t>
      </w:r>
    </w:p>
    <w:p w:rsidR="003237D2" w:rsidRDefault="003265B7" w:rsidP="003265B7">
      <w:pPr>
        <w:jc w:val="both"/>
        <w:rPr>
          <w:rFonts w:asciiTheme="minorHAnsi" w:hAnsiTheme="minorHAnsi"/>
          <w:sz w:val="20"/>
          <w:szCs w:val="20"/>
          <w:lang w:val="en-US" w:eastAsia="en-US"/>
        </w:rPr>
      </w:pPr>
      <w:r w:rsidRPr="002E21A8">
        <w:rPr>
          <w:rFonts w:asciiTheme="minorHAnsi" w:hAnsiTheme="minorHAnsi"/>
          <w:sz w:val="20"/>
          <w:szCs w:val="20"/>
          <w:lang w:val="en-US" w:eastAsia="en-US"/>
        </w:rPr>
        <w:t>The denitrification process in the reactors labeled K</w:t>
      </w:r>
      <w:r w:rsidRPr="002E21A8">
        <w:rPr>
          <w:rFonts w:asciiTheme="minorHAnsi" w:hAnsiTheme="minorHAnsi"/>
          <w:sz w:val="20"/>
          <w:szCs w:val="20"/>
          <w:lang w:val="cs-CZ" w:eastAsia="en-US"/>
        </w:rPr>
        <w:t>1</w:t>
      </w:r>
      <w:r w:rsidRPr="002E21A8">
        <w:rPr>
          <w:rFonts w:asciiTheme="minorHAnsi" w:hAnsiTheme="minorHAnsi"/>
          <w:sz w:val="20"/>
          <w:szCs w:val="20"/>
          <w:lang w:val="en-US" w:eastAsia="en-US"/>
        </w:rPr>
        <w:t xml:space="preserve"> and P1 – P5 was monitored for 80 days</w:t>
      </w:r>
      <w:r w:rsidRPr="002E21A8">
        <w:rPr>
          <w:rFonts w:asciiTheme="minorHAnsi" w:hAnsiTheme="minorHAnsi"/>
          <w:sz w:val="20"/>
          <w:szCs w:val="20"/>
          <w:lang w:val="cs-CZ" w:eastAsia="en-US"/>
        </w:rPr>
        <w:t xml:space="preserve"> </w:t>
      </w:r>
      <w:r w:rsidRPr="002E21A8">
        <w:rPr>
          <w:rFonts w:asciiTheme="minorHAnsi" w:hAnsiTheme="minorHAnsi"/>
          <w:sz w:val="20"/>
          <w:szCs w:val="20"/>
          <w:lang w:val="en-US" w:eastAsia="en-US"/>
        </w:rPr>
        <w:t>and reactors labeled</w:t>
      </w:r>
      <w:r w:rsidRPr="002E21A8">
        <w:rPr>
          <w:rFonts w:asciiTheme="minorHAnsi" w:hAnsiTheme="minorHAnsi"/>
          <w:sz w:val="20"/>
          <w:szCs w:val="20"/>
          <w:lang w:val="cs-CZ" w:eastAsia="en-US"/>
        </w:rPr>
        <w:t xml:space="preserve"> K2 and</w:t>
      </w:r>
      <w:r w:rsidRPr="002E21A8">
        <w:rPr>
          <w:rFonts w:asciiTheme="minorHAnsi" w:hAnsiTheme="minorHAnsi"/>
          <w:sz w:val="20"/>
          <w:szCs w:val="20"/>
          <w:lang w:val="en-US" w:eastAsia="en-US"/>
        </w:rPr>
        <w:t xml:space="preserve"> P6 – P8 was monitored 40 days</w:t>
      </w:r>
      <w:r w:rsidRPr="002E21A8">
        <w:rPr>
          <w:rFonts w:asciiTheme="minorHAnsi" w:hAnsiTheme="minorHAnsi"/>
          <w:sz w:val="20"/>
          <w:szCs w:val="20"/>
          <w:lang w:val="cs-CZ" w:eastAsia="en-US"/>
        </w:rPr>
        <w:t>.</w:t>
      </w:r>
      <w:r w:rsidRPr="004E3845">
        <w:rPr>
          <w:rFonts w:asciiTheme="minorHAnsi" w:hAnsiTheme="minorHAnsi"/>
          <w:color w:val="0070C0"/>
          <w:sz w:val="20"/>
          <w:szCs w:val="20"/>
          <w:lang w:val="en-US" w:eastAsia="en-US"/>
        </w:rPr>
        <w:t xml:space="preserve"> </w:t>
      </w:r>
      <w:r w:rsidRPr="00222BC0">
        <w:rPr>
          <w:rFonts w:asciiTheme="minorHAnsi" w:hAnsiTheme="minorHAnsi"/>
          <w:sz w:val="20"/>
          <w:szCs w:val="20"/>
          <w:lang w:val="cs-CZ" w:eastAsia="en-US"/>
        </w:rPr>
        <w:t>T</w:t>
      </w:r>
      <w:r w:rsidRPr="00222BC0">
        <w:rPr>
          <w:rFonts w:asciiTheme="minorHAnsi" w:hAnsiTheme="minorHAnsi"/>
          <w:sz w:val="20"/>
          <w:szCs w:val="20"/>
          <w:lang w:val="en-US" w:eastAsia="en-US"/>
        </w:rPr>
        <w:t>he values of concentrations of nitrate, nitrite and phosphate, pH, temperature, redox potential and dissolved oxygen concentration were measured</w:t>
      </w:r>
      <w:r w:rsidR="00DB0F0E" w:rsidRPr="00DB0F0E">
        <w:rPr>
          <w:rFonts w:asciiTheme="minorHAnsi" w:hAnsiTheme="minorHAnsi"/>
          <w:sz w:val="20"/>
          <w:szCs w:val="20"/>
          <w:vertAlign w:val="superscript"/>
          <w:lang w:val="en-US" w:eastAsia="en-US"/>
        </w:rPr>
        <w:t>8-13</w:t>
      </w:r>
      <w:r w:rsidRPr="00222BC0">
        <w:rPr>
          <w:rFonts w:asciiTheme="minorHAnsi" w:hAnsiTheme="minorHAnsi"/>
          <w:sz w:val="20"/>
          <w:szCs w:val="20"/>
          <w:lang w:val="en-US" w:eastAsia="en-US"/>
        </w:rPr>
        <w:t>. During the experiments, it was also verified the presence of bacteria by microscopic techniques.</w:t>
      </w:r>
    </w:p>
    <w:p w:rsidR="004A0BD3" w:rsidRDefault="004A0BD3" w:rsidP="003265B7">
      <w:pPr>
        <w:jc w:val="both"/>
        <w:rPr>
          <w:rFonts w:asciiTheme="minorHAnsi" w:hAnsiTheme="minorHAnsi"/>
          <w:sz w:val="20"/>
          <w:szCs w:val="20"/>
          <w:lang w:val="en-US" w:eastAsia="en-US"/>
        </w:rPr>
      </w:pPr>
    </w:p>
    <w:p w:rsidR="004A0BD3" w:rsidRDefault="004A0BD3" w:rsidP="003265B7">
      <w:pPr>
        <w:jc w:val="both"/>
        <w:rPr>
          <w:rFonts w:asciiTheme="minorHAnsi" w:hAnsiTheme="minorHAnsi"/>
          <w:sz w:val="20"/>
          <w:szCs w:val="20"/>
          <w:lang w:val="en-US" w:eastAsia="en-US"/>
        </w:rPr>
      </w:pPr>
      <w:r>
        <w:rPr>
          <w:rFonts w:asciiTheme="minorHAnsi" w:hAnsiTheme="minorHAnsi"/>
          <w:sz w:val="20"/>
          <w:szCs w:val="20"/>
          <w:lang w:val="en-US" w:eastAsia="en-US"/>
        </w:rPr>
        <w:t>Table II</w:t>
      </w:r>
    </w:p>
    <w:p w:rsidR="004A0BD3" w:rsidRDefault="004A0BD3" w:rsidP="003265B7">
      <w:pPr>
        <w:jc w:val="both"/>
        <w:rPr>
          <w:rFonts w:asciiTheme="minorHAnsi" w:hAnsiTheme="minorHAnsi"/>
          <w:sz w:val="20"/>
          <w:szCs w:val="20"/>
          <w:lang w:val="en-US" w:eastAsia="en-US"/>
        </w:rPr>
      </w:pPr>
      <w:r>
        <w:rPr>
          <w:rFonts w:asciiTheme="minorHAnsi" w:hAnsiTheme="minorHAnsi"/>
          <w:sz w:val="20"/>
          <w:szCs w:val="20"/>
          <w:lang w:val="en-US" w:eastAsia="en-US"/>
        </w:rPr>
        <w:t>Content of S6 broth</w:t>
      </w:r>
    </w:p>
    <w:tbl>
      <w:tblPr>
        <w:tblW w:w="9087" w:type="dxa"/>
        <w:tblInd w:w="55" w:type="dxa"/>
        <w:tblCellMar>
          <w:left w:w="70" w:type="dxa"/>
          <w:right w:w="70" w:type="dxa"/>
        </w:tblCellMar>
        <w:tblLook w:val="04A0"/>
      </w:tblPr>
      <w:tblGrid>
        <w:gridCol w:w="4835"/>
        <w:gridCol w:w="4252"/>
      </w:tblGrid>
      <w:tr w:rsidR="00E03BE5" w:rsidRPr="00E03BE5" w:rsidTr="00E03BE5">
        <w:trPr>
          <w:trHeight w:val="300"/>
        </w:trPr>
        <w:tc>
          <w:tcPr>
            <w:tcW w:w="4835" w:type="dxa"/>
            <w:tcBorders>
              <w:top w:val="single" w:sz="4" w:space="0" w:color="auto"/>
              <w:left w:val="nil"/>
              <w:bottom w:val="single" w:sz="4" w:space="0" w:color="auto"/>
              <w:right w:val="nil"/>
            </w:tcBorders>
            <w:shd w:val="clear" w:color="auto" w:fill="auto"/>
            <w:noWrap/>
            <w:vAlign w:val="center"/>
            <w:hideMark/>
          </w:tcPr>
          <w:p w:rsidR="00E03BE5" w:rsidRPr="00E03BE5" w:rsidRDefault="00E03BE5" w:rsidP="00E03BE5">
            <w:pPr>
              <w:jc w:val="center"/>
              <w:rPr>
                <w:rFonts w:ascii="Calibri" w:hAnsi="Calibri"/>
                <w:color w:val="000000"/>
                <w:sz w:val="20"/>
                <w:szCs w:val="20"/>
                <w:lang w:val="cs-CZ" w:eastAsia="cs-CZ"/>
              </w:rPr>
            </w:pPr>
            <w:r w:rsidRPr="00E03BE5">
              <w:rPr>
                <w:rFonts w:ascii="Calibri" w:hAnsi="Calibri"/>
                <w:color w:val="000000"/>
                <w:sz w:val="20"/>
                <w:szCs w:val="20"/>
                <w:lang w:val="cs-CZ" w:eastAsia="cs-CZ"/>
              </w:rPr>
              <w:t>Substance</w:t>
            </w:r>
          </w:p>
        </w:tc>
        <w:tc>
          <w:tcPr>
            <w:tcW w:w="4252" w:type="dxa"/>
            <w:tcBorders>
              <w:top w:val="single" w:sz="4" w:space="0" w:color="auto"/>
              <w:left w:val="nil"/>
              <w:bottom w:val="single" w:sz="4" w:space="0" w:color="auto"/>
              <w:right w:val="nil"/>
            </w:tcBorders>
            <w:shd w:val="clear" w:color="auto" w:fill="auto"/>
            <w:noWrap/>
            <w:vAlign w:val="center"/>
            <w:hideMark/>
          </w:tcPr>
          <w:p w:rsidR="00E03BE5" w:rsidRPr="00E03BE5" w:rsidRDefault="00E03BE5" w:rsidP="00E03BE5">
            <w:pPr>
              <w:jc w:val="center"/>
              <w:rPr>
                <w:rFonts w:ascii="Calibri" w:hAnsi="Calibri"/>
                <w:color w:val="000000"/>
                <w:sz w:val="20"/>
                <w:szCs w:val="20"/>
                <w:lang w:val="cs-CZ" w:eastAsia="cs-CZ"/>
              </w:rPr>
            </w:pPr>
            <w:r w:rsidRPr="00E03BE5">
              <w:rPr>
                <w:rFonts w:ascii="Calibri" w:hAnsi="Calibri"/>
                <w:color w:val="000000"/>
                <w:sz w:val="20"/>
                <w:szCs w:val="20"/>
                <w:lang w:val="cs-CZ" w:eastAsia="cs-CZ"/>
              </w:rPr>
              <w:t>c [g/l]</w:t>
            </w:r>
          </w:p>
        </w:tc>
      </w:tr>
      <w:tr w:rsidR="00E03BE5" w:rsidRPr="00E03BE5" w:rsidTr="00E03BE5">
        <w:trPr>
          <w:trHeight w:val="285"/>
        </w:trPr>
        <w:tc>
          <w:tcPr>
            <w:tcW w:w="4835" w:type="dxa"/>
            <w:tcBorders>
              <w:top w:val="nil"/>
              <w:left w:val="nil"/>
              <w:bottom w:val="nil"/>
              <w:right w:val="nil"/>
            </w:tcBorders>
            <w:shd w:val="clear" w:color="auto" w:fill="auto"/>
            <w:noWrap/>
            <w:vAlign w:val="center"/>
            <w:hideMark/>
          </w:tcPr>
          <w:p w:rsidR="00E03BE5" w:rsidRPr="00E03BE5" w:rsidRDefault="00E03BE5" w:rsidP="00E03BE5">
            <w:pPr>
              <w:jc w:val="center"/>
              <w:rPr>
                <w:rFonts w:ascii="Calibri" w:hAnsi="Calibri"/>
                <w:color w:val="000000"/>
                <w:sz w:val="20"/>
                <w:szCs w:val="20"/>
                <w:lang w:val="cs-CZ" w:eastAsia="cs-CZ"/>
              </w:rPr>
            </w:pPr>
            <w:r w:rsidRPr="00E03BE5">
              <w:rPr>
                <w:rFonts w:ascii="Calibri" w:hAnsi="Calibri"/>
                <w:color w:val="000000"/>
                <w:sz w:val="20"/>
                <w:szCs w:val="20"/>
                <w:lang w:val="cs-CZ" w:eastAsia="cs-CZ"/>
              </w:rPr>
              <w:t>Na</w:t>
            </w:r>
            <w:r w:rsidRPr="00E03BE5">
              <w:rPr>
                <w:rFonts w:ascii="Calibri" w:hAnsi="Calibri"/>
                <w:color w:val="000000"/>
                <w:sz w:val="20"/>
                <w:szCs w:val="20"/>
                <w:vertAlign w:val="subscript"/>
                <w:lang w:val="cs-CZ" w:eastAsia="cs-CZ"/>
              </w:rPr>
              <w:t>2</w:t>
            </w:r>
            <w:r w:rsidRPr="00E03BE5">
              <w:rPr>
                <w:rFonts w:ascii="Calibri" w:hAnsi="Calibri"/>
                <w:color w:val="000000"/>
                <w:sz w:val="20"/>
                <w:szCs w:val="20"/>
                <w:lang w:val="cs-CZ" w:eastAsia="cs-CZ"/>
              </w:rPr>
              <w:t>S</w:t>
            </w:r>
            <w:r w:rsidRPr="00E03BE5">
              <w:rPr>
                <w:rFonts w:ascii="Calibri" w:hAnsi="Calibri"/>
                <w:color w:val="000000"/>
                <w:sz w:val="20"/>
                <w:szCs w:val="20"/>
                <w:vertAlign w:val="subscript"/>
                <w:lang w:val="cs-CZ" w:eastAsia="cs-CZ"/>
              </w:rPr>
              <w:t>2</w:t>
            </w:r>
            <w:r w:rsidRPr="00E03BE5">
              <w:rPr>
                <w:rFonts w:ascii="Calibri" w:hAnsi="Calibri"/>
                <w:color w:val="000000"/>
                <w:sz w:val="20"/>
                <w:szCs w:val="20"/>
                <w:lang w:val="cs-CZ" w:eastAsia="cs-CZ"/>
              </w:rPr>
              <w:t>O</w:t>
            </w:r>
            <w:r w:rsidRPr="00E03BE5">
              <w:rPr>
                <w:rFonts w:ascii="Calibri" w:hAnsi="Calibri"/>
                <w:color w:val="000000"/>
                <w:sz w:val="20"/>
                <w:szCs w:val="20"/>
                <w:vertAlign w:val="subscript"/>
                <w:lang w:val="cs-CZ" w:eastAsia="cs-CZ"/>
              </w:rPr>
              <w:t>3</w:t>
            </w:r>
          </w:p>
        </w:tc>
        <w:tc>
          <w:tcPr>
            <w:tcW w:w="4252" w:type="dxa"/>
            <w:tcBorders>
              <w:top w:val="nil"/>
              <w:left w:val="nil"/>
              <w:bottom w:val="nil"/>
              <w:right w:val="nil"/>
            </w:tcBorders>
            <w:shd w:val="clear" w:color="auto" w:fill="auto"/>
            <w:noWrap/>
            <w:vAlign w:val="center"/>
            <w:hideMark/>
          </w:tcPr>
          <w:p w:rsidR="00E03BE5" w:rsidRPr="00E03BE5" w:rsidRDefault="00E03BE5" w:rsidP="00E03BE5">
            <w:pPr>
              <w:jc w:val="center"/>
              <w:rPr>
                <w:rFonts w:ascii="Calibri" w:hAnsi="Calibri"/>
                <w:color w:val="000000"/>
                <w:sz w:val="20"/>
                <w:szCs w:val="20"/>
                <w:lang w:val="cs-CZ" w:eastAsia="cs-CZ"/>
              </w:rPr>
            </w:pPr>
            <w:r w:rsidRPr="00E03BE5">
              <w:rPr>
                <w:rFonts w:ascii="Calibri" w:hAnsi="Calibri"/>
                <w:color w:val="000000"/>
                <w:sz w:val="20"/>
                <w:szCs w:val="20"/>
                <w:lang w:val="cs-CZ" w:eastAsia="cs-CZ"/>
              </w:rPr>
              <w:t>10.0</w:t>
            </w:r>
          </w:p>
        </w:tc>
      </w:tr>
      <w:tr w:rsidR="00E03BE5" w:rsidRPr="00E03BE5" w:rsidTr="00E03BE5">
        <w:trPr>
          <w:trHeight w:val="285"/>
        </w:trPr>
        <w:tc>
          <w:tcPr>
            <w:tcW w:w="4835" w:type="dxa"/>
            <w:tcBorders>
              <w:top w:val="nil"/>
              <w:left w:val="nil"/>
              <w:bottom w:val="nil"/>
              <w:right w:val="nil"/>
            </w:tcBorders>
            <w:shd w:val="clear" w:color="auto" w:fill="auto"/>
            <w:noWrap/>
            <w:vAlign w:val="center"/>
            <w:hideMark/>
          </w:tcPr>
          <w:p w:rsidR="00E03BE5" w:rsidRPr="00E03BE5" w:rsidRDefault="00E03BE5" w:rsidP="00E03BE5">
            <w:pPr>
              <w:jc w:val="center"/>
              <w:rPr>
                <w:rFonts w:ascii="Calibri" w:hAnsi="Calibri"/>
                <w:color w:val="000000"/>
                <w:sz w:val="20"/>
                <w:szCs w:val="20"/>
                <w:lang w:val="cs-CZ" w:eastAsia="cs-CZ"/>
              </w:rPr>
            </w:pPr>
            <w:r w:rsidRPr="00E03BE5">
              <w:rPr>
                <w:rFonts w:ascii="Calibri" w:hAnsi="Calibri"/>
                <w:color w:val="000000"/>
                <w:sz w:val="20"/>
                <w:szCs w:val="20"/>
                <w:lang w:val="cs-CZ" w:eastAsia="cs-CZ"/>
              </w:rPr>
              <w:t>KH</w:t>
            </w:r>
            <w:r w:rsidRPr="00E03BE5">
              <w:rPr>
                <w:rFonts w:ascii="Calibri" w:hAnsi="Calibri"/>
                <w:color w:val="000000"/>
                <w:sz w:val="20"/>
                <w:szCs w:val="20"/>
                <w:vertAlign w:val="subscript"/>
                <w:lang w:val="cs-CZ" w:eastAsia="cs-CZ"/>
              </w:rPr>
              <w:t>2</w:t>
            </w:r>
            <w:r w:rsidRPr="00E03BE5">
              <w:rPr>
                <w:rFonts w:ascii="Calibri" w:hAnsi="Calibri"/>
                <w:color w:val="000000"/>
                <w:sz w:val="20"/>
                <w:szCs w:val="20"/>
                <w:lang w:val="cs-CZ" w:eastAsia="cs-CZ"/>
              </w:rPr>
              <w:t>PO</w:t>
            </w:r>
            <w:r w:rsidRPr="00E03BE5">
              <w:rPr>
                <w:rFonts w:ascii="Calibri" w:hAnsi="Calibri"/>
                <w:color w:val="000000"/>
                <w:sz w:val="20"/>
                <w:szCs w:val="20"/>
                <w:vertAlign w:val="subscript"/>
                <w:lang w:val="cs-CZ" w:eastAsia="cs-CZ"/>
              </w:rPr>
              <w:t>4</w:t>
            </w:r>
          </w:p>
        </w:tc>
        <w:tc>
          <w:tcPr>
            <w:tcW w:w="4252" w:type="dxa"/>
            <w:tcBorders>
              <w:top w:val="nil"/>
              <w:left w:val="nil"/>
              <w:bottom w:val="nil"/>
              <w:right w:val="nil"/>
            </w:tcBorders>
            <w:shd w:val="clear" w:color="auto" w:fill="auto"/>
            <w:noWrap/>
            <w:vAlign w:val="center"/>
            <w:hideMark/>
          </w:tcPr>
          <w:p w:rsidR="00E03BE5" w:rsidRPr="00E03BE5" w:rsidRDefault="00E03BE5" w:rsidP="00E03BE5">
            <w:pPr>
              <w:jc w:val="center"/>
              <w:rPr>
                <w:rFonts w:ascii="Calibri" w:hAnsi="Calibri"/>
                <w:color w:val="000000"/>
                <w:sz w:val="20"/>
                <w:szCs w:val="20"/>
                <w:lang w:val="cs-CZ" w:eastAsia="cs-CZ"/>
              </w:rPr>
            </w:pPr>
            <w:r w:rsidRPr="00E03BE5">
              <w:rPr>
                <w:rFonts w:ascii="Calibri" w:hAnsi="Calibri"/>
                <w:color w:val="000000"/>
                <w:sz w:val="20"/>
                <w:szCs w:val="20"/>
                <w:lang w:val="cs-CZ" w:eastAsia="cs-CZ"/>
              </w:rPr>
              <w:t>11.8</w:t>
            </w:r>
          </w:p>
        </w:tc>
      </w:tr>
      <w:tr w:rsidR="00E03BE5" w:rsidRPr="00E03BE5" w:rsidTr="00E03BE5">
        <w:trPr>
          <w:trHeight w:val="285"/>
        </w:trPr>
        <w:tc>
          <w:tcPr>
            <w:tcW w:w="4835" w:type="dxa"/>
            <w:tcBorders>
              <w:top w:val="nil"/>
              <w:left w:val="nil"/>
              <w:bottom w:val="nil"/>
              <w:right w:val="nil"/>
            </w:tcBorders>
            <w:shd w:val="clear" w:color="auto" w:fill="auto"/>
            <w:noWrap/>
            <w:vAlign w:val="center"/>
            <w:hideMark/>
          </w:tcPr>
          <w:p w:rsidR="00E03BE5" w:rsidRPr="00E03BE5" w:rsidRDefault="00E03BE5" w:rsidP="00E03BE5">
            <w:pPr>
              <w:jc w:val="center"/>
              <w:rPr>
                <w:rFonts w:ascii="Calibri" w:hAnsi="Calibri"/>
                <w:color w:val="000000"/>
                <w:sz w:val="20"/>
                <w:szCs w:val="20"/>
                <w:lang w:val="cs-CZ" w:eastAsia="cs-CZ"/>
              </w:rPr>
            </w:pPr>
            <w:r w:rsidRPr="00E03BE5">
              <w:rPr>
                <w:rFonts w:ascii="Calibri" w:hAnsi="Calibri"/>
                <w:color w:val="000000"/>
                <w:sz w:val="20"/>
                <w:szCs w:val="20"/>
                <w:lang w:val="cs-CZ" w:eastAsia="cs-CZ"/>
              </w:rPr>
              <w:t>Na</w:t>
            </w:r>
            <w:r w:rsidRPr="00E03BE5">
              <w:rPr>
                <w:rFonts w:ascii="Calibri" w:hAnsi="Calibri"/>
                <w:color w:val="000000"/>
                <w:sz w:val="20"/>
                <w:szCs w:val="20"/>
                <w:vertAlign w:val="subscript"/>
                <w:lang w:val="cs-CZ" w:eastAsia="cs-CZ"/>
              </w:rPr>
              <w:t>2</w:t>
            </w:r>
            <w:r w:rsidRPr="00E03BE5">
              <w:rPr>
                <w:rFonts w:ascii="Calibri" w:hAnsi="Calibri"/>
                <w:color w:val="000000"/>
                <w:sz w:val="20"/>
                <w:szCs w:val="20"/>
                <w:lang w:val="cs-CZ" w:eastAsia="cs-CZ"/>
              </w:rPr>
              <w:t>HPO</w:t>
            </w:r>
            <w:r w:rsidRPr="00E03BE5">
              <w:rPr>
                <w:rFonts w:ascii="Calibri" w:hAnsi="Calibri"/>
                <w:color w:val="000000"/>
                <w:sz w:val="20"/>
                <w:szCs w:val="20"/>
                <w:vertAlign w:val="subscript"/>
                <w:lang w:val="cs-CZ" w:eastAsia="cs-CZ"/>
              </w:rPr>
              <w:t>4</w:t>
            </w:r>
          </w:p>
        </w:tc>
        <w:tc>
          <w:tcPr>
            <w:tcW w:w="4252" w:type="dxa"/>
            <w:tcBorders>
              <w:top w:val="nil"/>
              <w:left w:val="nil"/>
              <w:bottom w:val="nil"/>
              <w:right w:val="nil"/>
            </w:tcBorders>
            <w:shd w:val="clear" w:color="auto" w:fill="auto"/>
            <w:noWrap/>
            <w:vAlign w:val="center"/>
            <w:hideMark/>
          </w:tcPr>
          <w:p w:rsidR="00E03BE5" w:rsidRPr="00E03BE5" w:rsidRDefault="00E03BE5" w:rsidP="00E03BE5">
            <w:pPr>
              <w:jc w:val="center"/>
              <w:rPr>
                <w:rFonts w:ascii="Calibri" w:hAnsi="Calibri"/>
                <w:color w:val="000000"/>
                <w:sz w:val="20"/>
                <w:szCs w:val="20"/>
                <w:lang w:val="cs-CZ" w:eastAsia="cs-CZ"/>
              </w:rPr>
            </w:pPr>
            <w:r w:rsidRPr="00E03BE5">
              <w:rPr>
                <w:rFonts w:ascii="Calibri" w:hAnsi="Calibri"/>
                <w:color w:val="000000"/>
                <w:sz w:val="20"/>
                <w:szCs w:val="20"/>
                <w:lang w:val="cs-CZ" w:eastAsia="cs-CZ"/>
              </w:rPr>
              <w:t>1.2</w:t>
            </w:r>
          </w:p>
        </w:tc>
      </w:tr>
      <w:tr w:rsidR="00E03BE5" w:rsidRPr="00E03BE5" w:rsidTr="00E03BE5">
        <w:trPr>
          <w:trHeight w:val="285"/>
        </w:trPr>
        <w:tc>
          <w:tcPr>
            <w:tcW w:w="4835" w:type="dxa"/>
            <w:tcBorders>
              <w:top w:val="nil"/>
              <w:left w:val="nil"/>
              <w:bottom w:val="nil"/>
              <w:right w:val="nil"/>
            </w:tcBorders>
            <w:shd w:val="clear" w:color="auto" w:fill="auto"/>
            <w:noWrap/>
            <w:vAlign w:val="center"/>
            <w:hideMark/>
          </w:tcPr>
          <w:p w:rsidR="00E03BE5" w:rsidRPr="00E03BE5" w:rsidRDefault="00E03BE5" w:rsidP="00E03BE5">
            <w:pPr>
              <w:jc w:val="center"/>
              <w:rPr>
                <w:rFonts w:ascii="Calibri" w:hAnsi="Calibri"/>
                <w:color w:val="000000"/>
                <w:sz w:val="20"/>
                <w:szCs w:val="20"/>
                <w:lang w:val="cs-CZ" w:eastAsia="cs-CZ"/>
              </w:rPr>
            </w:pPr>
            <w:r w:rsidRPr="00E03BE5">
              <w:rPr>
                <w:rFonts w:ascii="Calibri" w:hAnsi="Calibri"/>
                <w:color w:val="000000"/>
                <w:sz w:val="20"/>
                <w:szCs w:val="20"/>
                <w:lang w:val="cs-CZ" w:eastAsia="cs-CZ"/>
              </w:rPr>
              <w:t>MgSO</w:t>
            </w:r>
            <w:r w:rsidRPr="00E03BE5">
              <w:rPr>
                <w:rFonts w:ascii="Calibri" w:hAnsi="Calibri"/>
                <w:color w:val="000000"/>
                <w:sz w:val="20"/>
                <w:szCs w:val="20"/>
                <w:vertAlign w:val="subscript"/>
                <w:lang w:val="cs-CZ" w:eastAsia="cs-CZ"/>
              </w:rPr>
              <w:t>4</w:t>
            </w:r>
            <w:r w:rsidRPr="00E03BE5">
              <w:rPr>
                <w:rFonts w:ascii="Calibri" w:hAnsi="Calibri"/>
                <w:color w:val="000000"/>
                <w:sz w:val="20"/>
                <w:szCs w:val="20"/>
                <w:lang w:val="cs-CZ" w:eastAsia="cs-CZ"/>
              </w:rPr>
              <w:t>.7H</w:t>
            </w:r>
            <w:r w:rsidRPr="00E03BE5">
              <w:rPr>
                <w:rFonts w:ascii="Calibri" w:hAnsi="Calibri"/>
                <w:color w:val="000000"/>
                <w:sz w:val="20"/>
                <w:szCs w:val="20"/>
                <w:vertAlign w:val="subscript"/>
                <w:lang w:val="cs-CZ" w:eastAsia="cs-CZ"/>
              </w:rPr>
              <w:t>2</w:t>
            </w:r>
            <w:r w:rsidRPr="00E03BE5">
              <w:rPr>
                <w:rFonts w:ascii="Calibri" w:hAnsi="Calibri"/>
                <w:color w:val="000000"/>
                <w:sz w:val="20"/>
                <w:szCs w:val="20"/>
                <w:lang w:val="cs-CZ" w:eastAsia="cs-CZ"/>
              </w:rPr>
              <w:t>O</w:t>
            </w:r>
          </w:p>
        </w:tc>
        <w:tc>
          <w:tcPr>
            <w:tcW w:w="4252" w:type="dxa"/>
            <w:tcBorders>
              <w:top w:val="nil"/>
              <w:left w:val="nil"/>
              <w:bottom w:val="nil"/>
              <w:right w:val="nil"/>
            </w:tcBorders>
            <w:shd w:val="clear" w:color="auto" w:fill="auto"/>
            <w:noWrap/>
            <w:vAlign w:val="center"/>
            <w:hideMark/>
          </w:tcPr>
          <w:p w:rsidR="00E03BE5" w:rsidRPr="00E03BE5" w:rsidRDefault="00E03BE5" w:rsidP="00E03BE5">
            <w:pPr>
              <w:jc w:val="center"/>
              <w:rPr>
                <w:rFonts w:ascii="Calibri" w:hAnsi="Calibri"/>
                <w:color w:val="000000"/>
                <w:sz w:val="20"/>
                <w:szCs w:val="20"/>
                <w:lang w:val="cs-CZ" w:eastAsia="cs-CZ"/>
              </w:rPr>
            </w:pPr>
            <w:r w:rsidRPr="00E03BE5">
              <w:rPr>
                <w:rFonts w:ascii="Calibri" w:hAnsi="Calibri"/>
                <w:color w:val="000000"/>
                <w:sz w:val="20"/>
                <w:szCs w:val="20"/>
                <w:lang w:val="cs-CZ" w:eastAsia="cs-CZ"/>
              </w:rPr>
              <w:t>0.1</w:t>
            </w:r>
          </w:p>
        </w:tc>
      </w:tr>
      <w:tr w:rsidR="00E03BE5" w:rsidRPr="00E03BE5" w:rsidTr="00E03BE5">
        <w:trPr>
          <w:trHeight w:val="285"/>
        </w:trPr>
        <w:tc>
          <w:tcPr>
            <w:tcW w:w="4835" w:type="dxa"/>
            <w:tcBorders>
              <w:top w:val="nil"/>
              <w:left w:val="nil"/>
              <w:bottom w:val="nil"/>
              <w:right w:val="nil"/>
            </w:tcBorders>
            <w:shd w:val="clear" w:color="auto" w:fill="auto"/>
            <w:noWrap/>
            <w:vAlign w:val="center"/>
            <w:hideMark/>
          </w:tcPr>
          <w:p w:rsidR="00E03BE5" w:rsidRPr="00E03BE5" w:rsidRDefault="00E03BE5" w:rsidP="00E03BE5">
            <w:pPr>
              <w:jc w:val="center"/>
              <w:rPr>
                <w:rFonts w:ascii="Calibri" w:hAnsi="Calibri"/>
                <w:color w:val="000000"/>
                <w:sz w:val="20"/>
                <w:szCs w:val="20"/>
                <w:lang w:val="cs-CZ" w:eastAsia="cs-CZ"/>
              </w:rPr>
            </w:pPr>
            <w:r w:rsidRPr="00E03BE5">
              <w:rPr>
                <w:rFonts w:ascii="Calibri" w:hAnsi="Calibri"/>
                <w:color w:val="000000"/>
                <w:sz w:val="20"/>
                <w:szCs w:val="20"/>
                <w:lang w:val="cs-CZ" w:eastAsia="cs-CZ"/>
              </w:rPr>
              <w:t>(NH</w:t>
            </w:r>
            <w:r w:rsidRPr="00E03BE5">
              <w:rPr>
                <w:rFonts w:ascii="Calibri" w:hAnsi="Calibri"/>
                <w:color w:val="000000"/>
                <w:sz w:val="20"/>
                <w:szCs w:val="20"/>
                <w:vertAlign w:val="subscript"/>
                <w:lang w:val="cs-CZ" w:eastAsia="cs-CZ"/>
              </w:rPr>
              <w:t>4</w:t>
            </w:r>
            <w:r w:rsidRPr="00E03BE5">
              <w:rPr>
                <w:rFonts w:ascii="Calibri" w:hAnsi="Calibri"/>
                <w:color w:val="000000"/>
                <w:sz w:val="20"/>
                <w:szCs w:val="20"/>
                <w:lang w:val="cs-CZ" w:eastAsia="cs-CZ"/>
              </w:rPr>
              <w:t>)</w:t>
            </w:r>
            <w:r w:rsidRPr="00E03BE5">
              <w:rPr>
                <w:rFonts w:ascii="Calibri" w:hAnsi="Calibri"/>
                <w:color w:val="000000"/>
                <w:sz w:val="20"/>
                <w:szCs w:val="20"/>
                <w:vertAlign w:val="subscript"/>
                <w:lang w:val="cs-CZ" w:eastAsia="cs-CZ"/>
              </w:rPr>
              <w:t>2</w:t>
            </w:r>
            <w:r w:rsidRPr="00E03BE5">
              <w:rPr>
                <w:rFonts w:ascii="Calibri" w:hAnsi="Calibri"/>
                <w:color w:val="000000"/>
                <w:sz w:val="20"/>
                <w:szCs w:val="20"/>
                <w:lang w:val="cs-CZ" w:eastAsia="cs-CZ"/>
              </w:rPr>
              <w:t>SO</w:t>
            </w:r>
            <w:r w:rsidRPr="00E03BE5">
              <w:rPr>
                <w:rFonts w:ascii="Calibri" w:hAnsi="Calibri"/>
                <w:color w:val="000000"/>
                <w:sz w:val="20"/>
                <w:szCs w:val="20"/>
                <w:vertAlign w:val="subscript"/>
                <w:lang w:val="cs-CZ" w:eastAsia="cs-CZ"/>
              </w:rPr>
              <w:t>4</w:t>
            </w:r>
          </w:p>
        </w:tc>
        <w:tc>
          <w:tcPr>
            <w:tcW w:w="4252" w:type="dxa"/>
            <w:tcBorders>
              <w:top w:val="nil"/>
              <w:left w:val="nil"/>
              <w:bottom w:val="nil"/>
              <w:right w:val="nil"/>
            </w:tcBorders>
            <w:shd w:val="clear" w:color="auto" w:fill="auto"/>
            <w:noWrap/>
            <w:vAlign w:val="center"/>
            <w:hideMark/>
          </w:tcPr>
          <w:p w:rsidR="00E03BE5" w:rsidRPr="00E03BE5" w:rsidRDefault="00E03BE5" w:rsidP="00E03BE5">
            <w:pPr>
              <w:jc w:val="center"/>
              <w:rPr>
                <w:rFonts w:ascii="Calibri" w:hAnsi="Calibri"/>
                <w:color w:val="000000"/>
                <w:sz w:val="20"/>
                <w:szCs w:val="20"/>
                <w:lang w:val="cs-CZ" w:eastAsia="cs-CZ"/>
              </w:rPr>
            </w:pPr>
            <w:r w:rsidRPr="00E03BE5">
              <w:rPr>
                <w:rFonts w:ascii="Calibri" w:hAnsi="Calibri"/>
                <w:color w:val="000000"/>
                <w:sz w:val="20"/>
                <w:szCs w:val="20"/>
                <w:lang w:val="cs-CZ" w:eastAsia="cs-CZ"/>
              </w:rPr>
              <w:t>0.1</w:t>
            </w:r>
          </w:p>
        </w:tc>
      </w:tr>
      <w:tr w:rsidR="00E03BE5" w:rsidRPr="00E03BE5" w:rsidTr="00E03BE5">
        <w:trPr>
          <w:trHeight w:val="285"/>
        </w:trPr>
        <w:tc>
          <w:tcPr>
            <w:tcW w:w="4835" w:type="dxa"/>
            <w:tcBorders>
              <w:top w:val="nil"/>
              <w:left w:val="nil"/>
              <w:bottom w:val="nil"/>
              <w:right w:val="nil"/>
            </w:tcBorders>
            <w:shd w:val="clear" w:color="auto" w:fill="auto"/>
            <w:noWrap/>
            <w:vAlign w:val="center"/>
            <w:hideMark/>
          </w:tcPr>
          <w:p w:rsidR="00E03BE5" w:rsidRPr="00E03BE5" w:rsidRDefault="00E03BE5" w:rsidP="00E03BE5">
            <w:pPr>
              <w:jc w:val="center"/>
              <w:rPr>
                <w:rFonts w:ascii="Calibri" w:hAnsi="Calibri"/>
                <w:color w:val="000000"/>
                <w:sz w:val="20"/>
                <w:szCs w:val="20"/>
                <w:lang w:val="cs-CZ" w:eastAsia="cs-CZ"/>
              </w:rPr>
            </w:pPr>
            <w:r w:rsidRPr="00E03BE5">
              <w:rPr>
                <w:rFonts w:ascii="Calibri" w:hAnsi="Calibri"/>
                <w:color w:val="000000"/>
                <w:sz w:val="20"/>
                <w:szCs w:val="20"/>
                <w:lang w:val="cs-CZ" w:eastAsia="cs-CZ"/>
              </w:rPr>
              <w:t>CaCl</w:t>
            </w:r>
            <w:r w:rsidRPr="00E03BE5">
              <w:rPr>
                <w:rFonts w:ascii="Calibri" w:hAnsi="Calibri"/>
                <w:color w:val="000000"/>
                <w:sz w:val="20"/>
                <w:szCs w:val="20"/>
                <w:vertAlign w:val="subscript"/>
                <w:lang w:val="cs-CZ" w:eastAsia="cs-CZ"/>
              </w:rPr>
              <w:t>2</w:t>
            </w:r>
          </w:p>
        </w:tc>
        <w:tc>
          <w:tcPr>
            <w:tcW w:w="4252" w:type="dxa"/>
            <w:tcBorders>
              <w:top w:val="nil"/>
              <w:left w:val="nil"/>
              <w:bottom w:val="nil"/>
              <w:right w:val="nil"/>
            </w:tcBorders>
            <w:shd w:val="clear" w:color="auto" w:fill="auto"/>
            <w:noWrap/>
            <w:vAlign w:val="center"/>
            <w:hideMark/>
          </w:tcPr>
          <w:p w:rsidR="00E03BE5" w:rsidRPr="00E03BE5" w:rsidRDefault="00E03BE5" w:rsidP="00E03BE5">
            <w:pPr>
              <w:jc w:val="center"/>
              <w:rPr>
                <w:rFonts w:ascii="Calibri" w:hAnsi="Calibri"/>
                <w:color w:val="000000"/>
                <w:sz w:val="20"/>
                <w:szCs w:val="20"/>
                <w:lang w:val="cs-CZ" w:eastAsia="cs-CZ"/>
              </w:rPr>
            </w:pPr>
            <w:r w:rsidRPr="00E03BE5">
              <w:rPr>
                <w:rFonts w:ascii="Calibri" w:hAnsi="Calibri"/>
                <w:color w:val="000000"/>
                <w:sz w:val="20"/>
                <w:szCs w:val="20"/>
                <w:lang w:val="cs-CZ" w:eastAsia="cs-CZ"/>
              </w:rPr>
              <w:t>0.003</w:t>
            </w:r>
          </w:p>
        </w:tc>
      </w:tr>
      <w:tr w:rsidR="00E03BE5" w:rsidRPr="00E03BE5" w:rsidTr="00E03BE5">
        <w:trPr>
          <w:trHeight w:val="285"/>
        </w:trPr>
        <w:tc>
          <w:tcPr>
            <w:tcW w:w="4835" w:type="dxa"/>
            <w:tcBorders>
              <w:top w:val="nil"/>
              <w:left w:val="nil"/>
              <w:bottom w:val="nil"/>
              <w:right w:val="nil"/>
            </w:tcBorders>
            <w:shd w:val="clear" w:color="auto" w:fill="auto"/>
            <w:noWrap/>
            <w:vAlign w:val="center"/>
            <w:hideMark/>
          </w:tcPr>
          <w:p w:rsidR="00E03BE5" w:rsidRPr="00E03BE5" w:rsidRDefault="00E03BE5" w:rsidP="00E03BE5">
            <w:pPr>
              <w:jc w:val="center"/>
              <w:rPr>
                <w:rFonts w:ascii="Calibri" w:hAnsi="Calibri"/>
                <w:color w:val="000000"/>
                <w:sz w:val="20"/>
                <w:szCs w:val="20"/>
                <w:lang w:val="cs-CZ" w:eastAsia="cs-CZ"/>
              </w:rPr>
            </w:pPr>
            <w:r w:rsidRPr="00E03BE5">
              <w:rPr>
                <w:rFonts w:ascii="Calibri" w:hAnsi="Calibri"/>
                <w:color w:val="000000"/>
                <w:sz w:val="20"/>
                <w:szCs w:val="20"/>
                <w:lang w:val="cs-CZ" w:eastAsia="cs-CZ"/>
              </w:rPr>
              <w:t>FeCl</w:t>
            </w:r>
            <w:r w:rsidRPr="00E03BE5">
              <w:rPr>
                <w:rFonts w:ascii="Calibri" w:hAnsi="Calibri"/>
                <w:color w:val="000000"/>
                <w:sz w:val="20"/>
                <w:szCs w:val="20"/>
                <w:vertAlign w:val="subscript"/>
                <w:lang w:val="cs-CZ" w:eastAsia="cs-CZ"/>
              </w:rPr>
              <w:t>3</w:t>
            </w:r>
          </w:p>
        </w:tc>
        <w:tc>
          <w:tcPr>
            <w:tcW w:w="4252" w:type="dxa"/>
            <w:tcBorders>
              <w:top w:val="nil"/>
              <w:left w:val="nil"/>
              <w:bottom w:val="nil"/>
              <w:right w:val="nil"/>
            </w:tcBorders>
            <w:shd w:val="clear" w:color="auto" w:fill="auto"/>
            <w:noWrap/>
            <w:vAlign w:val="center"/>
            <w:hideMark/>
          </w:tcPr>
          <w:p w:rsidR="00E03BE5" w:rsidRPr="00E03BE5" w:rsidRDefault="00E03BE5" w:rsidP="00E03BE5">
            <w:pPr>
              <w:jc w:val="center"/>
              <w:rPr>
                <w:rFonts w:ascii="Calibri" w:hAnsi="Calibri"/>
                <w:color w:val="000000"/>
                <w:sz w:val="20"/>
                <w:szCs w:val="20"/>
                <w:lang w:val="cs-CZ" w:eastAsia="cs-CZ"/>
              </w:rPr>
            </w:pPr>
            <w:r w:rsidRPr="00E03BE5">
              <w:rPr>
                <w:rFonts w:ascii="Calibri" w:hAnsi="Calibri"/>
                <w:color w:val="000000"/>
                <w:sz w:val="20"/>
                <w:szCs w:val="20"/>
                <w:lang w:val="cs-CZ" w:eastAsia="cs-CZ"/>
              </w:rPr>
              <w:t>0.02</w:t>
            </w:r>
          </w:p>
        </w:tc>
      </w:tr>
      <w:tr w:rsidR="00E03BE5" w:rsidRPr="00E03BE5" w:rsidTr="00E03BE5">
        <w:trPr>
          <w:trHeight w:val="285"/>
        </w:trPr>
        <w:tc>
          <w:tcPr>
            <w:tcW w:w="4835" w:type="dxa"/>
            <w:tcBorders>
              <w:top w:val="nil"/>
              <w:left w:val="nil"/>
              <w:bottom w:val="single" w:sz="4" w:space="0" w:color="auto"/>
              <w:right w:val="nil"/>
            </w:tcBorders>
            <w:shd w:val="clear" w:color="auto" w:fill="auto"/>
            <w:noWrap/>
            <w:vAlign w:val="center"/>
            <w:hideMark/>
          </w:tcPr>
          <w:p w:rsidR="00E03BE5" w:rsidRPr="00E03BE5" w:rsidRDefault="00E03BE5" w:rsidP="00E03BE5">
            <w:pPr>
              <w:jc w:val="center"/>
              <w:rPr>
                <w:rFonts w:ascii="Calibri" w:hAnsi="Calibri"/>
                <w:color w:val="000000"/>
                <w:sz w:val="20"/>
                <w:szCs w:val="20"/>
                <w:lang w:val="cs-CZ" w:eastAsia="cs-CZ"/>
              </w:rPr>
            </w:pPr>
            <w:r w:rsidRPr="00E03BE5">
              <w:rPr>
                <w:rFonts w:ascii="Calibri" w:hAnsi="Calibri"/>
                <w:color w:val="000000"/>
                <w:sz w:val="20"/>
                <w:szCs w:val="20"/>
                <w:lang w:val="cs-CZ" w:eastAsia="cs-CZ"/>
              </w:rPr>
              <w:t>MnSO</w:t>
            </w:r>
            <w:r w:rsidRPr="00E03BE5">
              <w:rPr>
                <w:rFonts w:ascii="Calibri" w:hAnsi="Calibri"/>
                <w:color w:val="000000"/>
                <w:sz w:val="20"/>
                <w:szCs w:val="20"/>
                <w:vertAlign w:val="subscript"/>
                <w:lang w:val="cs-CZ" w:eastAsia="cs-CZ"/>
              </w:rPr>
              <w:t>4</w:t>
            </w:r>
          </w:p>
        </w:tc>
        <w:tc>
          <w:tcPr>
            <w:tcW w:w="4252" w:type="dxa"/>
            <w:tcBorders>
              <w:top w:val="nil"/>
              <w:left w:val="nil"/>
              <w:bottom w:val="single" w:sz="4" w:space="0" w:color="auto"/>
              <w:right w:val="nil"/>
            </w:tcBorders>
            <w:shd w:val="clear" w:color="auto" w:fill="auto"/>
            <w:noWrap/>
            <w:vAlign w:val="center"/>
            <w:hideMark/>
          </w:tcPr>
          <w:p w:rsidR="00E03BE5" w:rsidRPr="00E03BE5" w:rsidRDefault="00E03BE5" w:rsidP="00E03BE5">
            <w:pPr>
              <w:jc w:val="center"/>
              <w:rPr>
                <w:rFonts w:ascii="Calibri" w:hAnsi="Calibri"/>
                <w:color w:val="000000"/>
                <w:sz w:val="20"/>
                <w:szCs w:val="20"/>
                <w:lang w:val="cs-CZ" w:eastAsia="cs-CZ"/>
              </w:rPr>
            </w:pPr>
            <w:r w:rsidRPr="00E03BE5">
              <w:rPr>
                <w:rFonts w:ascii="Calibri" w:hAnsi="Calibri"/>
                <w:color w:val="000000"/>
                <w:sz w:val="20"/>
                <w:szCs w:val="20"/>
                <w:lang w:val="cs-CZ" w:eastAsia="cs-CZ"/>
              </w:rPr>
              <w:t>0.02</w:t>
            </w:r>
          </w:p>
        </w:tc>
      </w:tr>
    </w:tbl>
    <w:p w:rsidR="00D57CE0" w:rsidRPr="00494DEF" w:rsidRDefault="00D57CE0" w:rsidP="0025327D">
      <w:pPr>
        <w:pStyle w:val="Nadpis2"/>
        <w:rPr>
          <w:rFonts w:asciiTheme="minorHAnsi" w:hAnsiTheme="minorHAnsi"/>
          <w:sz w:val="24"/>
          <w:szCs w:val="24"/>
        </w:rPr>
      </w:pPr>
      <w:r w:rsidRPr="00494DEF">
        <w:rPr>
          <w:rFonts w:asciiTheme="minorHAnsi" w:hAnsiTheme="minorHAnsi"/>
          <w:sz w:val="24"/>
          <w:szCs w:val="24"/>
        </w:rPr>
        <w:t>Result and discussion</w:t>
      </w:r>
    </w:p>
    <w:p w:rsidR="004E3845" w:rsidRPr="004E3845" w:rsidRDefault="004E3845" w:rsidP="004E3845">
      <w:pPr>
        <w:jc w:val="both"/>
        <w:rPr>
          <w:rFonts w:asciiTheme="minorHAnsi" w:hAnsiTheme="minorHAnsi"/>
          <w:color w:val="0070C0"/>
          <w:sz w:val="20"/>
          <w:szCs w:val="20"/>
          <w:lang w:val="cs-CZ" w:eastAsia="en-US"/>
        </w:rPr>
      </w:pPr>
      <w:r w:rsidRPr="00064904">
        <w:rPr>
          <w:rFonts w:asciiTheme="minorHAnsi" w:hAnsiTheme="minorHAnsi"/>
          <w:sz w:val="20"/>
          <w:szCs w:val="20"/>
          <w:lang w:val="en-US" w:eastAsia="en-US"/>
        </w:rPr>
        <w:t>The reduction of nitrate</w:t>
      </w:r>
      <w:r w:rsidR="00545E77">
        <w:rPr>
          <w:rFonts w:asciiTheme="minorHAnsi" w:hAnsiTheme="minorHAnsi"/>
          <w:sz w:val="20"/>
          <w:szCs w:val="20"/>
          <w:lang w:val="en-US" w:eastAsia="en-US"/>
        </w:rPr>
        <w:t xml:space="preserve"> and nitrite</w:t>
      </w:r>
      <w:r w:rsidRPr="00064904">
        <w:rPr>
          <w:rFonts w:asciiTheme="minorHAnsi" w:hAnsiTheme="minorHAnsi"/>
          <w:sz w:val="20"/>
          <w:szCs w:val="20"/>
          <w:lang w:val="en-US" w:eastAsia="en-US"/>
        </w:rPr>
        <w:t xml:space="preserve"> ions in all reactors </w:t>
      </w:r>
      <w:r w:rsidR="002E21A8">
        <w:rPr>
          <w:rFonts w:asciiTheme="minorHAnsi" w:hAnsiTheme="minorHAnsi"/>
          <w:sz w:val="20"/>
          <w:szCs w:val="20"/>
          <w:lang w:val="en-US" w:eastAsia="en-US"/>
        </w:rPr>
        <w:t xml:space="preserve">(Figure 1 – 4) </w:t>
      </w:r>
      <w:r w:rsidRPr="00064904">
        <w:rPr>
          <w:rFonts w:asciiTheme="minorHAnsi" w:hAnsiTheme="minorHAnsi"/>
          <w:sz w:val="20"/>
          <w:szCs w:val="20"/>
          <w:lang w:val="en-US" w:eastAsia="en-US"/>
        </w:rPr>
        <w:t>shows the adaptation phase of bacterial cells to environment (lag phase) in the first 20 days</w:t>
      </w:r>
      <w:r w:rsidR="00545E77" w:rsidRPr="00545E77">
        <w:rPr>
          <w:rFonts w:asciiTheme="minorHAnsi" w:hAnsiTheme="minorHAnsi"/>
          <w:sz w:val="20"/>
          <w:szCs w:val="20"/>
          <w:lang w:val="en-US" w:eastAsia="en-US"/>
        </w:rPr>
        <w:t xml:space="preserve"> </w:t>
      </w:r>
      <w:r w:rsidR="00545E77" w:rsidRPr="00064904">
        <w:rPr>
          <w:rFonts w:asciiTheme="minorHAnsi" w:hAnsiTheme="minorHAnsi"/>
          <w:sz w:val="20"/>
          <w:szCs w:val="20"/>
          <w:lang w:val="en-US" w:eastAsia="en-US"/>
        </w:rPr>
        <w:t>approximately</w:t>
      </w:r>
      <w:r w:rsidRPr="00064904">
        <w:rPr>
          <w:rFonts w:asciiTheme="minorHAnsi" w:hAnsiTheme="minorHAnsi"/>
          <w:sz w:val="20"/>
          <w:szCs w:val="20"/>
          <w:lang w:val="en-US" w:eastAsia="en-US"/>
        </w:rPr>
        <w:t xml:space="preserve">. In these 20 days, there can be seen minimal loss of nitrate ions and formation of a corresponding amount of nitrite ions. There are two explanations for this effect. Firstly, it is because of lag phase, and secondly, in the system there is still remaining portion of oxygen. Oxygen has precedence over nitrate and nitrite ions as a terminal electron acceptor in energy metabolism of </w:t>
      </w:r>
      <w:r w:rsidR="00064904" w:rsidRPr="00064904">
        <w:rPr>
          <w:rFonts w:asciiTheme="minorHAnsi" w:hAnsiTheme="minorHAnsi"/>
          <w:i/>
          <w:iCs/>
          <w:sz w:val="20"/>
          <w:szCs w:val="20"/>
          <w:lang w:val="en-US" w:eastAsia="en-US"/>
        </w:rPr>
        <w:t>T</w:t>
      </w:r>
      <w:r w:rsidRPr="00064904">
        <w:rPr>
          <w:rFonts w:asciiTheme="minorHAnsi" w:hAnsiTheme="minorHAnsi"/>
          <w:i/>
          <w:iCs/>
          <w:sz w:val="20"/>
          <w:szCs w:val="20"/>
          <w:lang w:val="en-US" w:eastAsia="en-US"/>
        </w:rPr>
        <w:t>. denitrificans</w:t>
      </w:r>
      <w:r w:rsidRPr="00064904">
        <w:rPr>
          <w:rFonts w:asciiTheme="minorHAnsi" w:hAnsiTheme="minorHAnsi"/>
          <w:sz w:val="20"/>
          <w:szCs w:val="20"/>
          <w:lang w:val="en-US" w:eastAsia="en-US"/>
        </w:rPr>
        <w:t>.</w:t>
      </w:r>
      <w:r>
        <w:rPr>
          <w:rFonts w:asciiTheme="minorHAnsi" w:hAnsiTheme="minorHAnsi"/>
          <w:color w:val="0070C0"/>
          <w:sz w:val="20"/>
          <w:szCs w:val="20"/>
          <w:lang w:val="en-US" w:eastAsia="en-US"/>
        </w:rPr>
        <w:t xml:space="preserve"> </w:t>
      </w:r>
    </w:p>
    <w:p w:rsidR="00C67E54" w:rsidRPr="00C67E54" w:rsidRDefault="00C67E54" w:rsidP="00C67E54">
      <w:pPr>
        <w:rPr>
          <w:rFonts w:asciiTheme="minorHAnsi" w:hAnsiTheme="minorHAnsi"/>
          <w:color w:val="FF0000"/>
          <w:sz w:val="20"/>
          <w:szCs w:val="20"/>
          <w:lang w:val="en-GB" w:eastAsia="en-US"/>
        </w:rPr>
      </w:pPr>
    </w:p>
    <w:p w:rsidR="002E21A8" w:rsidRDefault="00DE0209" w:rsidP="002E21A8">
      <w:pPr>
        <w:jc w:val="center"/>
        <w:rPr>
          <w:rFonts w:asciiTheme="minorHAnsi" w:hAnsiTheme="minorHAnsi"/>
          <w:color w:val="FF0000"/>
          <w:sz w:val="20"/>
          <w:szCs w:val="20"/>
          <w:lang w:val="en-GB" w:eastAsia="en-US"/>
        </w:rPr>
      </w:pPr>
      <w:r w:rsidRPr="00DE0209">
        <w:rPr>
          <w:rFonts w:asciiTheme="minorHAnsi" w:hAnsiTheme="minorHAnsi"/>
          <w:noProof/>
          <w:color w:val="FF0000"/>
          <w:sz w:val="20"/>
          <w:szCs w:val="20"/>
          <w:lang w:val="cs-CZ" w:eastAsia="cs-CZ"/>
        </w:rPr>
        <w:drawing>
          <wp:inline distT="0" distB="0" distL="0" distR="0">
            <wp:extent cx="4029075" cy="3886200"/>
            <wp:effectExtent l="0" t="0" r="0" b="0"/>
            <wp:docPr id="3" name="Graf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2E21A8" w:rsidRDefault="002E21A8" w:rsidP="002E21A8">
      <w:pPr>
        <w:jc w:val="both"/>
        <w:rPr>
          <w:rFonts w:asciiTheme="minorHAnsi" w:hAnsiTheme="minorHAnsi"/>
          <w:sz w:val="20"/>
          <w:szCs w:val="20"/>
          <w:lang w:val="en-GB" w:eastAsia="en-US"/>
        </w:rPr>
      </w:pPr>
      <w:r w:rsidRPr="002E21A8">
        <w:rPr>
          <w:rFonts w:asciiTheme="minorHAnsi" w:hAnsiTheme="minorHAnsi"/>
          <w:sz w:val="20"/>
          <w:szCs w:val="20"/>
          <w:lang w:val="en-GB" w:eastAsia="en-US"/>
        </w:rPr>
        <w:t>Figure 1. Reduction of NO</w:t>
      </w:r>
      <w:r w:rsidRPr="00E471D5">
        <w:rPr>
          <w:rFonts w:asciiTheme="minorHAnsi" w:hAnsiTheme="minorHAnsi"/>
          <w:sz w:val="20"/>
          <w:szCs w:val="20"/>
          <w:vertAlign w:val="subscript"/>
          <w:lang w:val="en-GB" w:eastAsia="en-US"/>
        </w:rPr>
        <w:t>3</w:t>
      </w:r>
      <w:r w:rsidRPr="00E471D5">
        <w:rPr>
          <w:rFonts w:asciiTheme="minorHAnsi" w:hAnsiTheme="minorHAnsi"/>
          <w:sz w:val="20"/>
          <w:szCs w:val="20"/>
          <w:vertAlign w:val="superscript"/>
          <w:lang w:val="en-GB" w:eastAsia="en-US"/>
        </w:rPr>
        <w:t>-</w:t>
      </w:r>
      <w:r w:rsidRPr="002E21A8">
        <w:rPr>
          <w:rFonts w:asciiTheme="minorHAnsi" w:hAnsiTheme="minorHAnsi"/>
          <w:sz w:val="20"/>
          <w:szCs w:val="20"/>
          <w:lang w:val="en-GB" w:eastAsia="en-US"/>
        </w:rPr>
        <w:t xml:space="preserve"> in batch experiments K1 and P1 – P5.</w:t>
      </w:r>
    </w:p>
    <w:p w:rsidR="00E471D5" w:rsidRDefault="00E202EC" w:rsidP="00E471D5">
      <w:pPr>
        <w:jc w:val="center"/>
        <w:rPr>
          <w:rFonts w:asciiTheme="minorHAnsi" w:hAnsiTheme="minorHAnsi"/>
          <w:color w:val="0070C0"/>
          <w:sz w:val="20"/>
          <w:szCs w:val="20"/>
          <w:lang w:val="en-US" w:eastAsia="en-US"/>
        </w:rPr>
      </w:pPr>
      <w:r w:rsidRPr="00E202EC">
        <w:rPr>
          <w:rFonts w:asciiTheme="minorHAnsi" w:hAnsiTheme="minorHAnsi"/>
          <w:noProof/>
          <w:color w:val="0070C0"/>
          <w:sz w:val="20"/>
          <w:szCs w:val="20"/>
          <w:lang w:val="cs-CZ" w:eastAsia="cs-CZ"/>
        </w:rPr>
        <w:lastRenderedPageBreak/>
        <w:drawing>
          <wp:inline distT="0" distB="0" distL="0" distR="0">
            <wp:extent cx="4171950" cy="3886200"/>
            <wp:effectExtent l="0" t="0" r="0" b="0"/>
            <wp:docPr id="4" name="Graf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E471D5" w:rsidRDefault="00E471D5" w:rsidP="00E471D5">
      <w:pPr>
        <w:jc w:val="both"/>
        <w:rPr>
          <w:rFonts w:asciiTheme="minorHAnsi" w:hAnsiTheme="minorHAnsi"/>
          <w:sz w:val="20"/>
          <w:szCs w:val="20"/>
          <w:lang w:val="en-US" w:eastAsia="en-US"/>
        </w:rPr>
      </w:pPr>
      <w:proofErr w:type="gramStart"/>
      <w:r w:rsidRPr="00E471D5">
        <w:rPr>
          <w:rFonts w:asciiTheme="minorHAnsi" w:hAnsiTheme="minorHAnsi"/>
          <w:sz w:val="20"/>
          <w:szCs w:val="20"/>
          <w:lang w:val="en-US" w:eastAsia="en-US"/>
        </w:rPr>
        <w:t>Figure 2.</w:t>
      </w:r>
      <w:proofErr w:type="gramEnd"/>
      <w:r w:rsidRPr="00E471D5">
        <w:rPr>
          <w:rFonts w:asciiTheme="minorHAnsi" w:hAnsiTheme="minorHAnsi"/>
          <w:sz w:val="20"/>
          <w:szCs w:val="20"/>
          <w:lang w:val="en-US" w:eastAsia="en-US"/>
        </w:rPr>
        <w:t xml:space="preserve"> Reduction of NO</w:t>
      </w:r>
      <w:r w:rsidRPr="00E471D5">
        <w:rPr>
          <w:rFonts w:asciiTheme="minorHAnsi" w:hAnsiTheme="minorHAnsi"/>
          <w:sz w:val="20"/>
          <w:szCs w:val="20"/>
          <w:vertAlign w:val="subscript"/>
          <w:lang w:val="en-US" w:eastAsia="en-US"/>
        </w:rPr>
        <w:t>2</w:t>
      </w:r>
      <w:r w:rsidRPr="00E471D5">
        <w:rPr>
          <w:rFonts w:asciiTheme="minorHAnsi" w:hAnsiTheme="minorHAnsi"/>
          <w:sz w:val="20"/>
          <w:szCs w:val="20"/>
          <w:vertAlign w:val="superscript"/>
          <w:lang w:val="en-US" w:eastAsia="en-US"/>
        </w:rPr>
        <w:t>-</w:t>
      </w:r>
      <w:r w:rsidRPr="00E471D5">
        <w:rPr>
          <w:rFonts w:asciiTheme="minorHAnsi" w:hAnsiTheme="minorHAnsi"/>
          <w:sz w:val="20"/>
          <w:szCs w:val="20"/>
          <w:lang w:val="en-US" w:eastAsia="en-US"/>
        </w:rPr>
        <w:t xml:space="preserve"> in batch experiments K1 and P1 – P5. </w:t>
      </w:r>
    </w:p>
    <w:p w:rsidR="00E471D5" w:rsidRDefault="00E471D5" w:rsidP="00E471D5">
      <w:pPr>
        <w:jc w:val="both"/>
        <w:rPr>
          <w:rFonts w:asciiTheme="minorHAnsi" w:hAnsiTheme="minorHAnsi"/>
          <w:sz w:val="20"/>
          <w:szCs w:val="20"/>
          <w:lang w:val="en-US" w:eastAsia="en-US"/>
        </w:rPr>
      </w:pPr>
    </w:p>
    <w:p w:rsidR="00E471D5" w:rsidRDefault="00E202EC" w:rsidP="000873A2">
      <w:pPr>
        <w:jc w:val="center"/>
        <w:rPr>
          <w:rFonts w:asciiTheme="minorHAnsi" w:hAnsiTheme="minorHAnsi"/>
          <w:sz w:val="20"/>
          <w:szCs w:val="20"/>
          <w:lang w:val="en-US" w:eastAsia="en-US"/>
        </w:rPr>
      </w:pPr>
      <w:r w:rsidRPr="00E202EC">
        <w:rPr>
          <w:rFonts w:asciiTheme="minorHAnsi" w:hAnsiTheme="minorHAnsi"/>
          <w:noProof/>
          <w:sz w:val="20"/>
          <w:szCs w:val="20"/>
          <w:lang w:val="cs-CZ" w:eastAsia="cs-CZ"/>
        </w:rPr>
        <w:drawing>
          <wp:inline distT="0" distB="0" distL="0" distR="0">
            <wp:extent cx="4029075" cy="3876676"/>
            <wp:effectExtent l="0" t="0" r="0" b="0"/>
            <wp:docPr id="5" name="Graf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E471D5" w:rsidRPr="00E471D5" w:rsidRDefault="00E471D5" w:rsidP="00E471D5">
      <w:pPr>
        <w:jc w:val="both"/>
        <w:rPr>
          <w:rFonts w:asciiTheme="minorHAnsi" w:hAnsiTheme="minorHAnsi"/>
          <w:sz w:val="20"/>
          <w:szCs w:val="20"/>
          <w:lang w:val="en-US" w:eastAsia="en-US"/>
        </w:rPr>
      </w:pPr>
      <w:proofErr w:type="gramStart"/>
      <w:r>
        <w:rPr>
          <w:rFonts w:asciiTheme="minorHAnsi" w:hAnsiTheme="minorHAnsi"/>
          <w:sz w:val="20"/>
          <w:szCs w:val="20"/>
          <w:lang w:val="en-US" w:eastAsia="en-US"/>
        </w:rPr>
        <w:t>Figure 3.</w:t>
      </w:r>
      <w:proofErr w:type="gramEnd"/>
      <w:r>
        <w:rPr>
          <w:rFonts w:asciiTheme="minorHAnsi" w:hAnsiTheme="minorHAnsi"/>
          <w:sz w:val="20"/>
          <w:szCs w:val="20"/>
          <w:lang w:val="en-US" w:eastAsia="en-US"/>
        </w:rPr>
        <w:t xml:space="preserve"> </w:t>
      </w:r>
      <w:r w:rsidRPr="002E21A8">
        <w:rPr>
          <w:rFonts w:asciiTheme="minorHAnsi" w:hAnsiTheme="minorHAnsi"/>
          <w:sz w:val="20"/>
          <w:szCs w:val="20"/>
          <w:lang w:val="en-GB" w:eastAsia="en-US"/>
        </w:rPr>
        <w:t>Reduction of NO</w:t>
      </w:r>
      <w:r w:rsidRPr="00E471D5">
        <w:rPr>
          <w:rFonts w:asciiTheme="minorHAnsi" w:hAnsiTheme="minorHAnsi"/>
          <w:sz w:val="20"/>
          <w:szCs w:val="20"/>
          <w:vertAlign w:val="subscript"/>
          <w:lang w:val="en-GB" w:eastAsia="en-US"/>
        </w:rPr>
        <w:t>3</w:t>
      </w:r>
      <w:r w:rsidRPr="00E471D5">
        <w:rPr>
          <w:rFonts w:asciiTheme="minorHAnsi" w:hAnsiTheme="minorHAnsi"/>
          <w:sz w:val="20"/>
          <w:szCs w:val="20"/>
          <w:vertAlign w:val="superscript"/>
          <w:lang w:val="en-GB" w:eastAsia="en-US"/>
        </w:rPr>
        <w:t>-</w:t>
      </w:r>
      <w:r w:rsidRPr="002E21A8">
        <w:rPr>
          <w:rFonts w:asciiTheme="minorHAnsi" w:hAnsiTheme="minorHAnsi"/>
          <w:sz w:val="20"/>
          <w:szCs w:val="20"/>
          <w:lang w:val="en-GB" w:eastAsia="en-US"/>
        </w:rPr>
        <w:t xml:space="preserve"> in batch experiments K</w:t>
      </w:r>
      <w:r>
        <w:rPr>
          <w:rFonts w:asciiTheme="minorHAnsi" w:hAnsiTheme="minorHAnsi"/>
          <w:sz w:val="20"/>
          <w:szCs w:val="20"/>
          <w:lang w:val="en-GB" w:eastAsia="en-US"/>
        </w:rPr>
        <w:t>2</w:t>
      </w:r>
      <w:r w:rsidRPr="002E21A8">
        <w:rPr>
          <w:rFonts w:asciiTheme="minorHAnsi" w:hAnsiTheme="minorHAnsi"/>
          <w:sz w:val="20"/>
          <w:szCs w:val="20"/>
          <w:lang w:val="en-GB" w:eastAsia="en-US"/>
        </w:rPr>
        <w:t xml:space="preserve"> and P</w:t>
      </w:r>
      <w:r>
        <w:rPr>
          <w:rFonts w:asciiTheme="minorHAnsi" w:hAnsiTheme="minorHAnsi"/>
          <w:sz w:val="20"/>
          <w:szCs w:val="20"/>
          <w:lang w:val="en-GB" w:eastAsia="en-US"/>
        </w:rPr>
        <w:t>6</w:t>
      </w:r>
      <w:r w:rsidRPr="002E21A8">
        <w:rPr>
          <w:rFonts w:asciiTheme="minorHAnsi" w:hAnsiTheme="minorHAnsi"/>
          <w:sz w:val="20"/>
          <w:szCs w:val="20"/>
          <w:lang w:val="en-GB" w:eastAsia="en-US"/>
        </w:rPr>
        <w:t xml:space="preserve"> – P</w:t>
      </w:r>
      <w:r>
        <w:rPr>
          <w:rFonts w:asciiTheme="minorHAnsi" w:hAnsiTheme="minorHAnsi"/>
          <w:sz w:val="20"/>
          <w:szCs w:val="20"/>
          <w:lang w:val="en-GB" w:eastAsia="en-US"/>
        </w:rPr>
        <w:t>8</w:t>
      </w:r>
      <w:r w:rsidRPr="002E21A8">
        <w:rPr>
          <w:rFonts w:asciiTheme="minorHAnsi" w:hAnsiTheme="minorHAnsi"/>
          <w:sz w:val="20"/>
          <w:szCs w:val="20"/>
          <w:lang w:val="en-GB" w:eastAsia="en-US"/>
        </w:rPr>
        <w:t>.</w:t>
      </w:r>
    </w:p>
    <w:p w:rsidR="00E471D5" w:rsidRDefault="00E471D5" w:rsidP="00E471D5">
      <w:pPr>
        <w:jc w:val="both"/>
        <w:rPr>
          <w:rFonts w:asciiTheme="minorHAnsi" w:hAnsiTheme="minorHAnsi"/>
          <w:color w:val="0070C0"/>
          <w:sz w:val="20"/>
          <w:szCs w:val="20"/>
          <w:lang w:val="en-US" w:eastAsia="en-US"/>
        </w:rPr>
      </w:pPr>
    </w:p>
    <w:p w:rsidR="00F14941" w:rsidRDefault="00913D72" w:rsidP="002E21A8">
      <w:pPr>
        <w:jc w:val="both"/>
        <w:rPr>
          <w:rFonts w:asciiTheme="minorHAnsi" w:hAnsiTheme="minorHAnsi"/>
          <w:sz w:val="20"/>
          <w:szCs w:val="20"/>
          <w:lang w:val="en-US" w:eastAsia="en-US"/>
        </w:rPr>
      </w:pPr>
      <w:r w:rsidRPr="00913D72">
        <w:rPr>
          <w:rFonts w:asciiTheme="minorHAnsi" w:hAnsiTheme="minorHAnsi"/>
          <w:sz w:val="20"/>
          <w:szCs w:val="20"/>
          <w:lang w:val="en-US" w:eastAsia="en-US"/>
        </w:rPr>
        <w:t xml:space="preserve">After finish of the lag phase, </w:t>
      </w:r>
      <w:r w:rsidR="002E21A8" w:rsidRPr="00913D72">
        <w:rPr>
          <w:rFonts w:asciiTheme="minorHAnsi" w:hAnsiTheme="minorHAnsi"/>
          <w:sz w:val="20"/>
          <w:szCs w:val="20"/>
          <w:lang w:val="en-US" w:eastAsia="en-US"/>
        </w:rPr>
        <w:t>there is a massive reduction of nitrate to nitrite ions. Then the nitrite ions are also degraded.</w:t>
      </w:r>
      <w:r w:rsidR="002E21A8" w:rsidRPr="004E3845">
        <w:rPr>
          <w:rFonts w:asciiTheme="minorHAnsi" w:hAnsiTheme="minorHAnsi"/>
          <w:color w:val="0070C0"/>
          <w:sz w:val="20"/>
          <w:szCs w:val="20"/>
          <w:lang w:val="en-US" w:eastAsia="en-US"/>
        </w:rPr>
        <w:t xml:space="preserve"> </w:t>
      </w:r>
      <w:r w:rsidRPr="00F14941">
        <w:rPr>
          <w:rFonts w:asciiTheme="minorHAnsi" w:hAnsiTheme="minorHAnsi"/>
          <w:sz w:val="20"/>
          <w:szCs w:val="20"/>
          <w:lang w:val="en-US" w:eastAsia="en-US"/>
        </w:rPr>
        <w:t>T</w:t>
      </w:r>
      <w:r w:rsidR="002E21A8" w:rsidRPr="00F14941">
        <w:rPr>
          <w:rFonts w:asciiTheme="minorHAnsi" w:hAnsiTheme="minorHAnsi"/>
          <w:sz w:val="20"/>
          <w:szCs w:val="20"/>
          <w:lang w:val="en-US" w:eastAsia="en-US"/>
        </w:rPr>
        <w:t xml:space="preserve">here </w:t>
      </w:r>
      <w:r w:rsidR="00B26D61">
        <w:rPr>
          <w:rFonts w:asciiTheme="minorHAnsi" w:hAnsiTheme="minorHAnsi"/>
          <w:sz w:val="20"/>
          <w:szCs w:val="20"/>
          <w:lang w:val="en-US" w:eastAsia="en-US"/>
        </w:rPr>
        <w:t>can be</w:t>
      </w:r>
      <w:r w:rsidR="002E21A8" w:rsidRPr="00F14941">
        <w:rPr>
          <w:rFonts w:asciiTheme="minorHAnsi" w:hAnsiTheme="minorHAnsi"/>
          <w:sz w:val="20"/>
          <w:szCs w:val="20"/>
          <w:lang w:val="en-US" w:eastAsia="en-US"/>
        </w:rPr>
        <w:t xml:space="preserve"> seen the most distinct differences in the rate of reduction of nitrate and nitrite due to the addition of various concentrations of phosphorus</w:t>
      </w:r>
      <w:r w:rsidRPr="00F14941">
        <w:rPr>
          <w:rFonts w:asciiTheme="minorHAnsi" w:hAnsiTheme="minorHAnsi"/>
          <w:sz w:val="20"/>
          <w:szCs w:val="20"/>
          <w:lang w:val="en-US" w:eastAsia="en-US"/>
        </w:rPr>
        <w:t xml:space="preserve"> – from </w:t>
      </w:r>
      <w:r w:rsidR="002E21A8" w:rsidRPr="00F14941">
        <w:rPr>
          <w:rFonts w:asciiTheme="minorHAnsi" w:hAnsiTheme="minorHAnsi"/>
          <w:sz w:val="20"/>
          <w:szCs w:val="20"/>
          <w:lang w:val="en-US" w:eastAsia="en-US"/>
        </w:rPr>
        <w:t xml:space="preserve">the tested concentration range from </w:t>
      </w:r>
      <w:r w:rsidR="002218F8">
        <w:rPr>
          <w:rFonts w:asciiTheme="minorHAnsi" w:hAnsiTheme="minorHAnsi"/>
          <w:sz w:val="20"/>
          <w:szCs w:val="20"/>
          <w:lang w:val="en-US" w:eastAsia="en-US"/>
        </w:rPr>
        <w:br/>
      </w:r>
      <w:r w:rsidR="002E21A8" w:rsidRPr="00F14941">
        <w:rPr>
          <w:rFonts w:asciiTheme="minorHAnsi" w:hAnsiTheme="minorHAnsi"/>
          <w:sz w:val="20"/>
          <w:szCs w:val="20"/>
          <w:lang w:val="en-US" w:eastAsia="en-US"/>
        </w:rPr>
        <w:lastRenderedPageBreak/>
        <w:t>0</w:t>
      </w:r>
      <w:r w:rsidR="00CE152C">
        <w:rPr>
          <w:rFonts w:asciiTheme="minorHAnsi" w:hAnsiTheme="minorHAnsi"/>
          <w:sz w:val="20"/>
          <w:szCs w:val="20"/>
          <w:lang w:val="en-US" w:eastAsia="en-US"/>
        </w:rPr>
        <w:t>.</w:t>
      </w:r>
      <w:r w:rsidR="002E21A8" w:rsidRPr="00F14941">
        <w:rPr>
          <w:rFonts w:asciiTheme="minorHAnsi" w:hAnsiTheme="minorHAnsi"/>
          <w:sz w:val="20"/>
          <w:szCs w:val="20"/>
          <w:lang w:val="en-US" w:eastAsia="en-US"/>
        </w:rPr>
        <w:t>5 to 3</w:t>
      </w:r>
      <w:r w:rsidR="00CE152C">
        <w:rPr>
          <w:rFonts w:asciiTheme="minorHAnsi" w:hAnsiTheme="minorHAnsi"/>
          <w:sz w:val="20"/>
          <w:szCs w:val="20"/>
          <w:lang w:val="en-US" w:eastAsia="en-US"/>
        </w:rPr>
        <w:t>.</w:t>
      </w:r>
      <w:r w:rsidR="002E21A8" w:rsidRPr="00F14941">
        <w:rPr>
          <w:rFonts w:asciiTheme="minorHAnsi" w:hAnsiTheme="minorHAnsi"/>
          <w:sz w:val="20"/>
          <w:szCs w:val="20"/>
          <w:lang w:val="en-US" w:eastAsia="en-US"/>
        </w:rPr>
        <w:t>0 mg/l phosphorus</w:t>
      </w:r>
      <w:r w:rsidRPr="00F14941">
        <w:rPr>
          <w:rFonts w:asciiTheme="minorHAnsi" w:hAnsiTheme="minorHAnsi"/>
          <w:sz w:val="20"/>
          <w:szCs w:val="20"/>
          <w:lang w:val="en-US" w:eastAsia="en-US"/>
        </w:rPr>
        <w:t xml:space="preserve"> in batch reactors with lower weigh of sulfur and limestone</w:t>
      </w:r>
      <w:r w:rsidR="00FB52CD">
        <w:rPr>
          <w:rFonts w:asciiTheme="minorHAnsi" w:hAnsiTheme="minorHAnsi"/>
          <w:sz w:val="20"/>
          <w:szCs w:val="20"/>
          <w:lang w:val="en-US" w:eastAsia="en-US"/>
        </w:rPr>
        <w:t xml:space="preserve">, </w:t>
      </w:r>
      <w:r w:rsidR="002E21A8" w:rsidRPr="00F14941">
        <w:rPr>
          <w:rFonts w:asciiTheme="minorHAnsi" w:hAnsiTheme="minorHAnsi"/>
          <w:sz w:val="20"/>
          <w:szCs w:val="20"/>
          <w:lang w:val="en-US" w:eastAsia="en-US"/>
        </w:rPr>
        <w:t>nitrate reduction occurs most rapidly at</w:t>
      </w:r>
      <w:r w:rsidR="00FB52CD">
        <w:rPr>
          <w:rFonts w:asciiTheme="minorHAnsi" w:hAnsiTheme="minorHAnsi"/>
          <w:sz w:val="20"/>
          <w:szCs w:val="20"/>
          <w:lang w:val="en-US" w:eastAsia="en-US"/>
        </w:rPr>
        <w:t xml:space="preserve"> concentration range from</w:t>
      </w:r>
      <w:r w:rsidR="002E21A8" w:rsidRPr="00F14941">
        <w:rPr>
          <w:rFonts w:asciiTheme="minorHAnsi" w:hAnsiTheme="minorHAnsi"/>
          <w:sz w:val="20"/>
          <w:szCs w:val="20"/>
          <w:lang w:val="en-US" w:eastAsia="en-US"/>
        </w:rPr>
        <w:t xml:space="preserve"> 1</w:t>
      </w:r>
      <w:r w:rsidR="00CE152C">
        <w:rPr>
          <w:rFonts w:asciiTheme="minorHAnsi" w:hAnsiTheme="minorHAnsi"/>
          <w:sz w:val="20"/>
          <w:szCs w:val="20"/>
          <w:lang w:val="en-US" w:eastAsia="en-US"/>
        </w:rPr>
        <w:t>.</w:t>
      </w:r>
      <w:r w:rsidR="002E21A8" w:rsidRPr="00F14941">
        <w:rPr>
          <w:rFonts w:asciiTheme="minorHAnsi" w:hAnsiTheme="minorHAnsi"/>
          <w:sz w:val="20"/>
          <w:szCs w:val="20"/>
          <w:lang w:val="en-US" w:eastAsia="en-US"/>
        </w:rPr>
        <w:t>0 to 2</w:t>
      </w:r>
      <w:r w:rsidR="00CE152C">
        <w:rPr>
          <w:rFonts w:asciiTheme="minorHAnsi" w:hAnsiTheme="minorHAnsi"/>
          <w:sz w:val="20"/>
          <w:szCs w:val="20"/>
          <w:lang w:val="en-US" w:eastAsia="en-US"/>
        </w:rPr>
        <w:t>.</w:t>
      </w:r>
      <w:r w:rsidR="002E21A8" w:rsidRPr="00F14941">
        <w:rPr>
          <w:rFonts w:asciiTheme="minorHAnsi" w:hAnsiTheme="minorHAnsi"/>
          <w:sz w:val="20"/>
          <w:szCs w:val="20"/>
          <w:lang w:val="en-US" w:eastAsia="en-US"/>
        </w:rPr>
        <w:t xml:space="preserve">0 mg/l </w:t>
      </w:r>
      <w:r w:rsidR="00E37911">
        <w:rPr>
          <w:rFonts w:asciiTheme="minorHAnsi" w:hAnsiTheme="minorHAnsi"/>
          <w:sz w:val="20"/>
          <w:szCs w:val="20"/>
          <w:lang w:val="en-US" w:eastAsia="en-US"/>
        </w:rPr>
        <w:t xml:space="preserve">of </w:t>
      </w:r>
      <w:r w:rsidR="002E21A8" w:rsidRPr="00F14941">
        <w:rPr>
          <w:rFonts w:asciiTheme="minorHAnsi" w:hAnsiTheme="minorHAnsi"/>
          <w:sz w:val="20"/>
          <w:szCs w:val="20"/>
          <w:lang w:val="en-US" w:eastAsia="en-US"/>
        </w:rPr>
        <w:t xml:space="preserve">added phosphorus. </w:t>
      </w:r>
    </w:p>
    <w:p w:rsidR="00F14941" w:rsidRDefault="00F14941" w:rsidP="002E21A8">
      <w:pPr>
        <w:jc w:val="both"/>
        <w:rPr>
          <w:rFonts w:asciiTheme="minorHAnsi" w:hAnsiTheme="minorHAnsi"/>
          <w:sz w:val="20"/>
          <w:szCs w:val="20"/>
          <w:lang w:val="en-US" w:eastAsia="en-US"/>
        </w:rPr>
      </w:pPr>
    </w:p>
    <w:p w:rsidR="00F14941" w:rsidRDefault="00B47466" w:rsidP="00E202EC">
      <w:pPr>
        <w:jc w:val="center"/>
        <w:rPr>
          <w:rFonts w:asciiTheme="minorHAnsi" w:hAnsiTheme="minorHAnsi"/>
          <w:sz w:val="20"/>
          <w:szCs w:val="20"/>
          <w:lang w:val="en-US" w:eastAsia="en-US"/>
        </w:rPr>
      </w:pPr>
      <w:r w:rsidRPr="00B47466">
        <w:rPr>
          <w:rFonts w:asciiTheme="minorHAnsi" w:hAnsiTheme="minorHAnsi"/>
          <w:noProof/>
          <w:sz w:val="20"/>
          <w:szCs w:val="20"/>
          <w:lang w:val="cs-CZ" w:eastAsia="cs-CZ"/>
        </w:rPr>
        <w:drawing>
          <wp:inline distT="0" distB="0" distL="0" distR="0">
            <wp:extent cx="4029075" cy="3876674"/>
            <wp:effectExtent l="0" t="0" r="0" b="0"/>
            <wp:docPr id="6" name="Graf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F14941" w:rsidRDefault="00F14941" w:rsidP="002E21A8">
      <w:pPr>
        <w:jc w:val="both"/>
        <w:rPr>
          <w:rFonts w:asciiTheme="minorHAnsi" w:hAnsiTheme="minorHAnsi"/>
          <w:sz w:val="20"/>
          <w:szCs w:val="20"/>
          <w:lang w:val="en-US" w:eastAsia="en-US"/>
        </w:rPr>
      </w:pPr>
      <w:proofErr w:type="gramStart"/>
      <w:r>
        <w:rPr>
          <w:rFonts w:asciiTheme="minorHAnsi" w:hAnsiTheme="minorHAnsi"/>
          <w:sz w:val="20"/>
          <w:szCs w:val="20"/>
          <w:lang w:val="en-GB" w:eastAsia="en-US"/>
        </w:rPr>
        <w:t>Figure 4.</w:t>
      </w:r>
      <w:proofErr w:type="gramEnd"/>
      <w:r>
        <w:rPr>
          <w:rFonts w:asciiTheme="minorHAnsi" w:hAnsiTheme="minorHAnsi"/>
          <w:sz w:val="20"/>
          <w:szCs w:val="20"/>
          <w:lang w:val="en-GB" w:eastAsia="en-US"/>
        </w:rPr>
        <w:t xml:space="preserve"> </w:t>
      </w:r>
      <w:r w:rsidRPr="00E471D5">
        <w:rPr>
          <w:rFonts w:asciiTheme="minorHAnsi" w:hAnsiTheme="minorHAnsi"/>
          <w:sz w:val="20"/>
          <w:szCs w:val="20"/>
          <w:lang w:val="en-US" w:eastAsia="en-US"/>
        </w:rPr>
        <w:t>Reduction of NO</w:t>
      </w:r>
      <w:r w:rsidRPr="00E471D5">
        <w:rPr>
          <w:rFonts w:asciiTheme="minorHAnsi" w:hAnsiTheme="minorHAnsi"/>
          <w:sz w:val="20"/>
          <w:szCs w:val="20"/>
          <w:vertAlign w:val="subscript"/>
          <w:lang w:val="en-US" w:eastAsia="en-US"/>
        </w:rPr>
        <w:t>2</w:t>
      </w:r>
      <w:r w:rsidRPr="00E471D5">
        <w:rPr>
          <w:rFonts w:asciiTheme="minorHAnsi" w:hAnsiTheme="minorHAnsi"/>
          <w:sz w:val="20"/>
          <w:szCs w:val="20"/>
          <w:vertAlign w:val="superscript"/>
          <w:lang w:val="en-US" w:eastAsia="en-US"/>
        </w:rPr>
        <w:t>-</w:t>
      </w:r>
      <w:r w:rsidRPr="00E471D5">
        <w:rPr>
          <w:rFonts w:asciiTheme="minorHAnsi" w:hAnsiTheme="minorHAnsi"/>
          <w:sz w:val="20"/>
          <w:szCs w:val="20"/>
          <w:lang w:val="en-US" w:eastAsia="en-US"/>
        </w:rPr>
        <w:t xml:space="preserve"> in batch experiments K</w:t>
      </w:r>
      <w:r>
        <w:rPr>
          <w:rFonts w:asciiTheme="minorHAnsi" w:hAnsiTheme="minorHAnsi"/>
          <w:sz w:val="20"/>
          <w:szCs w:val="20"/>
          <w:lang w:val="en-US" w:eastAsia="en-US"/>
        </w:rPr>
        <w:t>2</w:t>
      </w:r>
      <w:r w:rsidRPr="00E471D5">
        <w:rPr>
          <w:rFonts w:asciiTheme="minorHAnsi" w:hAnsiTheme="minorHAnsi"/>
          <w:sz w:val="20"/>
          <w:szCs w:val="20"/>
          <w:lang w:val="en-US" w:eastAsia="en-US"/>
        </w:rPr>
        <w:t xml:space="preserve"> and P</w:t>
      </w:r>
      <w:r>
        <w:rPr>
          <w:rFonts w:asciiTheme="minorHAnsi" w:hAnsiTheme="minorHAnsi"/>
          <w:sz w:val="20"/>
          <w:szCs w:val="20"/>
          <w:lang w:val="en-US" w:eastAsia="en-US"/>
        </w:rPr>
        <w:t>6</w:t>
      </w:r>
      <w:r w:rsidRPr="00E471D5">
        <w:rPr>
          <w:rFonts w:asciiTheme="minorHAnsi" w:hAnsiTheme="minorHAnsi"/>
          <w:sz w:val="20"/>
          <w:szCs w:val="20"/>
          <w:lang w:val="en-US" w:eastAsia="en-US"/>
        </w:rPr>
        <w:t xml:space="preserve"> – P</w:t>
      </w:r>
      <w:r>
        <w:rPr>
          <w:rFonts w:asciiTheme="minorHAnsi" w:hAnsiTheme="minorHAnsi"/>
          <w:sz w:val="20"/>
          <w:szCs w:val="20"/>
          <w:lang w:val="en-US" w:eastAsia="en-US"/>
        </w:rPr>
        <w:t>8</w:t>
      </w:r>
      <w:r w:rsidRPr="00E471D5">
        <w:rPr>
          <w:rFonts w:asciiTheme="minorHAnsi" w:hAnsiTheme="minorHAnsi"/>
          <w:sz w:val="20"/>
          <w:szCs w:val="20"/>
          <w:lang w:val="en-US" w:eastAsia="en-US"/>
        </w:rPr>
        <w:t>.</w:t>
      </w:r>
    </w:p>
    <w:p w:rsidR="00F14941" w:rsidRDefault="00F14941" w:rsidP="002E21A8">
      <w:pPr>
        <w:jc w:val="both"/>
        <w:rPr>
          <w:rFonts w:asciiTheme="minorHAnsi" w:hAnsiTheme="minorHAnsi"/>
          <w:sz w:val="20"/>
          <w:szCs w:val="20"/>
          <w:lang w:val="en-US" w:eastAsia="en-US"/>
        </w:rPr>
      </w:pPr>
    </w:p>
    <w:p w:rsidR="000873A2" w:rsidRPr="00D91B04" w:rsidRDefault="002E21A8" w:rsidP="002E21A8">
      <w:pPr>
        <w:jc w:val="both"/>
        <w:rPr>
          <w:rFonts w:asciiTheme="minorHAnsi" w:hAnsiTheme="minorHAnsi"/>
          <w:color w:val="0070C0"/>
          <w:sz w:val="20"/>
          <w:szCs w:val="20"/>
          <w:lang w:val="cs-CZ" w:eastAsia="en-US"/>
        </w:rPr>
      </w:pPr>
      <w:r w:rsidRPr="00DE15A4">
        <w:rPr>
          <w:rFonts w:asciiTheme="minorHAnsi" w:hAnsiTheme="minorHAnsi"/>
          <w:sz w:val="20"/>
          <w:szCs w:val="20"/>
          <w:lang w:val="en-US" w:eastAsia="en-US"/>
        </w:rPr>
        <w:t xml:space="preserve">In the case of reactors </w:t>
      </w:r>
      <w:r w:rsidR="00A52D2F" w:rsidRPr="00DE15A4">
        <w:rPr>
          <w:rFonts w:asciiTheme="minorHAnsi" w:hAnsiTheme="minorHAnsi"/>
          <w:sz w:val="20"/>
          <w:szCs w:val="20"/>
          <w:lang w:val="en-US" w:eastAsia="en-US"/>
        </w:rPr>
        <w:t>labeled K2 and P6-</w:t>
      </w:r>
      <w:r w:rsidR="00C12763">
        <w:rPr>
          <w:rFonts w:asciiTheme="minorHAnsi" w:hAnsiTheme="minorHAnsi"/>
          <w:sz w:val="20"/>
          <w:szCs w:val="20"/>
          <w:lang w:val="en-US" w:eastAsia="en-US"/>
        </w:rPr>
        <w:t>P</w:t>
      </w:r>
      <w:r w:rsidR="00A52D2F" w:rsidRPr="00DE15A4">
        <w:rPr>
          <w:rFonts w:asciiTheme="minorHAnsi" w:hAnsiTheme="minorHAnsi"/>
          <w:sz w:val="20"/>
          <w:szCs w:val="20"/>
          <w:lang w:val="en-US" w:eastAsia="en-US"/>
        </w:rPr>
        <w:t>8 (</w:t>
      </w:r>
      <w:r w:rsidRPr="00DE15A4">
        <w:rPr>
          <w:rFonts w:asciiTheme="minorHAnsi" w:hAnsiTheme="minorHAnsi"/>
          <w:sz w:val="20"/>
          <w:szCs w:val="20"/>
          <w:lang w:val="en-US" w:eastAsia="en-US"/>
        </w:rPr>
        <w:t>with higher weigh of sulfur and limestone</w:t>
      </w:r>
      <w:r w:rsidR="00A52D2F" w:rsidRPr="00DE15A4">
        <w:rPr>
          <w:rFonts w:asciiTheme="minorHAnsi" w:hAnsiTheme="minorHAnsi"/>
          <w:sz w:val="20"/>
          <w:szCs w:val="20"/>
          <w:lang w:val="en-US" w:eastAsia="en-US"/>
        </w:rPr>
        <w:t>),</w:t>
      </w:r>
      <w:r w:rsidRPr="00DE15A4">
        <w:rPr>
          <w:rFonts w:asciiTheme="minorHAnsi" w:hAnsiTheme="minorHAnsi"/>
          <w:sz w:val="20"/>
          <w:szCs w:val="20"/>
          <w:lang w:val="en-US" w:eastAsia="en-US"/>
        </w:rPr>
        <w:t xml:space="preserve"> there </w:t>
      </w:r>
      <w:r w:rsidR="00C12763">
        <w:rPr>
          <w:rFonts w:asciiTheme="minorHAnsi" w:hAnsiTheme="minorHAnsi"/>
          <w:sz w:val="20"/>
          <w:szCs w:val="20"/>
          <w:lang w:val="en-US" w:eastAsia="en-US"/>
        </w:rPr>
        <w:t>can</w:t>
      </w:r>
      <w:r w:rsidR="00C12763" w:rsidRPr="00DE15A4">
        <w:rPr>
          <w:rFonts w:asciiTheme="minorHAnsi" w:hAnsiTheme="minorHAnsi"/>
          <w:sz w:val="20"/>
          <w:szCs w:val="20"/>
          <w:lang w:val="en-US" w:eastAsia="en-US"/>
        </w:rPr>
        <w:t>not</w:t>
      </w:r>
      <w:r w:rsidRPr="00DE15A4">
        <w:rPr>
          <w:rFonts w:asciiTheme="minorHAnsi" w:hAnsiTheme="minorHAnsi"/>
          <w:sz w:val="20"/>
          <w:szCs w:val="20"/>
          <w:lang w:val="en-US" w:eastAsia="en-US"/>
        </w:rPr>
        <w:t xml:space="preserve"> </w:t>
      </w:r>
      <w:r w:rsidR="00C12763">
        <w:rPr>
          <w:rFonts w:asciiTheme="minorHAnsi" w:hAnsiTheme="minorHAnsi"/>
          <w:sz w:val="20"/>
          <w:szCs w:val="20"/>
          <w:lang w:val="en-US" w:eastAsia="en-US"/>
        </w:rPr>
        <w:t xml:space="preserve">be </w:t>
      </w:r>
      <w:r w:rsidRPr="00DE15A4">
        <w:rPr>
          <w:rFonts w:asciiTheme="minorHAnsi" w:hAnsiTheme="minorHAnsi"/>
          <w:sz w:val="20"/>
          <w:szCs w:val="20"/>
          <w:lang w:val="en-US" w:eastAsia="en-US"/>
        </w:rPr>
        <w:t>seen any positive or negative effect of concentrations range of added phosphorus – it is necessary to prolong the experimental period</w:t>
      </w:r>
      <w:r w:rsidR="00DE15A4" w:rsidRPr="00DE15A4">
        <w:rPr>
          <w:rFonts w:asciiTheme="minorHAnsi" w:hAnsiTheme="minorHAnsi"/>
          <w:sz w:val="20"/>
          <w:szCs w:val="20"/>
          <w:lang w:val="en-US" w:eastAsia="en-US"/>
        </w:rPr>
        <w:t>.</w:t>
      </w:r>
      <w:r w:rsidR="00DE15A4">
        <w:rPr>
          <w:rFonts w:asciiTheme="minorHAnsi" w:hAnsiTheme="minorHAnsi"/>
          <w:color w:val="0070C0"/>
          <w:sz w:val="20"/>
          <w:szCs w:val="20"/>
          <w:lang w:val="en-US" w:eastAsia="en-US"/>
        </w:rPr>
        <w:t xml:space="preserve"> </w:t>
      </w:r>
      <w:r w:rsidRPr="00DE15A4">
        <w:rPr>
          <w:rFonts w:asciiTheme="minorHAnsi" w:hAnsiTheme="minorHAnsi"/>
          <w:sz w:val="20"/>
          <w:szCs w:val="20"/>
          <w:lang w:val="en-US" w:eastAsia="en-US"/>
        </w:rPr>
        <w:t>From the viewpoint of the rate of nitrite reduction, the best initial concentration of added phosphorus was from 1</w:t>
      </w:r>
      <w:r w:rsidR="00CE152C">
        <w:rPr>
          <w:rFonts w:asciiTheme="minorHAnsi" w:hAnsiTheme="minorHAnsi"/>
          <w:sz w:val="20"/>
          <w:szCs w:val="20"/>
          <w:lang w:val="en-US" w:eastAsia="en-US"/>
        </w:rPr>
        <w:t>.</w:t>
      </w:r>
      <w:r w:rsidRPr="00DE15A4">
        <w:rPr>
          <w:rFonts w:asciiTheme="minorHAnsi" w:hAnsiTheme="minorHAnsi"/>
          <w:sz w:val="20"/>
          <w:szCs w:val="20"/>
          <w:lang w:val="en-US" w:eastAsia="en-US"/>
        </w:rPr>
        <w:t>0 to 1</w:t>
      </w:r>
      <w:r w:rsidR="00CE152C">
        <w:rPr>
          <w:rFonts w:asciiTheme="minorHAnsi" w:hAnsiTheme="minorHAnsi"/>
          <w:sz w:val="20"/>
          <w:szCs w:val="20"/>
          <w:lang w:val="en-US" w:eastAsia="en-US"/>
        </w:rPr>
        <w:t>.</w:t>
      </w:r>
      <w:r w:rsidRPr="00DE15A4">
        <w:rPr>
          <w:rFonts w:asciiTheme="minorHAnsi" w:hAnsiTheme="minorHAnsi"/>
          <w:sz w:val="20"/>
          <w:szCs w:val="20"/>
          <w:lang w:val="en-US" w:eastAsia="en-US"/>
        </w:rPr>
        <w:t>5 mg/l. At higher or lower addition of phosphorus, there was seen undesirable increased growth of nitrite concentration.</w:t>
      </w:r>
      <w:r w:rsidRPr="004E3845">
        <w:rPr>
          <w:rFonts w:asciiTheme="minorHAnsi" w:hAnsiTheme="minorHAnsi"/>
          <w:color w:val="0070C0"/>
          <w:sz w:val="20"/>
          <w:szCs w:val="20"/>
          <w:lang w:val="en-US" w:eastAsia="en-US"/>
        </w:rPr>
        <w:t xml:space="preserve"> </w:t>
      </w:r>
    </w:p>
    <w:p w:rsidR="00D57CE0" w:rsidRPr="00DE15A4" w:rsidRDefault="00D57CE0" w:rsidP="0025327D">
      <w:pPr>
        <w:pStyle w:val="Nadpis2"/>
        <w:rPr>
          <w:rFonts w:asciiTheme="minorHAnsi" w:hAnsiTheme="minorHAnsi"/>
          <w:sz w:val="24"/>
          <w:szCs w:val="24"/>
        </w:rPr>
      </w:pPr>
      <w:r w:rsidRPr="00DE15A4">
        <w:rPr>
          <w:rFonts w:asciiTheme="minorHAnsi" w:hAnsiTheme="minorHAnsi"/>
          <w:sz w:val="24"/>
          <w:szCs w:val="24"/>
        </w:rPr>
        <w:t>Conclusions</w:t>
      </w:r>
    </w:p>
    <w:p w:rsidR="008B2810" w:rsidRPr="00057BC8" w:rsidRDefault="00D11C17" w:rsidP="00D11C17">
      <w:pPr>
        <w:jc w:val="both"/>
        <w:rPr>
          <w:rFonts w:asciiTheme="minorHAnsi" w:hAnsiTheme="minorHAnsi"/>
          <w:sz w:val="20"/>
          <w:szCs w:val="20"/>
          <w:lang w:val="en-GB" w:eastAsia="en-US"/>
        </w:rPr>
      </w:pPr>
      <w:r w:rsidRPr="00057BC8">
        <w:rPr>
          <w:rFonts w:asciiTheme="minorHAnsi" w:hAnsiTheme="minorHAnsi"/>
          <w:sz w:val="20"/>
          <w:szCs w:val="20"/>
          <w:lang w:val="en-US" w:eastAsia="en-US"/>
        </w:rPr>
        <w:t xml:space="preserve">The experiments have shown the correct dosing of phosphorus during the denitrification using bacteria </w:t>
      </w:r>
      <w:r w:rsidRPr="00057BC8">
        <w:rPr>
          <w:rFonts w:asciiTheme="minorHAnsi" w:hAnsiTheme="minorHAnsi"/>
          <w:i/>
          <w:sz w:val="20"/>
          <w:szCs w:val="20"/>
          <w:lang w:val="en-US" w:eastAsia="en-US"/>
        </w:rPr>
        <w:t>T. denitrificans</w:t>
      </w:r>
      <w:r w:rsidR="00C12763">
        <w:rPr>
          <w:rFonts w:asciiTheme="minorHAnsi" w:hAnsiTheme="minorHAnsi"/>
          <w:sz w:val="20"/>
          <w:szCs w:val="20"/>
          <w:lang w:val="en-US" w:eastAsia="en-US"/>
        </w:rPr>
        <w:t xml:space="preserve"> for significant</w:t>
      </w:r>
      <w:r w:rsidRPr="00057BC8">
        <w:rPr>
          <w:rFonts w:asciiTheme="minorHAnsi" w:hAnsiTheme="minorHAnsi"/>
          <w:sz w:val="20"/>
          <w:szCs w:val="20"/>
          <w:lang w:val="en-US" w:eastAsia="en-US"/>
        </w:rPr>
        <w:t xml:space="preserve"> speed-up </w:t>
      </w:r>
      <w:r w:rsidR="00C12763">
        <w:rPr>
          <w:rFonts w:asciiTheme="minorHAnsi" w:hAnsiTheme="minorHAnsi"/>
          <w:sz w:val="20"/>
          <w:szCs w:val="20"/>
          <w:lang w:val="en-US" w:eastAsia="en-US"/>
        </w:rPr>
        <w:t xml:space="preserve">of </w:t>
      </w:r>
      <w:r w:rsidRPr="00057BC8">
        <w:rPr>
          <w:rFonts w:asciiTheme="minorHAnsi" w:hAnsiTheme="minorHAnsi"/>
          <w:sz w:val="20"/>
          <w:szCs w:val="20"/>
          <w:lang w:val="en-US" w:eastAsia="en-US"/>
        </w:rPr>
        <w:t xml:space="preserve">these processes in batch experiments with elemental sulfur as electron donor. </w:t>
      </w:r>
      <w:r w:rsidR="00064904" w:rsidRPr="00057BC8">
        <w:rPr>
          <w:rFonts w:asciiTheme="minorHAnsi" w:hAnsiTheme="minorHAnsi"/>
          <w:sz w:val="20"/>
          <w:szCs w:val="20"/>
          <w:lang w:val="en-US" w:eastAsia="en-US"/>
        </w:rPr>
        <w:t xml:space="preserve">The obtained results from </w:t>
      </w:r>
      <w:r w:rsidRPr="00057BC8">
        <w:rPr>
          <w:rFonts w:asciiTheme="minorHAnsi" w:hAnsiTheme="minorHAnsi"/>
          <w:sz w:val="20"/>
          <w:szCs w:val="20"/>
          <w:lang w:val="en-US" w:eastAsia="en-US"/>
        </w:rPr>
        <w:t>batch experiments with lower weigh of sulfur</w:t>
      </w:r>
      <w:r w:rsidR="00064904" w:rsidRPr="00057BC8">
        <w:rPr>
          <w:rFonts w:asciiTheme="minorHAnsi" w:hAnsiTheme="minorHAnsi"/>
          <w:sz w:val="20"/>
          <w:szCs w:val="20"/>
          <w:lang w:val="en-US" w:eastAsia="en-US"/>
        </w:rPr>
        <w:t xml:space="preserve"> indicated, that the best initial concentration of added phosphorus was from 1</w:t>
      </w:r>
      <w:r w:rsidR="00CE152C">
        <w:rPr>
          <w:rFonts w:asciiTheme="minorHAnsi" w:hAnsiTheme="minorHAnsi"/>
          <w:sz w:val="20"/>
          <w:szCs w:val="20"/>
          <w:lang w:val="en-US" w:eastAsia="en-US"/>
        </w:rPr>
        <w:t>.</w:t>
      </w:r>
      <w:r w:rsidR="00064904" w:rsidRPr="00057BC8">
        <w:rPr>
          <w:rFonts w:asciiTheme="minorHAnsi" w:hAnsiTheme="minorHAnsi"/>
          <w:sz w:val="20"/>
          <w:szCs w:val="20"/>
          <w:lang w:val="en-US" w:eastAsia="en-US"/>
        </w:rPr>
        <w:t>0 to 1</w:t>
      </w:r>
      <w:r w:rsidR="00CE152C">
        <w:rPr>
          <w:rFonts w:asciiTheme="minorHAnsi" w:hAnsiTheme="minorHAnsi"/>
          <w:sz w:val="20"/>
          <w:szCs w:val="20"/>
          <w:lang w:val="en-US" w:eastAsia="en-US"/>
        </w:rPr>
        <w:t>.</w:t>
      </w:r>
      <w:r w:rsidR="00064904" w:rsidRPr="00057BC8">
        <w:rPr>
          <w:rFonts w:asciiTheme="minorHAnsi" w:hAnsiTheme="minorHAnsi"/>
          <w:sz w:val="20"/>
          <w:szCs w:val="20"/>
          <w:lang w:val="en-US" w:eastAsia="en-US"/>
        </w:rPr>
        <w:t>5 mg/l phosphorus from the viewpoint of the denitrification</w:t>
      </w:r>
      <w:r w:rsidR="00064904" w:rsidRPr="00057BC8">
        <w:rPr>
          <w:rFonts w:asciiTheme="minorHAnsi" w:hAnsiTheme="minorHAnsi"/>
          <w:sz w:val="20"/>
          <w:szCs w:val="20"/>
          <w:lang w:val="cs-CZ" w:eastAsia="en-US"/>
        </w:rPr>
        <w:t xml:space="preserve"> </w:t>
      </w:r>
      <w:r w:rsidR="00064904" w:rsidRPr="00057BC8">
        <w:rPr>
          <w:rFonts w:asciiTheme="minorHAnsi" w:hAnsiTheme="minorHAnsi"/>
          <w:sz w:val="20"/>
          <w:szCs w:val="20"/>
          <w:lang w:val="en-US" w:eastAsia="en-US"/>
        </w:rPr>
        <w:t>rate in batch reactors.</w:t>
      </w:r>
      <w:r w:rsidR="00057BC8" w:rsidRPr="00057BC8">
        <w:rPr>
          <w:rFonts w:asciiTheme="minorHAnsi" w:hAnsiTheme="minorHAnsi"/>
          <w:sz w:val="20"/>
          <w:szCs w:val="20"/>
          <w:lang w:val="en-US" w:eastAsia="en-US"/>
        </w:rPr>
        <w:t xml:space="preserve"> In the case of batch experiments with higher weigh of sulfur, there </w:t>
      </w:r>
      <w:r w:rsidR="00390CD1">
        <w:rPr>
          <w:rFonts w:asciiTheme="minorHAnsi" w:hAnsiTheme="minorHAnsi"/>
          <w:sz w:val="20"/>
          <w:szCs w:val="20"/>
          <w:lang w:val="en-US" w:eastAsia="en-US"/>
        </w:rPr>
        <w:t>can</w:t>
      </w:r>
      <w:r w:rsidR="00057BC8" w:rsidRPr="00057BC8">
        <w:rPr>
          <w:rFonts w:asciiTheme="minorHAnsi" w:hAnsiTheme="minorHAnsi"/>
          <w:sz w:val="20"/>
          <w:szCs w:val="20"/>
          <w:lang w:val="en-US" w:eastAsia="en-US"/>
        </w:rPr>
        <w:t xml:space="preserve">not </w:t>
      </w:r>
      <w:r w:rsidR="00390CD1">
        <w:rPr>
          <w:rFonts w:asciiTheme="minorHAnsi" w:hAnsiTheme="minorHAnsi"/>
          <w:sz w:val="20"/>
          <w:szCs w:val="20"/>
          <w:lang w:val="en-US" w:eastAsia="en-US"/>
        </w:rPr>
        <w:t xml:space="preserve">be </w:t>
      </w:r>
      <w:r w:rsidR="00057BC8" w:rsidRPr="00057BC8">
        <w:rPr>
          <w:rFonts w:asciiTheme="minorHAnsi" w:hAnsiTheme="minorHAnsi"/>
          <w:sz w:val="20"/>
          <w:szCs w:val="20"/>
          <w:lang w:val="en-US" w:eastAsia="en-US"/>
        </w:rPr>
        <w:t>seen any difference - denitrification processes ha</w:t>
      </w:r>
      <w:r w:rsidR="00390CD1">
        <w:rPr>
          <w:rFonts w:asciiTheme="minorHAnsi" w:hAnsiTheme="minorHAnsi"/>
          <w:sz w:val="20"/>
          <w:szCs w:val="20"/>
          <w:lang w:val="en-US" w:eastAsia="en-US"/>
        </w:rPr>
        <w:t>d</w:t>
      </w:r>
      <w:r w:rsidR="00057BC8" w:rsidRPr="00057BC8">
        <w:rPr>
          <w:rFonts w:asciiTheme="minorHAnsi" w:hAnsiTheme="minorHAnsi"/>
          <w:sz w:val="20"/>
          <w:szCs w:val="20"/>
          <w:lang w:val="en-US" w:eastAsia="en-US"/>
        </w:rPr>
        <w:t xml:space="preserve"> same </w:t>
      </w:r>
      <w:r w:rsidR="00390CD1">
        <w:rPr>
          <w:rFonts w:asciiTheme="minorHAnsi" w:hAnsiTheme="minorHAnsi"/>
          <w:sz w:val="20"/>
          <w:szCs w:val="20"/>
          <w:lang w:val="en-US" w:eastAsia="en-US"/>
        </w:rPr>
        <w:t>rate</w:t>
      </w:r>
      <w:r w:rsidR="00057BC8" w:rsidRPr="00057BC8">
        <w:rPr>
          <w:rFonts w:asciiTheme="minorHAnsi" w:hAnsiTheme="minorHAnsi"/>
          <w:sz w:val="20"/>
          <w:szCs w:val="20"/>
          <w:lang w:val="en-US" w:eastAsia="en-US"/>
        </w:rPr>
        <w:t xml:space="preserve">. </w:t>
      </w:r>
    </w:p>
    <w:p w:rsidR="00AF3CA2" w:rsidRPr="00131C09" w:rsidRDefault="00AF3CA2" w:rsidP="00AF3CA2">
      <w:pPr>
        <w:pStyle w:val="Nadpis2"/>
        <w:rPr>
          <w:rFonts w:asciiTheme="minorHAnsi" w:hAnsiTheme="minorHAnsi"/>
          <w:sz w:val="24"/>
          <w:szCs w:val="24"/>
        </w:rPr>
      </w:pPr>
      <w:r w:rsidRPr="00131C09">
        <w:rPr>
          <w:rFonts w:asciiTheme="minorHAnsi" w:hAnsiTheme="minorHAnsi"/>
          <w:sz w:val="24"/>
          <w:szCs w:val="24"/>
        </w:rPr>
        <w:t>Acknowledgement</w:t>
      </w:r>
    </w:p>
    <w:p w:rsidR="00AF3CA2" w:rsidRPr="00131C09" w:rsidRDefault="00AF3CA2" w:rsidP="00AF3CA2">
      <w:pPr>
        <w:widowControl w:val="0"/>
        <w:overflowPunct w:val="0"/>
        <w:autoSpaceDE w:val="0"/>
        <w:autoSpaceDN w:val="0"/>
        <w:adjustRightInd w:val="0"/>
        <w:jc w:val="both"/>
        <w:textAlignment w:val="baseline"/>
        <w:rPr>
          <w:rFonts w:asciiTheme="minorHAnsi" w:hAnsiTheme="minorHAnsi"/>
          <w:i/>
          <w:sz w:val="20"/>
          <w:szCs w:val="20"/>
          <w:lang w:val="en-GB"/>
        </w:rPr>
      </w:pPr>
      <w:r w:rsidRPr="00131C09">
        <w:rPr>
          <w:rFonts w:asciiTheme="minorHAnsi" w:hAnsiTheme="minorHAnsi"/>
          <w:i/>
          <w:sz w:val="20"/>
          <w:szCs w:val="20"/>
          <w:lang w:val="en-GB"/>
        </w:rPr>
        <w:t xml:space="preserve">This work was supported by Ministry of Education, Youth and Sports </w:t>
      </w:r>
      <w:r w:rsidR="00131C09" w:rsidRPr="00131C09">
        <w:rPr>
          <w:rFonts w:asciiTheme="minorHAnsi" w:hAnsiTheme="minorHAnsi"/>
          <w:i/>
          <w:sz w:val="20"/>
          <w:szCs w:val="20"/>
          <w:lang w:val="en-GB"/>
        </w:rPr>
        <w:t>SGSFCHT_2016006 and by Technology Agency of Czech Republic TA04020258.</w:t>
      </w:r>
    </w:p>
    <w:p w:rsidR="00AF3CA2" w:rsidRPr="0041740F" w:rsidRDefault="00AF3CA2" w:rsidP="00AF3CA2">
      <w:pPr>
        <w:jc w:val="both"/>
        <w:rPr>
          <w:rFonts w:asciiTheme="minorHAnsi" w:hAnsiTheme="minorHAnsi"/>
          <w:color w:val="FF0000"/>
          <w:sz w:val="20"/>
          <w:szCs w:val="20"/>
          <w:lang w:val="en-GB"/>
        </w:rPr>
      </w:pPr>
    </w:p>
    <w:p w:rsidR="00AF3CA2" w:rsidRPr="00D91B04" w:rsidRDefault="00AF3CA2" w:rsidP="00AF3CA2">
      <w:pPr>
        <w:pStyle w:val="Nadpis2"/>
        <w:rPr>
          <w:rFonts w:asciiTheme="minorHAnsi" w:hAnsiTheme="minorHAnsi"/>
          <w:sz w:val="24"/>
          <w:szCs w:val="24"/>
        </w:rPr>
      </w:pPr>
      <w:r w:rsidRPr="00D91B04">
        <w:rPr>
          <w:rFonts w:asciiTheme="minorHAnsi" w:hAnsiTheme="minorHAnsi"/>
          <w:sz w:val="24"/>
          <w:szCs w:val="24"/>
        </w:rPr>
        <w:t xml:space="preserve">References </w:t>
      </w:r>
    </w:p>
    <w:p w:rsidR="00136867" w:rsidRPr="00D11C17" w:rsidRDefault="00136867" w:rsidP="00136867">
      <w:pPr>
        <w:ind w:left="360" w:hanging="360"/>
        <w:jc w:val="both"/>
        <w:rPr>
          <w:rFonts w:asciiTheme="minorHAnsi" w:hAnsiTheme="minorHAnsi"/>
          <w:sz w:val="20"/>
          <w:szCs w:val="20"/>
          <w:lang w:val="en-GB"/>
        </w:rPr>
      </w:pPr>
      <w:r w:rsidRPr="00136867">
        <w:rPr>
          <w:rFonts w:asciiTheme="minorHAnsi" w:hAnsiTheme="minorHAnsi"/>
          <w:sz w:val="20"/>
          <w:szCs w:val="20"/>
          <w:lang w:val="en-GB"/>
        </w:rPr>
        <w:t>1.</w:t>
      </w:r>
      <w:r w:rsidRPr="00136867">
        <w:rPr>
          <w:rFonts w:asciiTheme="minorHAnsi" w:hAnsiTheme="minorHAnsi"/>
          <w:sz w:val="20"/>
          <w:szCs w:val="20"/>
          <w:lang w:val="en-GB"/>
        </w:rPr>
        <w:tab/>
      </w:r>
      <w:r w:rsidR="00DB0F0E" w:rsidRPr="00D11C17">
        <w:rPr>
          <w:rFonts w:asciiTheme="minorHAnsi" w:hAnsiTheme="minorHAnsi"/>
          <w:sz w:val="20"/>
          <w:szCs w:val="20"/>
          <w:lang w:val="en-GB"/>
        </w:rPr>
        <w:t xml:space="preserve">Oh S.-E., Kim K.-S., Choi H.-C., Cho J., Kim I. S.: </w:t>
      </w:r>
      <w:r w:rsidRPr="00D11C17">
        <w:rPr>
          <w:rFonts w:asciiTheme="minorHAnsi" w:hAnsiTheme="minorHAnsi"/>
          <w:sz w:val="20"/>
          <w:szCs w:val="20"/>
          <w:lang w:val="en-GB"/>
        </w:rPr>
        <w:t xml:space="preserve">Water Sci. Technol. </w:t>
      </w:r>
      <w:r w:rsidRPr="00D11C17">
        <w:rPr>
          <w:rFonts w:asciiTheme="minorHAnsi" w:hAnsiTheme="minorHAnsi"/>
          <w:i/>
          <w:sz w:val="20"/>
          <w:szCs w:val="20"/>
          <w:lang w:val="en-GB"/>
        </w:rPr>
        <w:t>42 (3-4)</w:t>
      </w:r>
      <w:r w:rsidRPr="00D11C17">
        <w:rPr>
          <w:rFonts w:asciiTheme="minorHAnsi" w:hAnsiTheme="minorHAnsi"/>
          <w:sz w:val="20"/>
          <w:szCs w:val="20"/>
          <w:lang w:val="en-GB"/>
        </w:rPr>
        <w:t>, 59 (2000)</w:t>
      </w:r>
    </w:p>
    <w:p w:rsidR="00AF3CA2" w:rsidRPr="00D11C17" w:rsidRDefault="00444DFC" w:rsidP="00C34026">
      <w:pPr>
        <w:ind w:left="360" w:hanging="360"/>
        <w:jc w:val="both"/>
        <w:rPr>
          <w:rFonts w:asciiTheme="minorHAnsi" w:hAnsiTheme="minorHAnsi"/>
          <w:sz w:val="20"/>
          <w:szCs w:val="20"/>
          <w:lang w:val="en-GB"/>
        </w:rPr>
      </w:pPr>
      <w:r w:rsidRPr="00D11C17">
        <w:rPr>
          <w:rFonts w:asciiTheme="minorHAnsi" w:hAnsiTheme="minorHAnsi"/>
          <w:sz w:val="20"/>
          <w:szCs w:val="20"/>
          <w:lang w:val="en-GB"/>
        </w:rPr>
        <w:t>2</w:t>
      </w:r>
      <w:r w:rsidR="00AF3CA2" w:rsidRPr="00D11C17">
        <w:rPr>
          <w:rFonts w:asciiTheme="minorHAnsi" w:hAnsiTheme="minorHAnsi"/>
          <w:sz w:val="20"/>
          <w:szCs w:val="20"/>
          <w:lang w:val="en-GB"/>
        </w:rPr>
        <w:t xml:space="preserve">. </w:t>
      </w:r>
      <w:r w:rsidR="00AF3CA2" w:rsidRPr="00D11C17">
        <w:rPr>
          <w:rFonts w:asciiTheme="minorHAnsi" w:hAnsiTheme="minorHAnsi"/>
          <w:sz w:val="20"/>
          <w:szCs w:val="20"/>
          <w:lang w:val="en-GB"/>
        </w:rPr>
        <w:tab/>
      </w:r>
      <w:r w:rsidR="00136867" w:rsidRPr="00D11C17">
        <w:rPr>
          <w:rFonts w:asciiTheme="minorHAnsi" w:hAnsiTheme="minorHAnsi"/>
          <w:sz w:val="20"/>
          <w:szCs w:val="20"/>
          <w:lang w:val="en-US"/>
        </w:rPr>
        <w:t xml:space="preserve">Kelly D. P., Wood A. P.: </w:t>
      </w:r>
      <w:proofErr w:type="spellStart"/>
      <w:r w:rsidR="00136867" w:rsidRPr="00D11C17">
        <w:rPr>
          <w:rFonts w:asciiTheme="minorHAnsi" w:hAnsiTheme="minorHAnsi"/>
          <w:sz w:val="20"/>
          <w:szCs w:val="20"/>
          <w:lang w:val="en-US"/>
        </w:rPr>
        <w:t>Int</w:t>
      </w:r>
      <w:proofErr w:type="spellEnd"/>
      <w:r w:rsidR="00136867" w:rsidRPr="00D11C17">
        <w:rPr>
          <w:rFonts w:asciiTheme="minorHAnsi" w:hAnsiTheme="minorHAnsi"/>
          <w:sz w:val="20"/>
          <w:szCs w:val="20"/>
          <w:lang w:val="en-US"/>
        </w:rPr>
        <w:t xml:space="preserve"> J </w:t>
      </w:r>
      <w:proofErr w:type="spellStart"/>
      <w:r w:rsidR="00136867" w:rsidRPr="00D11C17">
        <w:rPr>
          <w:rFonts w:asciiTheme="minorHAnsi" w:hAnsiTheme="minorHAnsi"/>
          <w:sz w:val="20"/>
          <w:szCs w:val="20"/>
          <w:lang w:val="en-US"/>
        </w:rPr>
        <w:t>Evol</w:t>
      </w:r>
      <w:proofErr w:type="spellEnd"/>
      <w:r w:rsidR="00136867" w:rsidRPr="00D11C17">
        <w:rPr>
          <w:rFonts w:asciiTheme="minorHAnsi" w:hAnsiTheme="minorHAnsi"/>
          <w:sz w:val="20"/>
          <w:szCs w:val="20"/>
          <w:lang w:val="en-US"/>
        </w:rPr>
        <w:t xml:space="preserve"> </w:t>
      </w:r>
      <w:proofErr w:type="spellStart"/>
      <w:r w:rsidR="00136867" w:rsidRPr="00D11C17">
        <w:rPr>
          <w:rFonts w:asciiTheme="minorHAnsi" w:hAnsiTheme="minorHAnsi"/>
          <w:sz w:val="20"/>
          <w:szCs w:val="20"/>
          <w:lang w:val="en-US"/>
        </w:rPr>
        <w:t>Microbiol</w:t>
      </w:r>
      <w:proofErr w:type="spellEnd"/>
      <w:r w:rsidR="00136867" w:rsidRPr="00D11C17">
        <w:rPr>
          <w:rFonts w:asciiTheme="minorHAnsi" w:hAnsiTheme="minorHAnsi"/>
          <w:sz w:val="20"/>
          <w:szCs w:val="20"/>
          <w:lang w:val="en-US"/>
        </w:rPr>
        <w:t xml:space="preserve"> </w:t>
      </w:r>
      <w:r w:rsidR="00136867" w:rsidRPr="00D11C17">
        <w:rPr>
          <w:rFonts w:asciiTheme="minorHAnsi" w:hAnsiTheme="minorHAnsi"/>
          <w:i/>
          <w:sz w:val="20"/>
          <w:szCs w:val="20"/>
          <w:lang w:val="en-US"/>
        </w:rPr>
        <w:t>50/2</w:t>
      </w:r>
      <w:r w:rsidR="00136867" w:rsidRPr="00D11C17">
        <w:rPr>
          <w:rFonts w:asciiTheme="minorHAnsi" w:hAnsiTheme="minorHAnsi"/>
          <w:sz w:val="20"/>
          <w:szCs w:val="20"/>
          <w:lang w:val="en-US"/>
        </w:rPr>
        <w:t>, 547 (2000)</w:t>
      </w:r>
    </w:p>
    <w:p w:rsidR="00136867" w:rsidRPr="00D11C17" w:rsidRDefault="00136867" w:rsidP="00136867">
      <w:pPr>
        <w:ind w:left="360" w:hanging="360"/>
        <w:jc w:val="both"/>
        <w:rPr>
          <w:rFonts w:asciiTheme="minorHAnsi" w:hAnsiTheme="minorHAnsi"/>
          <w:sz w:val="20"/>
          <w:szCs w:val="20"/>
          <w:lang w:val="en-US"/>
        </w:rPr>
      </w:pPr>
      <w:r w:rsidRPr="00D11C17">
        <w:rPr>
          <w:rFonts w:asciiTheme="minorHAnsi" w:hAnsiTheme="minorHAnsi"/>
          <w:sz w:val="20"/>
          <w:szCs w:val="20"/>
          <w:lang w:val="en-GB"/>
        </w:rPr>
        <w:t xml:space="preserve">3. </w:t>
      </w:r>
      <w:r w:rsidRPr="00D11C17">
        <w:rPr>
          <w:rFonts w:asciiTheme="minorHAnsi" w:hAnsiTheme="minorHAnsi"/>
          <w:sz w:val="20"/>
          <w:szCs w:val="20"/>
          <w:lang w:val="en-GB"/>
        </w:rPr>
        <w:tab/>
      </w:r>
      <w:r w:rsidR="00E44BEA" w:rsidRPr="00D11C17">
        <w:rPr>
          <w:rFonts w:asciiTheme="minorHAnsi" w:hAnsiTheme="minorHAnsi"/>
          <w:sz w:val="20"/>
          <w:szCs w:val="20"/>
          <w:lang w:val="en-US"/>
        </w:rPr>
        <w:t xml:space="preserve">Beller H. R., Letain T. E., Chakicherla A., Kane S. T., Legler T. C., Coleman M. A.: J </w:t>
      </w:r>
      <w:proofErr w:type="spellStart"/>
      <w:r w:rsidR="00E44BEA" w:rsidRPr="00D11C17">
        <w:rPr>
          <w:rFonts w:asciiTheme="minorHAnsi" w:hAnsiTheme="minorHAnsi"/>
          <w:sz w:val="20"/>
          <w:szCs w:val="20"/>
          <w:lang w:val="en-US"/>
        </w:rPr>
        <w:t>Bacteriol</w:t>
      </w:r>
      <w:proofErr w:type="spellEnd"/>
      <w:r w:rsidR="00E44BEA" w:rsidRPr="00D11C17">
        <w:rPr>
          <w:rFonts w:asciiTheme="minorHAnsi" w:hAnsiTheme="minorHAnsi"/>
          <w:sz w:val="20"/>
          <w:szCs w:val="20"/>
          <w:lang w:val="en-US"/>
        </w:rPr>
        <w:t xml:space="preserve"> </w:t>
      </w:r>
      <w:r w:rsidR="00E44BEA" w:rsidRPr="00D11C17">
        <w:rPr>
          <w:rFonts w:asciiTheme="minorHAnsi" w:hAnsiTheme="minorHAnsi"/>
          <w:i/>
          <w:sz w:val="20"/>
          <w:szCs w:val="20"/>
          <w:lang w:val="en-US"/>
        </w:rPr>
        <w:t>188/19</w:t>
      </w:r>
      <w:r w:rsidR="00E44BEA" w:rsidRPr="00D11C17">
        <w:rPr>
          <w:rFonts w:asciiTheme="minorHAnsi" w:hAnsiTheme="minorHAnsi"/>
          <w:sz w:val="20"/>
          <w:szCs w:val="20"/>
          <w:lang w:val="en-US"/>
        </w:rPr>
        <w:t>, 7005 (2006)</w:t>
      </w:r>
    </w:p>
    <w:p w:rsidR="00E44BEA" w:rsidRPr="00D11C17" w:rsidRDefault="00E44BEA" w:rsidP="00136867">
      <w:pPr>
        <w:ind w:left="360" w:hanging="360"/>
        <w:jc w:val="both"/>
        <w:rPr>
          <w:rFonts w:asciiTheme="minorHAnsi" w:hAnsiTheme="minorHAnsi"/>
          <w:sz w:val="20"/>
          <w:szCs w:val="20"/>
          <w:lang w:val="en-US"/>
        </w:rPr>
      </w:pPr>
      <w:r w:rsidRPr="00D11C17">
        <w:rPr>
          <w:rFonts w:asciiTheme="minorHAnsi" w:hAnsiTheme="minorHAnsi"/>
          <w:sz w:val="20"/>
          <w:szCs w:val="20"/>
          <w:lang w:val="en-US"/>
        </w:rPr>
        <w:t xml:space="preserve">4. </w:t>
      </w:r>
      <w:r w:rsidRPr="00D11C17">
        <w:rPr>
          <w:rFonts w:asciiTheme="minorHAnsi" w:hAnsiTheme="minorHAnsi"/>
          <w:sz w:val="20"/>
          <w:szCs w:val="20"/>
          <w:lang w:val="en-US"/>
        </w:rPr>
        <w:tab/>
        <w:t xml:space="preserve">Beller H. R., Chain P. S. G., Letain T. E., Chakicherla A., Larimer F. W., Richardson P. M., Coleman M. A., Wood A. P., Kelly D. P.: J </w:t>
      </w:r>
      <w:proofErr w:type="spellStart"/>
      <w:r w:rsidRPr="00D11C17">
        <w:rPr>
          <w:rFonts w:asciiTheme="minorHAnsi" w:hAnsiTheme="minorHAnsi"/>
          <w:sz w:val="20"/>
          <w:szCs w:val="20"/>
          <w:lang w:val="en-US"/>
        </w:rPr>
        <w:t>Bacteriol</w:t>
      </w:r>
      <w:proofErr w:type="spellEnd"/>
      <w:r w:rsidRPr="00D11C17">
        <w:rPr>
          <w:rFonts w:asciiTheme="minorHAnsi" w:hAnsiTheme="minorHAnsi"/>
          <w:sz w:val="20"/>
          <w:szCs w:val="20"/>
          <w:lang w:val="en-US"/>
        </w:rPr>
        <w:t xml:space="preserve"> </w:t>
      </w:r>
      <w:r w:rsidRPr="00D11C17">
        <w:rPr>
          <w:rFonts w:asciiTheme="minorHAnsi" w:hAnsiTheme="minorHAnsi"/>
          <w:i/>
          <w:sz w:val="20"/>
          <w:szCs w:val="20"/>
          <w:lang w:val="en-US"/>
        </w:rPr>
        <w:t>188/4</w:t>
      </w:r>
      <w:r w:rsidRPr="00D11C17">
        <w:rPr>
          <w:rFonts w:asciiTheme="minorHAnsi" w:hAnsiTheme="minorHAnsi"/>
          <w:sz w:val="20"/>
          <w:szCs w:val="20"/>
          <w:lang w:val="en-US"/>
        </w:rPr>
        <w:t>, 1473 (2006)</w:t>
      </w:r>
    </w:p>
    <w:p w:rsidR="00E44BEA" w:rsidRPr="00D11C17" w:rsidRDefault="00E44BEA" w:rsidP="00136867">
      <w:pPr>
        <w:ind w:left="360" w:hanging="360"/>
        <w:jc w:val="both"/>
        <w:rPr>
          <w:rFonts w:asciiTheme="minorHAnsi" w:hAnsiTheme="minorHAnsi"/>
          <w:sz w:val="20"/>
          <w:szCs w:val="20"/>
          <w:lang w:val="en-US"/>
        </w:rPr>
      </w:pPr>
      <w:r w:rsidRPr="00D11C17">
        <w:rPr>
          <w:rFonts w:asciiTheme="minorHAnsi" w:hAnsiTheme="minorHAnsi"/>
          <w:sz w:val="20"/>
          <w:szCs w:val="20"/>
          <w:lang w:val="en-US"/>
        </w:rPr>
        <w:t xml:space="preserve">5. </w:t>
      </w:r>
      <w:r w:rsidRPr="00D11C17">
        <w:rPr>
          <w:rFonts w:asciiTheme="minorHAnsi" w:hAnsiTheme="minorHAnsi"/>
          <w:sz w:val="20"/>
          <w:szCs w:val="20"/>
          <w:lang w:val="en-US"/>
        </w:rPr>
        <w:tab/>
        <w:t xml:space="preserve">Liu L. H., Koenig A.: Proc </w:t>
      </w:r>
      <w:proofErr w:type="spellStart"/>
      <w:r w:rsidRPr="00D11C17">
        <w:rPr>
          <w:rFonts w:asciiTheme="minorHAnsi" w:hAnsiTheme="minorHAnsi"/>
          <w:sz w:val="20"/>
          <w:szCs w:val="20"/>
          <w:lang w:val="en-US"/>
        </w:rPr>
        <w:t>Biochem</w:t>
      </w:r>
      <w:proofErr w:type="spellEnd"/>
      <w:r w:rsidRPr="00D11C17">
        <w:rPr>
          <w:rFonts w:asciiTheme="minorHAnsi" w:hAnsiTheme="minorHAnsi"/>
          <w:sz w:val="20"/>
          <w:szCs w:val="20"/>
          <w:lang w:val="en-US"/>
        </w:rPr>
        <w:t xml:space="preserve"> </w:t>
      </w:r>
      <w:r w:rsidRPr="00D11C17">
        <w:rPr>
          <w:rFonts w:asciiTheme="minorHAnsi" w:hAnsiTheme="minorHAnsi"/>
          <w:i/>
          <w:sz w:val="20"/>
          <w:szCs w:val="20"/>
          <w:lang w:val="en-US"/>
        </w:rPr>
        <w:t>37</w:t>
      </w:r>
      <w:r w:rsidRPr="00D11C17">
        <w:rPr>
          <w:rFonts w:asciiTheme="minorHAnsi" w:hAnsiTheme="minorHAnsi"/>
          <w:sz w:val="20"/>
          <w:szCs w:val="20"/>
          <w:lang w:val="en-US"/>
        </w:rPr>
        <w:t>, 885 (2002)</w:t>
      </w:r>
    </w:p>
    <w:p w:rsidR="00E44BEA" w:rsidRPr="00D11C17" w:rsidRDefault="00E44BEA" w:rsidP="00136867">
      <w:pPr>
        <w:ind w:left="360" w:hanging="360"/>
        <w:jc w:val="both"/>
        <w:rPr>
          <w:rFonts w:asciiTheme="minorHAnsi" w:hAnsiTheme="minorHAnsi"/>
          <w:sz w:val="20"/>
          <w:szCs w:val="20"/>
          <w:lang w:val="en-US"/>
        </w:rPr>
      </w:pPr>
      <w:r w:rsidRPr="00D11C17">
        <w:rPr>
          <w:rFonts w:asciiTheme="minorHAnsi" w:hAnsiTheme="minorHAnsi"/>
          <w:sz w:val="20"/>
          <w:szCs w:val="20"/>
          <w:lang w:val="en-US"/>
        </w:rPr>
        <w:lastRenderedPageBreak/>
        <w:t xml:space="preserve">6. </w:t>
      </w:r>
      <w:r w:rsidRPr="00D11C17">
        <w:rPr>
          <w:rFonts w:asciiTheme="minorHAnsi" w:hAnsiTheme="minorHAnsi"/>
          <w:sz w:val="20"/>
          <w:szCs w:val="20"/>
          <w:lang w:val="en-US"/>
        </w:rPr>
        <w:tab/>
        <w:t xml:space="preserve">Marconi I., Carruci A., Lens P.: Biotech </w:t>
      </w:r>
      <w:proofErr w:type="spellStart"/>
      <w:r w:rsidRPr="00D11C17">
        <w:rPr>
          <w:rFonts w:asciiTheme="minorHAnsi" w:hAnsiTheme="minorHAnsi"/>
          <w:sz w:val="20"/>
          <w:szCs w:val="20"/>
          <w:lang w:val="en-US"/>
        </w:rPr>
        <w:t>Bioeng</w:t>
      </w:r>
      <w:proofErr w:type="spellEnd"/>
      <w:r w:rsidRPr="00D11C17">
        <w:rPr>
          <w:rFonts w:asciiTheme="minorHAnsi" w:hAnsiTheme="minorHAnsi"/>
          <w:sz w:val="20"/>
          <w:szCs w:val="20"/>
          <w:lang w:val="en-US"/>
        </w:rPr>
        <w:t xml:space="preserve"> </w:t>
      </w:r>
      <w:r w:rsidRPr="00D11C17">
        <w:rPr>
          <w:rFonts w:asciiTheme="minorHAnsi" w:hAnsiTheme="minorHAnsi"/>
          <w:i/>
          <w:sz w:val="20"/>
          <w:szCs w:val="20"/>
          <w:lang w:val="en-US"/>
        </w:rPr>
        <w:t>98/3</w:t>
      </w:r>
      <w:r w:rsidRPr="00D11C17">
        <w:rPr>
          <w:rFonts w:asciiTheme="minorHAnsi" w:hAnsiTheme="minorHAnsi"/>
          <w:sz w:val="20"/>
          <w:szCs w:val="20"/>
          <w:lang w:val="en-US"/>
        </w:rPr>
        <w:t>, 551 (2007)</w:t>
      </w:r>
    </w:p>
    <w:p w:rsidR="00E44BEA" w:rsidRPr="00D11C17" w:rsidRDefault="00E44BEA" w:rsidP="00136867">
      <w:pPr>
        <w:ind w:left="360" w:hanging="360"/>
        <w:jc w:val="both"/>
        <w:rPr>
          <w:rFonts w:asciiTheme="minorHAnsi" w:hAnsiTheme="minorHAnsi"/>
          <w:sz w:val="20"/>
          <w:szCs w:val="20"/>
          <w:lang w:val="en-US"/>
        </w:rPr>
      </w:pPr>
      <w:r w:rsidRPr="00D11C17">
        <w:rPr>
          <w:rFonts w:asciiTheme="minorHAnsi" w:hAnsiTheme="minorHAnsi"/>
          <w:sz w:val="20"/>
          <w:szCs w:val="20"/>
          <w:lang w:val="en-US"/>
        </w:rPr>
        <w:t>7.</w:t>
      </w:r>
      <w:r w:rsidRPr="00D11C17">
        <w:rPr>
          <w:rFonts w:asciiTheme="minorHAnsi" w:hAnsiTheme="minorHAnsi"/>
          <w:sz w:val="20"/>
          <w:szCs w:val="20"/>
          <w:lang w:val="en-US"/>
        </w:rPr>
        <w:tab/>
        <w:t xml:space="preserve">Shao M., Zhang T., Fang H. H.: </w:t>
      </w:r>
      <w:proofErr w:type="spellStart"/>
      <w:r w:rsidRPr="00D11C17">
        <w:rPr>
          <w:rFonts w:asciiTheme="minorHAnsi" w:hAnsiTheme="minorHAnsi"/>
          <w:sz w:val="20"/>
          <w:szCs w:val="20"/>
          <w:lang w:val="en-US"/>
        </w:rPr>
        <w:t>Appl</w:t>
      </w:r>
      <w:proofErr w:type="spellEnd"/>
      <w:r w:rsidRPr="00D11C17">
        <w:rPr>
          <w:rFonts w:asciiTheme="minorHAnsi" w:hAnsiTheme="minorHAnsi"/>
          <w:sz w:val="20"/>
          <w:szCs w:val="20"/>
          <w:lang w:val="en-US"/>
        </w:rPr>
        <w:t xml:space="preserve"> </w:t>
      </w:r>
      <w:proofErr w:type="spellStart"/>
      <w:r w:rsidRPr="00D11C17">
        <w:rPr>
          <w:rFonts w:asciiTheme="minorHAnsi" w:hAnsiTheme="minorHAnsi"/>
          <w:sz w:val="20"/>
          <w:szCs w:val="20"/>
          <w:lang w:val="en-US"/>
        </w:rPr>
        <w:t>Microbiol</w:t>
      </w:r>
      <w:proofErr w:type="spellEnd"/>
      <w:r w:rsidRPr="00D11C17">
        <w:rPr>
          <w:rFonts w:asciiTheme="minorHAnsi" w:hAnsiTheme="minorHAnsi"/>
          <w:sz w:val="20"/>
          <w:szCs w:val="20"/>
          <w:lang w:val="en-US"/>
        </w:rPr>
        <w:t xml:space="preserve"> </w:t>
      </w:r>
      <w:proofErr w:type="spellStart"/>
      <w:r w:rsidRPr="00D11C17">
        <w:rPr>
          <w:rFonts w:asciiTheme="minorHAnsi" w:hAnsiTheme="minorHAnsi"/>
          <w:sz w:val="20"/>
          <w:szCs w:val="20"/>
          <w:lang w:val="en-US"/>
        </w:rPr>
        <w:t>Biotechnol</w:t>
      </w:r>
      <w:proofErr w:type="spellEnd"/>
      <w:r w:rsidRPr="00D11C17">
        <w:rPr>
          <w:rFonts w:asciiTheme="minorHAnsi" w:hAnsiTheme="minorHAnsi"/>
          <w:sz w:val="20"/>
          <w:szCs w:val="20"/>
          <w:lang w:val="en-US"/>
        </w:rPr>
        <w:t xml:space="preserve"> </w:t>
      </w:r>
      <w:r w:rsidRPr="00D11C17">
        <w:rPr>
          <w:rFonts w:asciiTheme="minorHAnsi" w:hAnsiTheme="minorHAnsi"/>
          <w:i/>
          <w:sz w:val="20"/>
          <w:szCs w:val="20"/>
          <w:lang w:val="en-US"/>
        </w:rPr>
        <w:t>88/5</w:t>
      </w:r>
      <w:r w:rsidRPr="00D11C17">
        <w:rPr>
          <w:rFonts w:asciiTheme="minorHAnsi" w:hAnsiTheme="minorHAnsi"/>
          <w:sz w:val="20"/>
          <w:szCs w:val="20"/>
          <w:lang w:val="en-US"/>
        </w:rPr>
        <w:t>, 1027(2010)</w:t>
      </w:r>
    </w:p>
    <w:p w:rsidR="00EC36BB" w:rsidRPr="00D11C17" w:rsidRDefault="00EC36BB" w:rsidP="00136867">
      <w:pPr>
        <w:ind w:left="360" w:hanging="360"/>
        <w:jc w:val="both"/>
        <w:rPr>
          <w:rFonts w:asciiTheme="minorHAnsi" w:hAnsiTheme="minorHAnsi"/>
          <w:sz w:val="20"/>
          <w:szCs w:val="20"/>
        </w:rPr>
      </w:pPr>
      <w:r w:rsidRPr="00D11C17">
        <w:rPr>
          <w:rFonts w:asciiTheme="minorHAnsi" w:hAnsiTheme="minorHAnsi"/>
          <w:sz w:val="20"/>
          <w:szCs w:val="20"/>
          <w:lang w:val="en-US"/>
        </w:rPr>
        <w:t>8.</w:t>
      </w:r>
      <w:r w:rsidRPr="00D11C17">
        <w:rPr>
          <w:rFonts w:asciiTheme="minorHAnsi" w:hAnsiTheme="minorHAnsi"/>
          <w:sz w:val="20"/>
          <w:szCs w:val="20"/>
          <w:lang w:val="en-US"/>
        </w:rPr>
        <w:tab/>
      </w:r>
      <w:r w:rsidR="00AD4E3F" w:rsidRPr="00D11C17">
        <w:rPr>
          <w:rFonts w:asciiTheme="minorHAnsi" w:hAnsiTheme="minorHAnsi"/>
          <w:sz w:val="20"/>
          <w:szCs w:val="20"/>
        </w:rPr>
        <w:t xml:space="preserve">ČSN ISO 7890-3 (75 7453): </w:t>
      </w:r>
      <w:proofErr w:type="spellStart"/>
      <w:r w:rsidR="00AD4E3F" w:rsidRPr="00D11C17">
        <w:rPr>
          <w:rFonts w:asciiTheme="minorHAnsi" w:hAnsiTheme="minorHAnsi"/>
          <w:sz w:val="20"/>
          <w:szCs w:val="20"/>
        </w:rPr>
        <w:t>Jakost</w:t>
      </w:r>
      <w:proofErr w:type="spellEnd"/>
      <w:r w:rsidR="00AD4E3F" w:rsidRPr="00D11C17">
        <w:rPr>
          <w:rFonts w:asciiTheme="minorHAnsi" w:hAnsiTheme="minorHAnsi"/>
          <w:sz w:val="20"/>
          <w:szCs w:val="20"/>
        </w:rPr>
        <w:t xml:space="preserve"> </w:t>
      </w:r>
      <w:proofErr w:type="spellStart"/>
      <w:r w:rsidR="00AD4E3F" w:rsidRPr="00D11C17">
        <w:rPr>
          <w:rFonts w:asciiTheme="minorHAnsi" w:hAnsiTheme="minorHAnsi"/>
          <w:sz w:val="20"/>
          <w:szCs w:val="20"/>
        </w:rPr>
        <w:t>vod</w:t>
      </w:r>
      <w:proofErr w:type="spellEnd"/>
      <w:r w:rsidR="00AD4E3F" w:rsidRPr="00D11C17">
        <w:rPr>
          <w:rFonts w:asciiTheme="minorHAnsi" w:hAnsiTheme="minorHAnsi"/>
          <w:sz w:val="20"/>
          <w:szCs w:val="20"/>
        </w:rPr>
        <w:t xml:space="preserve">. </w:t>
      </w:r>
      <w:proofErr w:type="spellStart"/>
      <w:r w:rsidR="00AD4E3F" w:rsidRPr="00D11C17">
        <w:rPr>
          <w:rFonts w:asciiTheme="minorHAnsi" w:hAnsiTheme="minorHAnsi"/>
          <w:sz w:val="20"/>
          <w:szCs w:val="20"/>
        </w:rPr>
        <w:t>Stanovení</w:t>
      </w:r>
      <w:proofErr w:type="spellEnd"/>
      <w:r w:rsidR="00AD4E3F" w:rsidRPr="00D11C17">
        <w:rPr>
          <w:rFonts w:asciiTheme="minorHAnsi" w:hAnsiTheme="minorHAnsi"/>
          <w:sz w:val="20"/>
          <w:szCs w:val="20"/>
        </w:rPr>
        <w:t xml:space="preserve"> </w:t>
      </w:r>
      <w:proofErr w:type="spellStart"/>
      <w:r w:rsidR="00AD4E3F" w:rsidRPr="00D11C17">
        <w:rPr>
          <w:rFonts w:asciiTheme="minorHAnsi" w:hAnsiTheme="minorHAnsi"/>
          <w:sz w:val="20"/>
          <w:szCs w:val="20"/>
        </w:rPr>
        <w:t>dusičnanů</w:t>
      </w:r>
      <w:proofErr w:type="spellEnd"/>
      <w:r w:rsidR="00AD4E3F" w:rsidRPr="00D11C17">
        <w:rPr>
          <w:rFonts w:asciiTheme="minorHAnsi" w:hAnsiTheme="minorHAnsi"/>
          <w:sz w:val="20"/>
          <w:szCs w:val="20"/>
        </w:rPr>
        <w:t xml:space="preserve"> s </w:t>
      </w:r>
      <w:proofErr w:type="spellStart"/>
      <w:r w:rsidR="00AD4E3F" w:rsidRPr="00D11C17">
        <w:rPr>
          <w:rFonts w:asciiTheme="minorHAnsi" w:hAnsiTheme="minorHAnsi"/>
          <w:sz w:val="20"/>
          <w:szCs w:val="20"/>
        </w:rPr>
        <w:t>kyselinou</w:t>
      </w:r>
      <w:proofErr w:type="spellEnd"/>
      <w:r w:rsidR="00AD4E3F" w:rsidRPr="00D11C17">
        <w:rPr>
          <w:rFonts w:asciiTheme="minorHAnsi" w:hAnsiTheme="minorHAnsi"/>
          <w:sz w:val="20"/>
          <w:szCs w:val="20"/>
        </w:rPr>
        <w:t xml:space="preserve"> </w:t>
      </w:r>
      <w:proofErr w:type="spellStart"/>
      <w:r w:rsidR="00AD4E3F" w:rsidRPr="00D11C17">
        <w:rPr>
          <w:rFonts w:asciiTheme="minorHAnsi" w:hAnsiTheme="minorHAnsi"/>
          <w:sz w:val="20"/>
          <w:szCs w:val="20"/>
        </w:rPr>
        <w:t>sulfosalicylovou</w:t>
      </w:r>
      <w:proofErr w:type="spellEnd"/>
      <w:r w:rsidR="00AD4E3F" w:rsidRPr="00D11C17">
        <w:rPr>
          <w:rFonts w:asciiTheme="minorHAnsi" w:hAnsiTheme="minorHAnsi"/>
          <w:sz w:val="20"/>
          <w:szCs w:val="20"/>
        </w:rPr>
        <w:t>. (1994)</w:t>
      </w:r>
    </w:p>
    <w:p w:rsidR="00AD4E3F" w:rsidRPr="00D11C17" w:rsidRDefault="00AD4E3F" w:rsidP="00136867">
      <w:pPr>
        <w:ind w:left="360" w:hanging="360"/>
        <w:jc w:val="both"/>
        <w:rPr>
          <w:rFonts w:asciiTheme="minorHAnsi" w:hAnsiTheme="minorHAnsi"/>
          <w:sz w:val="20"/>
          <w:szCs w:val="20"/>
        </w:rPr>
      </w:pPr>
      <w:r w:rsidRPr="00D11C17">
        <w:rPr>
          <w:rFonts w:asciiTheme="minorHAnsi" w:hAnsiTheme="minorHAnsi"/>
          <w:sz w:val="20"/>
          <w:szCs w:val="20"/>
        </w:rPr>
        <w:t>9.</w:t>
      </w:r>
      <w:r w:rsidRPr="00D11C17">
        <w:rPr>
          <w:rFonts w:asciiTheme="minorHAnsi" w:hAnsiTheme="minorHAnsi"/>
          <w:sz w:val="20"/>
          <w:szCs w:val="20"/>
        </w:rPr>
        <w:tab/>
        <w:t xml:space="preserve">ČSN EN 26777 (75 7452). </w:t>
      </w:r>
      <w:proofErr w:type="spellStart"/>
      <w:r w:rsidRPr="00D11C17">
        <w:rPr>
          <w:rFonts w:asciiTheme="minorHAnsi" w:hAnsiTheme="minorHAnsi"/>
          <w:sz w:val="20"/>
          <w:szCs w:val="20"/>
        </w:rPr>
        <w:t>Jakost</w:t>
      </w:r>
      <w:proofErr w:type="spellEnd"/>
      <w:r w:rsidRPr="00D11C17">
        <w:rPr>
          <w:rFonts w:asciiTheme="minorHAnsi" w:hAnsiTheme="minorHAnsi"/>
          <w:sz w:val="20"/>
          <w:szCs w:val="20"/>
        </w:rPr>
        <w:t xml:space="preserve"> </w:t>
      </w:r>
      <w:proofErr w:type="spellStart"/>
      <w:r w:rsidRPr="00D11C17">
        <w:rPr>
          <w:rFonts w:asciiTheme="minorHAnsi" w:hAnsiTheme="minorHAnsi"/>
          <w:sz w:val="20"/>
          <w:szCs w:val="20"/>
        </w:rPr>
        <w:t>vod</w:t>
      </w:r>
      <w:proofErr w:type="spellEnd"/>
      <w:r w:rsidRPr="00D11C17">
        <w:rPr>
          <w:rFonts w:asciiTheme="minorHAnsi" w:hAnsiTheme="minorHAnsi"/>
          <w:sz w:val="20"/>
          <w:szCs w:val="20"/>
        </w:rPr>
        <w:t xml:space="preserve">. </w:t>
      </w:r>
      <w:proofErr w:type="spellStart"/>
      <w:r w:rsidRPr="00D11C17">
        <w:rPr>
          <w:rFonts w:asciiTheme="minorHAnsi" w:hAnsiTheme="minorHAnsi"/>
          <w:sz w:val="20"/>
          <w:szCs w:val="20"/>
        </w:rPr>
        <w:t>Stanovení</w:t>
      </w:r>
      <w:proofErr w:type="spellEnd"/>
      <w:r w:rsidRPr="00D11C17">
        <w:rPr>
          <w:rFonts w:asciiTheme="minorHAnsi" w:hAnsiTheme="minorHAnsi"/>
          <w:sz w:val="20"/>
          <w:szCs w:val="20"/>
        </w:rPr>
        <w:t xml:space="preserve"> </w:t>
      </w:r>
      <w:proofErr w:type="spellStart"/>
      <w:r w:rsidRPr="00D11C17">
        <w:rPr>
          <w:rFonts w:asciiTheme="minorHAnsi" w:hAnsiTheme="minorHAnsi"/>
          <w:sz w:val="20"/>
          <w:szCs w:val="20"/>
        </w:rPr>
        <w:t>dusitanů</w:t>
      </w:r>
      <w:proofErr w:type="spellEnd"/>
      <w:r w:rsidRPr="00D11C17">
        <w:rPr>
          <w:rFonts w:asciiTheme="minorHAnsi" w:hAnsiTheme="minorHAnsi"/>
          <w:sz w:val="20"/>
          <w:szCs w:val="20"/>
        </w:rPr>
        <w:t xml:space="preserve">. </w:t>
      </w:r>
      <w:proofErr w:type="spellStart"/>
      <w:r w:rsidRPr="00D11C17">
        <w:rPr>
          <w:rFonts w:asciiTheme="minorHAnsi" w:hAnsiTheme="minorHAnsi"/>
          <w:sz w:val="20"/>
          <w:szCs w:val="20"/>
        </w:rPr>
        <w:t>Molekulární</w:t>
      </w:r>
      <w:proofErr w:type="spellEnd"/>
      <w:r w:rsidRPr="00D11C17">
        <w:rPr>
          <w:rFonts w:asciiTheme="minorHAnsi" w:hAnsiTheme="minorHAnsi"/>
          <w:sz w:val="20"/>
          <w:szCs w:val="20"/>
        </w:rPr>
        <w:t xml:space="preserve"> </w:t>
      </w:r>
      <w:proofErr w:type="spellStart"/>
      <w:r w:rsidRPr="00D11C17">
        <w:rPr>
          <w:rFonts w:asciiTheme="minorHAnsi" w:hAnsiTheme="minorHAnsi"/>
          <w:sz w:val="20"/>
          <w:szCs w:val="20"/>
        </w:rPr>
        <w:t>absorpční</w:t>
      </w:r>
      <w:proofErr w:type="spellEnd"/>
      <w:r w:rsidRPr="00D11C17">
        <w:rPr>
          <w:rFonts w:asciiTheme="minorHAnsi" w:hAnsiTheme="minorHAnsi"/>
          <w:sz w:val="20"/>
          <w:szCs w:val="20"/>
        </w:rPr>
        <w:t xml:space="preserve"> </w:t>
      </w:r>
      <w:proofErr w:type="spellStart"/>
      <w:r w:rsidRPr="00D11C17">
        <w:rPr>
          <w:rFonts w:asciiTheme="minorHAnsi" w:hAnsiTheme="minorHAnsi"/>
          <w:sz w:val="20"/>
          <w:szCs w:val="20"/>
        </w:rPr>
        <w:t>spektrofotometrická</w:t>
      </w:r>
      <w:proofErr w:type="spellEnd"/>
      <w:r w:rsidRPr="00D11C17">
        <w:rPr>
          <w:rFonts w:asciiTheme="minorHAnsi" w:hAnsiTheme="minorHAnsi"/>
          <w:sz w:val="20"/>
          <w:szCs w:val="20"/>
        </w:rPr>
        <w:t xml:space="preserve"> </w:t>
      </w:r>
      <w:proofErr w:type="spellStart"/>
      <w:r w:rsidRPr="00D11C17">
        <w:rPr>
          <w:rFonts w:asciiTheme="minorHAnsi" w:hAnsiTheme="minorHAnsi"/>
          <w:sz w:val="20"/>
          <w:szCs w:val="20"/>
        </w:rPr>
        <w:t>metoda</w:t>
      </w:r>
      <w:proofErr w:type="spellEnd"/>
      <w:r w:rsidRPr="00D11C17">
        <w:rPr>
          <w:rFonts w:asciiTheme="minorHAnsi" w:hAnsiTheme="minorHAnsi"/>
          <w:sz w:val="20"/>
          <w:szCs w:val="20"/>
        </w:rPr>
        <w:t xml:space="preserve"> (ISO 6777:1984)</w:t>
      </w:r>
      <w:r w:rsidR="0058483D" w:rsidRPr="00D11C17">
        <w:rPr>
          <w:rFonts w:asciiTheme="minorHAnsi" w:hAnsiTheme="minorHAnsi"/>
          <w:sz w:val="20"/>
          <w:szCs w:val="20"/>
        </w:rPr>
        <w:t xml:space="preserve">. </w:t>
      </w:r>
      <w:r w:rsidRPr="00D11C17">
        <w:rPr>
          <w:rFonts w:asciiTheme="minorHAnsi" w:hAnsiTheme="minorHAnsi"/>
          <w:sz w:val="20"/>
          <w:szCs w:val="20"/>
        </w:rPr>
        <w:t>(1995)</w:t>
      </w:r>
    </w:p>
    <w:p w:rsidR="00AD4E3F" w:rsidRPr="00D11C17" w:rsidRDefault="00AD4E3F" w:rsidP="00136867">
      <w:pPr>
        <w:ind w:left="360" w:hanging="360"/>
        <w:jc w:val="both"/>
        <w:rPr>
          <w:rFonts w:asciiTheme="minorHAnsi" w:hAnsiTheme="minorHAnsi"/>
          <w:sz w:val="20"/>
          <w:szCs w:val="20"/>
        </w:rPr>
      </w:pPr>
      <w:r w:rsidRPr="00D11C17">
        <w:rPr>
          <w:rFonts w:asciiTheme="minorHAnsi" w:hAnsiTheme="minorHAnsi"/>
          <w:sz w:val="20"/>
          <w:szCs w:val="20"/>
        </w:rPr>
        <w:t>10.</w:t>
      </w:r>
      <w:r w:rsidRPr="00D11C17">
        <w:rPr>
          <w:rFonts w:asciiTheme="minorHAnsi" w:hAnsiTheme="minorHAnsi"/>
          <w:sz w:val="20"/>
          <w:szCs w:val="20"/>
        </w:rPr>
        <w:tab/>
        <w:t xml:space="preserve">ČSN ISO 10523 (75 7365). </w:t>
      </w:r>
      <w:proofErr w:type="spellStart"/>
      <w:r w:rsidRPr="00D11C17">
        <w:rPr>
          <w:rFonts w:asciiTheme="minorHAnsi" w:hAnsiTheme="minorHAnsi"/>
          <w:sz w:val="20"/>
          <w:szCs w:val="20"/>
        </w:rPr>
        <w:t>Jakost</w:t>
      </w:r>
      <w:proofErr w:type="spellEnd"/>
      <w:r w:rsidRPr="00D11C17">
        <w:rPr>
          <w:rFonts w:asciiTheme="minorHAnsi" w:hAnsiTheme="minorHAnsi"/>
          <w:sz w:val="20"/>
          <w:szCs w:val="20"/>
        </w:rPr>
        <w:t xml:space="preserve"> </w:t>
      </w:r>
      <w:proofErr w:type="spellStart"/>
      <w:r w:rsidRPr="00D11C17">
        <w:rPr>
          <w:rFonts w:asciiTheme="minorHAnsi" w:hAnsiTheme="minorHAnsi"/>
          <w:sz w:val="20"/>
          <w:szCs w:val="20"/>
        </w:rPr>
        <w:t>vod</w:t>
      </w:r>
      <w:proofErr w:type="spellEnd"/>
      <w:r w:rsidRPr="00D11C17">
        <w:rPr>
          <w:rFonts w:asciiTheme="minorHAnsi" w:hAnsiTheme="minorHAnsi"/>
          <w:sz w:val="20"/>
          <w:szCs w:val="20"/>
        </w:rPr>
        <w:t xml:space="preserve"> – </w:t>
      </w:r>
      <w:proofErr w:type="spellStart"/>
      <w:r w:rsidRPr="00D11C17">
        <w:rPr>
          <w:rFonts w:asciiTheme="minorHAnsi" w:hAnsiTheme="minorHAnsi"/>
          <w:sz w:val="20"/>
          <w:szCs w:val="20"/>
        </w:rPr>
        <w:t>Stanovení</w:t>
      </w:r>
      <w:proofErr w:type="spellEnd"/>
      <w:r w:rsidRPr="00D11C17">
        <w:rPr>
          <w:rFonts w:asciiTheme="minorHAnsi" w:hAnsiTheme="minorHAnsi"/>
          <w:sz w:val="20"/>
          <w:szCs w:val="20"/>
        </w:rPr>
        <w:t xml:space="preserve"> pH. (2010)</w:t>
      </w:r>
    </w:p>
    <w:p w:rsidR="00AD4E3F" w:rsidRPr="00D11C17" w:rsidRDefault="00AD4E3F" w:rsidP="00136867">
      <w:pPr>
        <w:ind w:left="360" w:hanging="360"/>
        <w:jc w:val="both"/>
        <w:rPr>
          <w:rFonts w:asciiTheme="minorHAnsi" w:hAnsiTheme="minorHAnsi"/>
          <w:sz w:val="20"/>
          <w:szCs w:val="20"/>
        </w:rPr>
      </w:pPr>
      <w:r w:rsidRPr="00D11C17">
        <w:rPr>
          <w:rFonts w:asciiTheme="minorHAnsi" w:hAnsiTheme="minorHAnsi"/>
          <w:sz w:val="20"/>
          <w:szCs w:val="20"/>
        </w:rPr>
        <w:t>11.</w:t>
      </w:r>
      <w:r w:rsidRPr="00D11C17">
        <w:rPr>
          <w:rFonts w:asciiTheme="minorHAnsi" w:hAnsiTheme="minorHAnsi"/>
          <w:sz w:val="20"/>
          <w:szCs w:val="20"/>
        </w:rPr>
        <w:tab/>
        <w:t xml:space="preserve">ČSN ISO 757342 (75 7342). </w:t>
      </w:r>
      <w:proofErr w:type="spellStart"/>
      <w:r w:rsidRPr="00D11C17">
        <w:rPr>
          <w:rFonts w:asciiTheme="minorHAnsi" w:hAnsiTheme="minorHAnsi"/>
          <w:sz w:val="20"/>
          <w:szCs w:val="20"/>
        </w:rPr>
        <w:t>Kvalita</w:t>
      </w:r>
      <w:proofErr w:type="spellEnd"/>
      <w:r w:rsidRPr="00D11C17">
        <w:rPr>
          <w:rFonts w:asciiTheme="minorHAnsi" w:hAnsiTheme="minorHAnsi"/>
          <w:sz w:val="20"/>
          <w:szCs w:val="20"/>
        </w:rPr>
        <w:t xml:space="preserve"> </w:t>
      </w:r>
      <w:proofErr w:type="spellStart"/>
      <w:r w:rsidRPr="00D11C17">
        <w:rPr>
          <w:rFonts w:asciiTheme="minorHAnsi" w:hAnsiTheme="minorHAnsi"/>
          <w:sz w:val="20"/>
          <w:szCs w:val="20"/>
        </w:rPr>
        <w:t>vod</w:t>
      </w:r>
      <w:proofErr w:type="spellEnd"/>
      <w:r w:rsidRPr="00D11C17">
        <w:rPr>
          <w:rFonts w:asciiTheme="minorHAnsi" w:hAnsiTheme="minorHAnsi"/>
          <w:sz w:val="20"/>
          <w:szCs w:val="20"/>
        </w:rPr>
        <w:t xml:space="preserve"> – </w:t>
      </w:r>
      <w:proofErr w:type="spellStart"/>
      <w:r w:rsidRPr="00D11C17">
        <w:rPr>
          <w:rFonts w:asciiTheme="minorHAnsi" w:hAnsiTheme="minorHAnsi"/>
          <w:sz w:val="20"/>
          <w:szCs w:val="20"/>
        </w:rPr>
        <w:t>Stanovení</w:t>
      </w:r>
      <w:proofErr w:type="spellEnd"/>
      <w:r w:rsidRPr="00D11C17">
        <w:rPr>
          <w:rFonts w:asciiTheme="minorHAnsi" w:hAnsiTheme="minorHAnsi"/>
          <w:sz w:val="20"/>
          <w:szCs w:val="20"/>
        </w:rPr>
        <w:t xml:space="preserve"> </w:t>
      </w:r>
      <w:proofErr w:type="spellStart"/>
      <w:r w:rsidRPr="00D11C17">
        <w:rPr>
          <w:rFonts w:asciiTheme="minorHAnsi" w:hAnsiTheme="minorHAnsi"/>
          <w:sz w:val="20"/>
          <w:szCs w:val="20"/>
        </w:rPr>
        <w:t>teploty</w:t>
      </w:r>
      <w:proofErr w:type="spellEnd"/>
      <w:r w:rsidRPr="00D11C17">
        <w:rPr>
          <w:rFonts w:asciiTheme="minorHAnsi" w:hAnsiTheme="minorHAnsi"/>
          <w:sz w:val="20"/>
          <w:szCs w:val="20"/>
        </w:rPr>
        <w:t>. (2013)</w:t>
      </w:r>
    </w:p>
    <w:p w:rsidR="00AD4E3F" w:rsidRPr="00D11C17" w:rsidRDefault="00AD4E3F" w:rsidP="00136867">
      <w:pPr>
        <w:ind w:left="360" w:hanging="360"/>
        <w:jc w:val="both"/>
        <w:rPr>
          <w:rFonts w:asciiTheme="minorHAnsi" w:hAnsiTheme="minorHAnsi"/>
          <w:sz w:val="20"/>
          <w:szCs w:val="20"/>
        </w:rPr>
      </w:pPr>
      <w:r w:rsidRPr="00D11C17">
        <w:rPr>
          <w:rFonts w:asciiTheme="minorHAnsi" w:hAnsiTheme="minorHAnsi"/>
          <w:sz w:val="20"/>
          <w:szCs w:val="20"/>
        </w:rPr>
        <w:t>12.</w:t>
      </w:r>
      <w:r w:rsidRPr="00D11C17">
        <w:rPr>
          <w:rFonts w:asciiTheme="minorHAnsi" w:hAnsiTheme="minorHAnsi"/>
          <w:sz w:val="20"/>
          <w:szCs w:val="20"/>
        </w:rPr>
        <w:tab/>
        <w:t xml:space="preserve">ČSN ISO 757367 (75 7367). </w:t>
      </w:r>
      <w:proofErr w:type="spellStart"/>
      <w:r w:rsidRPr="00D11C17">
        <w:rPr>
          <w:rFonts w:asciiTheme="minorHAnsi" w:hAnsiTheme="minorHAnsi"/>
          <w:sz w:val="20"/>
          <w:szCs w:val="20"/>
        </w:rPr>
        <w:t>Jakost</w:t>
      </w:r>
      <w:proofErr w:type="spellEnd"/>
      <w:r w:rsidRPr="00D11C17">
        <w:rPr>
          <w:rFonts w:asciiTheme="minorHAnsi" w:hAnsiTheme="minorHAnsi"/>
          <w:sz w:val="20"/>
          <w:szCs w:val="20"/>
        </w:rPr>
        <w:t xml:space="preserve"> </w:t>
      </w:r>
      <w:proofErr w:type="spellStart"/>
      <w:r w:rsidRPr="00D11C17">
        <w:rPr>
          <w:rFonts w:asciiTheme="minorHAnsi" w:hAnsiTheme="minorHAnsi"/>
          <w:sz w:val="20"/>
          <w:szCs w:val="20"/>
        </w:rPr>
        <w:t>vod</w:t>
      </w:r>
      <w:proofErr w:type="spellEnd"/>
      <w:r w:rsidRPr="00D11C17">
        <w:rPr>
          <w:rFonts w:asciiTheme="minorHAnsi" w:hAnsiTheme="minorHAnsi"/>
          <w:sz w:val="20"/>
          <w:szCs w:val="20"/>
        </w:rPr>
        <w:t xml:space="preserve"> – </w:t>
      </w:r>
      <w:proofErr w:type="spellStart"/>
      <w:r w:rsidRPr="00D11C17">
        <w:rPr>
          <w:rFonts w:asciiTheme="minorHAnsi" w:hAnsiTheme="minorHAnsi"/>
          <w:sz w:val="20"/>
          <w:szCs w:val="20"/>
        </w:rPr>
        <w:t>Stanovení</w:t>
      </w:r>
      <w:proofErr w:type="spellEnd"/>
      <w:r w:rsidRPr="00D11C17">
        <w:rPr>
          <w:rFonts w:asciiTheme="minorHAnsi" w:hAnsiTheme="minorHAnsi"/>
          <w:sz w:val="20"/>
          <w:szCs w:val="20"/>
        </w:rPr>
        <w:t xml:space="preserve"> </w:t>
      </w:r>
      <w:proofErr w:type="spellStart"/>
      <w:r w:rsidRPr="00D11C17">
        <w:rPr>
          <w:rFonts w:asciiTheme="minorHAnsi" w:hAnsiTheme="minorHAnsi"/>
          <w:sz w:val="20"/>
          <w:szCs w:val="20"/>
        </w:rPr>
        <w:t>oxidačně</w:t>
      </w:r>
      <w:proofErr w:type="spellEnd"/>
      <w:r w:rsidRPr="00D11C17">
        <w:rPr>
          <w:rFonts w:asciiTheme="minorHAnsi" w:hAnsiTheme="minorHAnsi"/>
          <w:sz w:val="20"/>
          <w:szCs w:val="20"/>
        </w:rPr>
        <w:t xml:space="preserve"> </w:t>
      </w:r>
      <w:proofErr w:type="spellStart"/>
      <w:r w:rsidRPr="00D11C17">
        <w:rPr>
          <w:rFonts w:asciiTheme="minorHAnsi" w:hAnsiTheme="minorHAnsi"/>
          <w:sz w:val="20"/>
          <w:szCs w:val="20"/>
        </w:rPr>
        <w:t>redukčního</w:t>
      </w:r>
      <w:proofErr w:type="spellEnd"/>
      <w:r w:rsidRPr="00D11C17">
        <w:rPr>
          <w:rFonts w:asciiTheme="minorHAnsi" w:hAnsiTheme="minorHAnsi"/>
          <w:sz w:val="20"/>
          <w:szCs w:val="20"/>
        </w:rPr>
        <w:t xml:space="preserve"> </w:t>
      </w:r>
      <w:proofErr w:type="spellStart"/>
      <w:r w:rsidRPr="00D11C17">
        <w:rPr>
          <w:rFonts w:asciiTheme="minorHAnsi" w:hAnsiTheme="minorHAnsi"/>
          <w:sz w:val="20"/>
          <w:szCs w:val="20"/>
        </w:rPr>
        <w:t>potenciálu</w:t>
      </w:r>
      <w:proofErr w:type="spellEnd"/>
      <w:r w:rsidRPr="00D11C17">
        <w:rPr>
          <w:rFonts w:asciiTheme="minorHAnsi" w:hAnsiTheme="minorHAnsi"/>
          <w:sz w:val="20"/>
          <w:szCs w:val="20"/>
        </w:rPr>
        <w:t xml:space="preserve"> (ORP). (2011)</w:t>
      </w:r>
    </w:p>
    <w:p w:rsidR="00AD4E3F" w:rsidRPr="00D11C17" w:rsidRDefault="00AD4E3F" w:rsidP="00136867">
      <w:pPr>
        <w:ind w:left="360" w:hanging="360"/>
        <w:jc w:val="both"/>
        <w:rPr>
          <w:rFonts w:asciiTheme="minorHAnsi" w:hAnsiTheme="minorHAnsi"/>
          <w:sz w:val="20"/>
          <w:szCs w:val="20"/>
          <w:lang w:val="en-GB"/>
        </w:rPr>
      </w:pPr>
      <w:r w:rsidRPr="00D11C17">
        <w:rPr>
          <w:rFonts w:asciiTheme="minorHAnsi" w:hAnsiTheme="minorHAnsi"/>
          <w:sz w:val="20"/>
          <w:szCs w:val="20"/>
        </w:rPr>
        <w:t xml:space="preserve">13. ČSN EN ISO 5814 (75 7463). </w:t>
      </w:r>
      <w:proofErr w:type="spellStart"/>
      <w:r w:rsidRPr="00D11C17">
        <w:rPr>
          <w:rFonts w:asciiTheme="minorHAnsi" w:hAnsiTheme="minorHAnsi"/>
          <w:sz w:val="20"/>
          <w:szCs w:val="20"/>
        </w:rPr>
        <w:t>Kvalita</w:t>
      </w:r>
      <w:proofErr w:type="spellEnd"/>
      <w:r w:rsidRPr="00D11C17">
        <w:rPr>
          <w:rFonts w:asciiTheme="minorHAnsi" w:hAnsiTheme="minorHAnsi"/>
          <w:sz w:val="20"/>
          <w:szCs w:val="20"/>
        </w:rPr>
        <w:t xml:space="preserve"> </w:t>
      </w:r>
      <w:proofErr w:type="spellStart"/>
      <w:r w:rsidRPr="00D11C17">
        <w:rPr>
          <w:rFonts w:asciiTheme="minorHAnsi" w:hAnsiTheme="minorHAnsi"/>
          <w:sz w:val="20"/>
          <w:szCs w:val="20"/>
        </w:rPr>
        <w:t>vod</w:t>
      </w:r>
      <w:proofErr w:type="spellEnd"/>
      <w:r w:rsidRPr="00D11C17">
        <w:rPr>
          <w:rFonts w:asciiTheme="minorHAnsi" w:hAnsiTheme="minorHAnsi"/>
          <w:sz w:val="20"/>
          <w:szCs w:val="20"/>
        </w:rPr>
        <w:t xml:space="preserve">. </w:t>
      </w:r>
      <w:proofErr w:type="spellStart"/>
      <w:r w:rsidRPr="00D11C17">
        <w:rPr>
          <w:rFonts w:asciiTheme="minorHAnsi" w:hAnsiTheme="minorHAnsi"/>
          <w:sz w:val="20"/>
          <w:szCs w:val="20"/>
        </w:rPr>
        <w:t>Stanovení</w:t>
      </w:r>
      <w:proofErr w:type="spellEnd"/>
      <w:r w:rsidRPr="00D11C17">
        <w:rPr>
          <w:rFonts w:asciiTheme="minorHAnsi" w:hAnsiTheme="minorHAnsi"/>
          <w:sz w:val="20"/>
          <w:szCs w:val="20"/>
        </w:rPr>
        <w:t xml:space="preserve"> </w:t>
      </w:r>
      <w:proofErr w:type="spellStart"/>
      <w:r w:rsidRPr="00D11C17">
        <w:rPr>
          <w:rFonts w:asciiTheme="minorHAnsi" w:hAnsiTheme="minorHAnsi"/>
          <w:sz w:val="20"/>
          <w:szCs w:val="20"/>
        </w:rPr>
        <w:t>rozpuštěného</w:t>
      </w:r>
      <w:proofErr w:type="spellEnd"/>
      <w:r w:rsidRPr="00D11C17">
        <w:rPr>
          <w:rFonts w:asciiTheme="minorHAnsi" w:hAnsiTheme="minorHAnsi"/>
          <w:sz w:val="20"/>
          <w:szCs w:val="20"/>
        </w:rPr>
        <w:t xml:space="preserve"> </w:t>
      </w:r>
      <w:proofErr w:type="spellStart"/>
      <w:r w:rsidRPr="00D11C17">
        <w:rPr>
          <w:rFonts w:asciiTheme="minorHAnsi" w:hAnsiTheme="minorHAnsi"/>
          <w:sz w:val="20"/>
          <w:szCs w:val="20"/>
        </w:rPr>
        <w:t>kyslíku</w:t>
      </w:r>
      <w:proofErr w:type="spellEnd"/>
      <w:r w:rsidRPr="00D11C17">
        <w:rPr>
          <w:rFonts w:asciiTheme="minorHAnsi" w:hAnsiTheme="minorHAnsi"/>
          <w:sz w:val="20"/>
          <w:szCs w:val="20"/>
        </w:rPr>
        <w:t xml:space="preserve">. </w:t>
      </w:r>
      <w:proofErr w:type="spellStart"/>
      <w:r w:rsidRPr="00D11C17">
        <w:rPr>
          <w:rFonts w:asciiTheme="minorHAnsi" w:hAnsiTheme="minorHAnsi"/>
          <w:sz w:val="20"/>
          <w:szCs w:val="20"/>
        </w:rPr>
        <w:t>Elektrochemická</w:t>
      </w:r>
      <w:proofErr w:type="spellEnd"/>
      <w:r w:rsidRPr="00D11C17">
        <w:rPr>
          <w:rFonts w:asciiTheme="minorHAnsi" w:hAnsiTheme="minorHAnsi"/>
          <w:sz w:val="20"/>
          <w:szCs w:val="20"/>
        </w:rPr>
        <w:t xml:space="preserve"> </w:t>
      </w:r>
      <w:proofErr w:type="spellStart"/>
      <w:r w:rsidRPr="00D11C17">
        <w:rPr>
          <w:rFonts w:asciiTheme="minorHAnsi" w:hAnsiTheme="minorHAnsi"/>
          <w:sz w:val="20"/>
          <w:szCs w:val="20"/>
        </w:rPr>
        <w:t>metoda</w:t>
      </w:r>
      <w:proofErr w:type="spellEnd"/>
      <w:r w:rsidRPr="00D11C17">
        <w:rPr>
          <w:rFonts w:asciiTheme="minorHAnsi" w:hAnsiTheme="minorHAnsi"/>
          <w:sz w:val="20"/>
          <w:szCs w:val="20"/>
        </w:rPr>
        <w:t xml:space="preserve"> </w:t>
      </w:r>
      <w:proofErr w:type="spellStart"/>
      <w:r w:rsidRPr="00D11C17">
        <w:rPr>
          <w:rFonts w:asciiTheme="minorHAnsi" w:hAnsiTheme="minorHAnsi"/>
          <w:sz w:val="20"/>
          <w:szCs w:val="20"/>
        </w:rPr>
        <w:t>membránovou</w:t>
      </w:r>
      <w:proofErr w:type="spellEnd"/>
      <w:r w:rsidRPr="00D11C17">
        <w:rPr>
          <w:rFonts w:asciiTheme="minorHAnsi" w:hAnsiTheme="minorHAnsi"/>
          <w:sz w:val="20"/>
          <w:szCs w:val="20"/>
        </w:rPr>
        <w:t xml:space="preserve"> </w:t>
      </w:r>
      <w:proofErr w:type="spellStart"/>
      <w:r w:rsidRPr="00D11C17">
        <w:rPr>
          <w:rFonts w:asciiTheme="minorHAnsi" w:hAnsiTheme="minorHAnsi"/>
          <w:sz w:val="20"/>
          <w:szCs w:val="20"/>
        </w:rPr>
        <w:t>sondou</w:t>
      </w:r>
      <w:proofErr w:type="spellEnd"/>
      <w:r w:rsidRPr="00D11C17">
        <w:rPr>
          <w:rFonts w:asciiTheme="minorHAnsi" w:hAnsiTheme="minorHAnsi"/>
          <w:sz w:val="20"/>
          <w:szCs w:val="20"/>
        </w:rPr>
        <w:t>. (2013)</w:t>
      </w:r>
    </w:p>
    <w:p w:rsidR="00136867" w:rsidRPr="0041740F" w:rsidRDefault="00136867" w:rsidP="00136867">
      <w:pPr>
        <w:ind w:left="360" w:hanging="360"/>
        <w:jc w:val="both"/>
        <w:rPr>
          <w:rFonts w:asciiTheme="minorHAnsi" w:hAnsiTheme="minorHAnsi"/>
          <w:color w:val="FF0000"/>
          <w:sz w:val="20"/>
          <w:szCs w:val="20"/>
          <w:lang w:val="en-GB"/>
        </w:rPr>
      </w:pPr>
    </w:p>
    <w:sectPr w:rsidR="00136867" w:rsidRPr="0041740F" w:rsidSect="00A47931">
      <w:headerReference w:type="default" r:id="rId12"/>
      <w:pgSz w:w="11906" w:h="16838" w:code="9"/>
      <w:pgMar w:top="1417" w:right="1417" w:bottom="1417" w:left="1417" w:header="709" w:footer="2260" w:gutter="0"/>
      <w:cols w:space="454"/>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15214" w:rsidRDefault="00F15214">
      <w:r>
        <w:separator/>
      </w:r>
    </w:p>
  </w:endnote>
  <w:endnote w:type="continuationSeparator" w:id="0">
    <w:p w:rsidR="00F15214" w:rsidRDefault="00F15214">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15214" w:rsidRDefault="00F15214">
      <w:r>
        <w:separator/>
      </w:r>
    </w:p>
  </w:footnote>
  <w:footnote w:type="continuationSeparator" w:id="0">
    <w:p w:rsidR="00F15214" w:rsidRDefault="00F1521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71A54" w:rsidRPr="00E92C23" w:rsidRDefault="00383013">
    <w:pPr>
      <w:pStyle w:val="Zhlav"/>
      <w:tabs>
        <w:tab w:val="clear" w:pos="9072"/>
        <w:tab w:val="right" w:pos="9720"/>
      </w:tabs>
      <w:rPr>
        <w:rFonts w:asciiTheme="minorHAnsi" w:hAnsiTheme="minorHAnsi"/>
        <w:sz w:val="20"/>
        <w:szCs w:val="20"/>
      </w:rPr>
    </w:pPr>
    <w:proofErr w:type="spellStart"/>
    <w:r w:rsidRPr="00383013">
      <w:rPr>
        <w:rFonts w:asciiTheme="minorHAnsi" w:hAnsiTheme="minorHAnsi"/>
        <w:sz w:val="20"/>
        <w:szCs w:val="20"/>
        <w:lang w:val="cs-CZ"/>
      </w:rPr>
      <w:t>P</w:t>
    </w:r>
    <w:r w:rsidR="004E050A">
      <w:rPr>
        <w:rFonts w:asciiTheme="minorHAnsi" w:hAnsiTheme="minorHAnsi"/>
        <w:sz w:val="20"/>
        <w:szCs w:val="20"/>
        <w:lang w:val="cs-CZ"/>
      </w:rPr>
      <w:t>roceedings</w:t>
    </w:r>
    <w:proofErr w:type="spellEnd"/>
    <w:r w:rsidR="004E050A">
      <w:rPr>
        <w:rFonts w:asciiTheme="minorHAnsi" w:hAnsiTheme="minorHAnsi"/>
        <w:sz w:val="20"/>
        <w:szCs w:val="20"/>
        <w:lang w:val="cs-CZ"/>
      </w:rPr>
      <w:t xml:space="preserve"> </w:t>
    </w:r>
    <w:proofErr w:type="spellStart"/>
    <w:r w:rsidR="004E050A">
      <w:rPr>
        <w:rFonts w:asciiTheme="minorHAnsi" w:hAnsiTheme="minorHAnsi"/>
        <w:sz w:val="20"/>
        <w:szCs w:val="20"/>
        <w:lang w:val="cs-CZ"/>
      </w:rPr>
      <w:t>of</w:t>
    </w:r>
    <w:proofErr w:type="spellEnd"/>
    <w:r w:rsidR="004E050A">
      <w:rPr>
        <w:rFonts w:asciiTheme="minorHAnsi" w:hAnsiTheme="minorHAnsi"/>
        <w:sz w:val="20"/>
        <w:szCs w:val="20"/>
        <w:lang w:val="cs-CZ"/>
      </w:rPr>
      <w:t xml:space="preserve"> </w:t>
    </w:r>
    <w:proofErr w:type="spellStart"/>
    <w:r w:rsidR="004E050A">
      <w:rPr>
        <w:rFonts w:asciiTheme="minorHAnsi" w:hAnsiTheme="minorHAnsi"/>
        <w:sz w:val="20"/>
        <w:szCs w:val="20"/>
        <w:lang w:val="cs-CZ"/>
      </w:rPr>
      <w:t>the</w:t>
    </w:r>
    <w:proofErr w:type="spellEnd"/>
    <w:r w:rsidR="004E050A">
      <w:rPr>
        <w:rFonts w:asciiTheme="minorHAnsi" w:hAnsiTheme="minorHAnsi"/>
        <w:sz w:val="20"/>
        <w:szCs w:val="20"/>
        <w:lang w:val="cs-CZ"/>
      </w:rPr>
      <w:t xml:space="preserve"> 4th </w:t>
    </w:r>
    <w:proofErr w:type="spellStart"/>
    <w:r w:rsidR="004E050A">
      <w:rPr>
        <w:rFonts w:asciiTheme="minorHAnsi" w:hAnsiTheme="minorHAnsi"/>
        <w:sz w:val="20"/>
        <w:szCs w:val="20"/>
        <w:lang w:val="cs-CZ"/>
      </w:rPr>
      <w:t>I</w:t>
    </w:r>
    <w:r w:rsidRPr="00383013">
      <w:rPr>
        <w:rFonts w:asciiTheme="minorHAnsi" w:hAnsiTheme="minorHAnsi"/>
        <w:sz w:val="20"/>
        <w:szCs w:val="20"/>
        <w:lang w:val="cs-CZ"/>
      </w:rPr>
      <w:t>nternational</w:t>
    </w:r>
    <w:proofErr w:type="spellEnd"/>
    <w:r w:rsidRPr="00383013">
      <w:rPr>
        <w:rFonts w:asciiTheme="minorHAnsi" w:hAnsiTheme="minorHAnsi"/>
        <w:sz w:val="20"/>
        <w:szCs w:val="20"/>
        <w:lang w:val="cs-CZ"/>
      </w:rPr>
      <w:t xml:space="preserve"> </w:t>
    </w:r>
    <w:proofErr w:type="spellStart"/>
    <w:r w:rsidR="004E050A">
      <w:rPr>
        <w:rFonts w:asciiTheme="minorHAnsi" w:hAnsiTheme="minorHAnsi"/>
        <w:sz w:val="20"/>
        <w:szCs w:val="20"/>
        <w:lang w:val="cs-CZ"/>
      </w:rPr>
      <w:t>C</w:t>
    </w:r>
    <w:r w:rsidRPr="00383013">
      <w:rPr>
        <w:rFonts w:asciiTheme="minorHAnsi" w:hAnsiTheme="minorHAnsi"/>
        <w:sz w:val="20"/>
        <w:szCs w:val="20"/>
        <w:lang w:val="cs-CZ"/>
      </w:rPr>
      <w:t>onference</w:t>
    </w:r>
    <w:proofErr w:type="spellEnd"/>
    <w:r w:rsidRPr="00383013">
      <w:rPr>
        <w:rFonts w:asciiTheme="minorHAnsi" w:hAnsiTheme="minorHAnsi"/>
        <w:sz w:val="20"/>
        <w:szCs w:val="20"/>
        <w:lang w:val="cs-CZ"/>
      </w:rPr>
      <w:t xml:space="preserve"> on </w:t>
    </w:r>
    <w:proofErr w:type="spellStart"/>
    <w:r w:rsidR="004E050A">
      <w:rPr>
        <w:rFonts w:asciiTheme="minorHAnsi" w:hAnsiTheme="minorHAnsi"/>
        <w:sz w:val="20"/>
        <w:szCs w:val="20"/>
        <w:lang w:val="cs-CZ"/>
      </w:rPr>
      <w:t>C</w:t>
    </w:r>
    <w:r w:rsidRPr="00383013">
      <w:rPr>
        <w:rFonts w:asciiTheme="minorHAnsi" w:hAnsiTheme="minorHAnsi"/>
        <w:sz w:val="20"/>
        <w:szCs w:val="20"/>
        <w:lang w:val="cs-CZ"/>
      </w:rPr>
      <w:t>hemical</w:t>
    </w:r>
    <w:proofErr w:type="spellEnd"/>
    <w:r w:rsidRPr="00383013">
      <w:rPr>
        <w:rFonts w:asciiTheme="minorHAnsi" w:hAnsiTheme="minorHAnsi"/>
        <w:sz w:val="20"/>
        <w:szCs w:val="20"/>
        <w:lang w:val="cs-CZ"/>
      </w:rPr>
      <w:t xml:space="preserve"> </w:t>
    </w:r>
    <w:r w:rsidR="004E050A">
      <w:rPr>
        <w:rFonts w:asciiTheme="minorHAnsi" w:hAnsiTheme="minorHAnsi"/>
        <w:sz w:val="20"/>
        <w:szCs w:val="20"/>
        <w:lang w:val="cs-CZ"/>
      </w:rPr>
      <w:t>T</w:t>
    </w:r>
    <w:r w:rsidRPr="00383013">
      <w:rPr>
        <w:rFonts w:asciiTheme="minorHAnsi" w:hAnsiTheme="minorHAnsi"/>
        <w:sz w:val="20"/>
        <w:szCs w:val="20"/>
        <w:lang w:val="cs-CZ"/>
      </w:rPr>
      <w:t>echnology</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04B4F1A"/>
    <w:multiLevelType w:val="singleLevel"/>
    <w:tmpl w:val="8148110E"/>
    <w:lvl w:ilvl="0">
      <w:start w:val="1"/>
      <w:numFmt w:val="bullet"/>
      <w:pStyle w:val="Bulletedwindent"/>
      <w:lvlText w:val=""/>
      <w:lvlJc w:val="left"/>
      <w:pPr>
        <w:tabs>
          <w:tab w:val="num" w:pos="360"/>
        </w:tabs>
        <w:ind w:left="360" w:hanging="360"/>
      </w:pPr>
      <w:rPr>
        <w:rFonts w:ascii="Symbol" w:hAnsi="Symbol" w:hint="default"/>
      </w:rPr>
    </w:lvl>
  </w:abstractNum>
  <w:abstractNum w:abstractNumId="1">
    <w:nsid w:val="11535CD7"/>
    <w:multiLevelType w:val="hybridMultilevel"/>
    <w:tmpl w:val="EC7279A6"/>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
    <w:nsid w:val="70F37A21"/>
    <w:multiLevelType w:val="singleLevel"/>
    <w:tmpl w:val="EA98517C"/>
    <w:lvl w:ilvl="0">
      <w:start w:val="1"/>
      <w:numFmt w:val="bullet"/>
      <w:pStyle w:val="Bulletwoindent"/>
      <w:lvlText w:val=""/>
      <w:lvlJc w:val="left"/>
      <w:pPr>
        <w:tabs>
          <w:tab w:val="num" w:pos="360"/>
        </w:tabs>
        <w:ind w:left="360" w:hanging="360"/>
      </w:pPr>
      <w:rPr>
        <w:rFonts w:ascii="Symbol" w:hAnsi="Symbol" w:hint="default"/>
      </w:rPr>
    </w:lvl>
  </w:abstractNum>
  <w:num w:numId="1">
    <w:abstractNumId w:val="2"/>
  </w:num>
  <w:num w:numId="2">
    <w:abstractNumId w:val="0"/>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stylePaneFormatFilter w:val="5324"/>
  <w:defaultTabStop w:val="708"/>
  <w:hyphenationZone w:val="425"/>
  <w:characterSpacingControl w:val="doNotCompress"/>
  <w:hdrShapeDefaults>
    <o:shapedefaults v:ext="edit" spidmax="18433"/>
  </w:hdrShapeDefaults>
  <w:footnotePr>
    <w:footnote w:id="-1"/>
    <w:footnote w:id="0"/>
  </w:footnotePr>
  <w:endnotePr>
    <w:endnote w:id="-1"/>
    <w:endnote w:id="0"/>
  </w:endnotePr>
  <w:compat/>
  <w:rsids>
    <w:rsidRoot w:val="00AA58F3"/>
    <w:rsid w:val="00057BC8"/>
    <w:rsid w:val="0006102A"/>
    <w:rsid w:val="00064904"/>
    <w:rsid w:val="00086904"/>
    <w:rsid w:val="000873A2"/>
    <w:rsid w:val="00095B73"/>
    <w:rsid w:val="000A1154"/>
    <w:rsid w:val="000B2A07"/>
    <w:rsid w:val="000B7704"/>
    <w:rsid w:val="000C0152"/>
    <w:rsid w:val="000D5D11"/>
    <w:rsid w:val="000D6392"/>
    <w:rsid w:val="00106B42"/>
    <w:rsid w:val="00106E8F"/>
    <w:rsid w:val="0011283D"/>
    <w:rsid w:val="00131C09"/>
    <w:rsid w:val="00136867"/>
    <w:rsid w:val="001B6186"/>
    <w:rsid w:val="001D5B70"/>
    <w:rsid w:val="001D5E77"/>
    <w:rsid w:val="001F64F9"/>
    <w:rsid w:val="002218F8"/>
    <w:rsid w:val="00222BC0"/>
    <w:rsid w:val="00251027"/>
    <w:rsid w:val="0025327D"/>
    <w:rsid w:val="002775E4"/>
    <w:rsid w:val="002D2F5C"/>
    <w:rsid w:val="002E07DC"/>
    <w:rsid w:val="002E21A8"/>
    <w:rsid w:val="003237D2"/>
    <w:rsid w:val="003265B7"/>
    <w:rsid w:val="00362B24"/>
    <w:rsid w:val="00383013"/>
    <w:rsid w:val="00390CD1"/>
    <w:rsid w:val="003B4376"/>
    <w:rsid w:val="003C45EA"/>
    <w:rsid w:val="003F4A9C"/>
    <w:rsid w:val="0041740F"/>
    <w:rsid w:val="00433FE0"/>
    <w:rsid w:val="00444D4C"/>
    <w:rsid w:val="00444DFC"/>
    <w:rsid w:val="00472DA4"/>
    <w:rsid w:val="004771DF"/>
    <w:rsid w:val="00490351"/>
    <w:rsid w:val="00494DEF"/>
    <w:rsid w:val="004A0BD3"/>
    <w:rsid w:val="004D0AFB"/>
    <w:rsid w:val="004E050A"/>
    <w:rsid w:val="004E3845"/>
    <w:rsid w:val="005005E6"/>
    <w:rsid w:val="00510397"/>
    <w:rsid w:val="00512EC9"/>
    <w:rsid w:val="00545E77"/>
    <w:rsid w:val="0058483D"/>
    <w:rsid w:val="00590FE5"/>
    <w:rsid w:val="005A4E96"/>
    <w:rsid w:val="005A5ACD"/>
    <w:rsid w:val="005D69CE"/>
    <w:rsid w:val="00600AF3"/>
    <w:rsid w:val="006030A7"/>
    <w:rsid w:val="00612C85"/>
    <w:rsid w:val="006C4A30"/>
    <w:rsid w:val="006E6A26"/>
    <w:rsid w:val="007375DB"/>
    <w:rsid w:val="00770C2D"/>
    <w:rsid w:val="007B0CB6"/>
    <w:rsid w:val="007D5766"/>
    <w:rsid w:val="007E1BCF"/>
    <w:rsid w:val="007F288C"/>
    <w:rsid w:val="00806671"/>
    <w:rsid w:val="00852A6F"/>
    <w:rsid w:val="00867785"/>
    <w:rsid w:val="008B2810"/>
    <w:rsid w:val="008F1506"/>
    <w:rsid w:val="00913D72"/>
    <w:rsid w:val="00943A6F"/>
    <w:rsid w:val="00947369"/>
    <w:rsid w:val="009601C2"/>
    <w:rsid w:val="00962945"/>
    <w:rsid w:val="00981D5D"/>
    <w:rsid w:val="009C69E9"/>
    <w:rsid w:val="00A06248"/>
    <w:rsid w:val="00A47931"/>
    <w:rsid w:val="00A52D2F"/>
    <w:rsid w:val="00A83F70"/>
    <w:rsid w:val="00AA58F3"/>
    <w:rsid w:val="00AB2A2D"/>
    <w:rsid w:val="00AD4E3F"/>
    <w:rsid w:val="00AF3CA2"/>
    <w:rsid w:val="00B26D61"/>
    <w:rsid w:val="00B47466"/>
    <w:rsid w:val="00B53B6A"/>
    <w:rsid w:val="00B85034"/>
    <w:rsid w:val="00BD013E"/>
    <w:rsid w:val="00BE0BED"/>
    <w:rsid w:val="00C013EE"/>
    <w:rsid w:val="00C12763"/>
    <w:rsid w:val="00C34026"/>
    <w:rsid w:val="00C61635"/>
    <w:rsid w:val="00C67E54"/>
    <w:rsid w:val="00CA37A1"/>
    <w:rsid w:val="00CC6D47"/>
    <w:rsid w:val="00CE152C"/>
    <w:rsid w:val="00D11C17"/>
    <w:rsid w:val="00D338C0"/>
    <w:rsid w:val="00D47D4D"/>
    <w:rsid w:val="00D54E2A"/>
    <w:rsid w:val="00D57CE0"/>
    <w:rsid w:val="00D80224"/>
    <w:rsid w:val="00D91B04"/>
    <w:rsid w:val="00D91B8B"/>
    <w:rsid w:val="00DB0F0E"/>
    <w:rsid w:val="00DB1BD9"/>
    <w:rsid w:val="00DE0209"/>
    <w:rsid w:val="00DE15A4"/>
    <w:rsid w:val="00E03BE5"/>
    <w:rsid w:val="00E202EC"/>
    <w:rsid w:val="00E37911"/>
    <w:rsid w:val="00E44BEA"/>
    <w:rsid w:val="00E471D5"/>
    <w:rsid w:val="00E55E12"/>
    <w:rsid w:val="00E6777E"/>
    <w:rsid w:val="00E77202"/>
    <w:rsid w:val="00E83F60"/>
    <w:rsid w:val="00E92C23"/>
    <w:rsid w:val="00EC098B"/>
    <w:rsid w:val="00EC36BB"/>
    <w:rsid w:val="00EC4EAB"/>
    <w:rsid w:val="00EE28DE"/>
    <w:rsid w:val="00F14941"/>
    <w:rsid w:val="00F15214"/>
    <w:rsid w:val="00FB52CD"/>
    <w:rsid w:val="00FB75C5"/>
    <w:rsid w:val="00FC6993"/>
    <w:rsid w:val="00FD516D"/>
  </w:rsids>
  <m:mathPr>
    <m:mathFont m:val="Cambria Math"/>
    <m:brkBin m:val="before"/>
    <m:brkBinSub m:val="--"/>
    <m:smallFrac m:val="off"/>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Calibr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index heading"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AA58F3"/>
    <w:pPr>
      <w:spacing w:after="0" w:line="240" w:lineRule="auto"/>
    </w:pPr>
    <w:rPr>
      <w:rFonts w:ascii="Times New Roman" w:eastAsia="Times New Roman" w:hAnsi="Times New Roman" w:cs="Times New Roman"/>
      <w:sz w:val="24"/>
      <w:szCs w:val="24"/>
      <w:lang w:val="de-DE" w:eastAsia="de-DE"/>
    </w:rPr>
  </w:style>
  <w:style w:type="paragraph" w:styleId="Nadpis2">
    <w:name w:val="heading 2"/>
    <w:basedOn w:val="Normln"/>
    <w:next w:val="Normln"/>
    <w:link w:val="Nadpis2Char"/>
    <w:qFormat/>
    <w:rsid w:val="0025327D"/>
    <w:pPr>
      <w:keepNext/>
      <w:spacing w:before="120" w:after="60"/>
      <w:outlineLvl w:val="1"/>
    </w:pPr>
    <w:rPr>
      <w:b/>
      <w:sz w:val="20"/>
      <w:szCs w:val="20"/>
      <w:lang w:val="en-GB" w:eastAsia="en-US"/>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StylRadka">
    <w:name w:val="StylRadka"/>
    <w:basedOn w:val="Odstavecseseznamem"/>
    <w:qFormat/>
    <w:rsid w:val="00E77202"/>
    <w:pPr>
      <w:ind w:left="0"/>
      <w:jc w:val="both"/>
    </w:pPr>
  </w:style>
  <w:style w:type="paragraph" w:styleId="Odstavecseseznamem">
    <w:name w:val="List Paragraph"/>
    <w:basedOn w:val="Normln"/>
    <w:uiPriority w:val="34"/>
    <w:qFormat/>
    <w:rsid w:val="00A83F70"/>
    <w:pPr>
      <w:ind w:left="720" w:firstLine="369"/>
      <w:contextualSpacing/>
    </w:pPr>
    <w:rPr>
      <w:rFonts w:eastAsia="Calibri"/>
      <w:szCs w:val="22"/>
      <w:lang w:val="cs-CZ" w:eastAsia="en-US"/>
    </w:rPr>
  </w:style>
  <w:style w:type="paragraph" w:styleId="Zhlav">
    <w:name w:val="header"/>
    <w:basedOn w:val="Normln"/>
    <w:link w:val="ZhlavChar"/>
    <w:rsid w:val="00AA58F3"/>
    <w:pPr>
      <w:tabs>
        <w:tab w:val="center" w:pos="4536"/>
        <w:tab w:val="right" w:pos="9072"/>
      </w:tabs>
    </w:pPr>
  </w:style>
  <w:style w:type="character" w:customStyle="1" w:styleId="ZhlavChar">
    <w:name w:val="Záhlaví Char"/>
    <w:basedOn w:val="Standardnpsmoodstavce"/>
    <w:link w:val="Zhlav"/>
    <w:rsid w:val="00AA58F3"/>
    <w:rPr>
      <w:rFonts w:ascii="Times New Roman" w:eastAsia="Times New Roman" w:hAnsi="Times New Roman" w:cs="Times New Roman"/>
      <w:sz w:val="24"/>
      <w:szCs w:val="24"/>
      <w:lang w:val="de-DE" w:eastAsia="de-DE"/>
    </w:rPr>
  </w:style>
  <w:style w:type="paragraph" w:styleId="Zpat">
    <w:name w:val="footer"/>
    <w:basedOn w:val="Normln"/>
    <w:link w:val="ZpatChar"/>
    <w:rsid w:val="00AA58F3"/>
    <w:pPr>
      <w:tabs>
        <w:tab w:val="center" w:pos="4536"/>
        <w:tab w:val="right" w:pos="9072"/>
      </w:tabs>
    </w:pPr>
  </w:style>
  <w:style w:type="character" w:customStyle="1" w:styleId="ZpatChar">
    <w:name w:val="Zápatí Char"/>
    <w:basedOn w:val="Standardnpsmoodstavce"/>
    <w:link w:val="Zpat"/>
    <w:rsid w:val="00AA58F3"/>
    <w:rPr>
      <w:rFonts w:ascii="Times New Roman" w:eastAsia="Times New Roman" w:hAnsi="Times New Roman" w:cs="Times New Roman"/>
      <w:sz w:val="24"/>
      <w:szCs w:val="24"/>
      <w:lang w:val="de-DE" w:eastAsia="de-DE"/>
    </w:rPr>
  </w:style>
  <w:style w:type="character" w:styleId="slostrnky">
    <w:name w:val="page number"/>
    <w:basedOn w:val="Standardnpsmoodstavce"/>
    <w:rsid w:val="00AA58F3"/>
  </w:style>
  <w:style w:type="character" w:styleId="Siln">
    <w:name w:val="Strong"/>
    <w:basedOn w:val="Standardnpsmoodstavce"/>
    <w:uiPriority w:val="22"/>
    <w:qFormat/>
    <w:rsid w:val="00AA58F3"/>
    <w:rPr>
      <w:b/>
      <w:bCs/>
    </w:rPr>
  </w:style>
  <w:style w:type="paragraph" w:styleId="Obsah2">
    <w:name w:val="toc 2"/>
    <w:basedOn w:val="Normln"/>
    <w:next w:val="Normln"/>
    <w:autoRedefine/>
    <w:semiHidden/>
    <w:rsid w:val="00AA58F3"/>
    <w:pPr>
      <w:tabs>
        <w:tab w:val="left" w:pos="567"/>
      </w:tabs>
      <w:spacing w:before="40" w:after="40" w:line="288" w:lineRule="auto"/>
    </w:pPr>
    <w:rPr>
      <w:b/>
      <w:bCs/>
      <w:szCs w:val="20"/>
      <w:lang w:val="cs-CZ" w:eastAsia="cs-CZ"/>
    </w:rPr>
  </w:style>
  <w:style w:type="paragraph" w:styleId="Rejstk1">
    <w:name w:val="index 1"/>
    <w:basedOn w:val="Normln"/>
    <w:next w:val="Normln"/>
    <w:autoRedefine/>
    <w:uiPriority w:val="99"/>
    <w:semiHidden/>
    <w:unhideWhenUsed/>
    <w:rsid w:val="00AA58F3"/>
    <w:pPr>
      <w:ind w:left="240" w:hanging="240"/>
    </w:pPr>
  </w:style>
  <w:style w:type="paragraph" w:styleId="Hlavikarejstku">
    <w:name w:val="index heading"/>
    <w:basedOn w:val="Normln"/>
    <w:next w:val="Rejstk1"/>
    <w:semiHidden/>
    <w:rsid w:val="00AA58F3"/>
    <w:pPr>
      <w:spacing w:before="240" w:after="120" w:line="288" w:lineRule="auto"/>
      <w:jc w:val="center"/>
    </w:pPr>
    <w:rPr>
      <w:b/>
      <w:bCs/>
      <w:sz w:val="20"/>
      <w:szCs w:val="31"/>
      <w:lang w:val="cs-CZ" w:eastAsia="cs-CZ"/>
    </w:rPr>
  </w:style>
  <w:style w:type="paragraph" w:styleId="Textbubliny">
    <w:name w:val="Balloon Text"/>
    <w:basedOn w:val="Normln"/>
    <w:link w:val="TextbublinyChar"/>
    <w:uiPriority w:val="99"/>
    <w:semiHidden/>
    <w:unhideWhenUsed/>
    <w:rsid w:val="008B2810"/>
    <w:rPr>
      <w:rFonts w:ascii="Tahoma" w:hAnsi="Tahoma" w:cs="Tahoma"/>
      <w:sz w:val="16"/>
      <w:szCs w:val="16"/>
    </w:rPr>
  </w:style>
  <w:style w:type="character" w:customStyle="1" w:styleId="TextbublinyChar">
    <w:name w:val="Text bubliny Char"/>
    <w:basedOn w:val="Standardnpsmoodstavce"/>
    <w:link w:val="Textbubliny"/>
    <w:uiPriority w:val="99"/>
    <w:semiHidden/>
    <w:rsid w:val="008B2810"/>
    <w:rPr>
      <w:rFonts w:ascii="Tahoma" w:eastAsia="Times New Roman" w:hAnsi="Tahoma" w:cs="Tahoma"/>
      <w:sz w:val="16"/>
      <w:szCs w:val="16"/>
      <w:lang w:val="de-DE" w:eastAsia="de-DE"/>
    </w:rPr>
  </w:style>
  <w:style w:type="paragraph" w:customStyle="1" w:styleId="CHISA">
    <w:name w:val="CHISA"/>
    <w:rsid w:val="0006102A"/>
    <w:pPr>
      <w:spacing w:after="0" w:line="240" w:lineRule="auto"/>
    </w:pPr>
    <w:rPr>
      <w:rFonts w:ascii="Arial" w:eastAsia="Times New Roman" w:hAnsi="Arial" w:cs="Arial"/>
      <w:szCs w:val="20"/>
      <w:lang w:val="en-GB"/>
    </w:rPr>
  </w:style>
  <w:style w:type="character" w:customStyle="1" w:styleId="Nadpis2Char">
    <w:name w:val="Nadpis 2 Char"/>
    <w:basedOn w:val="Standardnpsmoodstavce"/>
    <w:link w:val="Nadpis2"/>
    <w:rsid w:val="0025327D"/>
    <w:rPr>
      <w:rFonts w:ascii="Times New Roman" w:eastAsia="Times New Roman" w:hAnsi="Times New Roman" w:cs="Times New Roman"/>
      <w:b/>
      <w:sz w:val="20"/>
      <w:szCs w:val="20"/>
      <w:lang w:val="en-GB"/>
    </w:rPr>
  </w:style>
  <w:style w:type="paragraph" w:customStyle="1" w:styleId="Body">
    <w:name w:val="Body"/>
    <w:rsid w:val="0025327D"/>
    <w:pPr>
      <w:spacing w:before="60" w:after="60" w:line="240" w:lineRule="auto"/>
      <w:jc w:val="both"/>
    </w:pPr>
    <w:rPr>
      <w:rFonts w:ascii="Times New Roman" w:eastAsia="Times New Roman" w:hAnsi="Times New Roman" w:cs="Times New Roman"/>
      <w:noProof/>
      <w:sz w:val="20"/>
      <w:szCs w:val="20"/>
      <w:lang w:val="en-US"/>
    </w:rPr>
  </w:style>
  <w:style w:type="paragraph" w:customStyle="1" w:styleId="Bulletwoindent">
    <w:name w:val="Bullet w/o indent"/>
    <w:basedOn w:val="Body"/>
    <w:rsid w:val="0025327D"/>
    <w:pPr>
      <w:numPr>
        <w:numId w:val="1"/>
      </w:numPr>
      <w:tabs>
        <w:tab w:val="clear" w:pos="360"/>
        <w:tab w:val="left" w:pos="340"/>
      </w:tabs>
      <w:spacing w:line="240" w:lineRule="exact"/>
      <w:ind w:left="340" w:hanging="340"/>
    </w:pPr>
  </w:style>
  <w:style w:type="paragraph" w:customStyle="1" w:styleId="Bulletedwindent">
    <w:name w:val="Bulleted w/indent"/>
    <w:basedOn w:val="Body"/>
    <w:rsid w:val="0025327D"/>
    <w:pPr>
      <w:numPr>
        <w:numId w:val="2"/>
      </w:numPr>
      <w:tabs>
        <w:tab w:val="clear" w:pos="360"/>
        <w:tab w:val="left" w:pos="340"/>
      </w:tabs>
      <w:spacing w:line="240" w:lineRule="exact"/>
      <w:ind w:left="680" w:hanging="340"/>
    </w:pPr>
  </w:style>
  <w:style w:type="character" w:customStyle="1" w:styleId="apple-converted-space">
    <w:name w:val="apple-converted-space"/>
    <w:basedOn w:val="Standardnpsmoodstavce"/>
    <w:rsid w:val="00C3402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cs-CZ" w:eastAsia="cs-CZ"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785345068">
      <w:bodyDiv w:val="1"/>
      <w:marLeft w:val="0"/>
      <w:marRight w:val="0"/>
      <w:marTop w:val="0"/>
      <w:marBottom w:val="0"/>
      <w:divBdr>
        <w:top w:val="none" w:sz="0" w:space="0" w:color="auto"/>
        <w:left w:val="none" w:sz="0" w:space="0" w:color="auto"/>
        <w:bottom w:val="none" w:sz="0" w:space="0" w:color="auto"/>
        <w:right w:val="none" w:sz="0" w:space="0" w:color="auto"/>
      </w:divBdr>
    </w:div>
    <w:div w:id="988555199">
      <w:bodyDiv w:val="1"/>
      <w:marLeft w:val="0"/>
      <w:marRight w:val="0"/>
      <w:marTop w:val="0"/>
      <w:marBottom w:val="0"/>
      <w:divBdr>
        <w:top w:val="none" w:sz="0" w:space="0" w:color="auto"/>
        <w:left w:val="none" w:sz="0" w:space="0" w:color="auto"/>
        <w:bottom w:val="none" w:sz="0" w:space="0" w:color="auto"/>
        <w:right w:val="none" w:sz="0" w:space="0" w:color="auto"/>
      </w:divBdr>
    </w:div>
    <w:div w:id="1073433985">
      <w:bodyDiv w:val="1"/>
      <w:marLeft w:val="0"/>
      <w:marRight w:val="0"/>
      <w:marTop w:val="0"/>
      <w:marBottom w:val="0"/>
      <w:divBdr>
        <w:top w:val="none" w:sz="0" w:space="0" w:color="auto"/>
        <w:left w:val="none" w:sz="0" w:space="0" w:color="auto"/>
        <w:bottom w:val="none" w:sz="0" w:space="0" w:color="auto"/>
        <w:right w:val="none" w:sz="0" w:space="0" w:color="auto"/>
      </w:divBdr>
    </w:div>
    <w:div w:id="1292591607">
      <w:bodyDiv w:val="1"/>
      <w:marLeft w:val="0"/>
      <w:marRight w:val="0"/>
      <w:marTop w:val="0"/>
      <w:marBottom w:val="0"/>
      <w:divBdr>
        <w:top w:val="none" w:sz="0" w:space="0" w:color="auto"/>
        <w:left w:val="none" w:sz="0" w:space="0" w:color="auto"/>
        <w:bottom w:val="none" w:sz="0" w:space="0" w:color="auto"/>
        <w:right w:val="none" w:sz="0" w:space="0" w:color="auto"/>
      </w:divBdr>
    </w:div>
    <w:div w:id="1632665422">
      <w:bodyDiv w:val="1"/>
      <w:marLeft w:val="0"/>
      <w:marRight w:val="0"/>
      <w:marTop w:val="0"/>
      <w:marBottom w:val="0"/>
      <w:divBdr>
        <w:top w:val="none" w:sz="0" w:space="0" w:color="auto"/>
        <w:left w:val="none" w:sz="0" w:space="0" w:color="auto"/>
        <w:bottom w:val="none" w:sz="0" w:space="0" w:color="auto"/>
        <w:right w:val="none" w:sz="0" w:space="0" w:color="auto"/>
      </w:divBdr>
    </w:div>
    <w:div w:id="1890068169">
      <w:bodyDiv w:val="1"/>
      <w:marLeft w:val="0"/>
      <w:marRight w:val="0"/>
      <w:marTop w:val="0"/>
      <w:marBottom w:val="0"/>
      <w:divBdr>
        <w:top w:val="none" w:sz="0" w:space="0" w:color="auto"/>
        <w:left w:val="none" w:sz="0" w:space="0" w:color="auto"/>
        <w:bottom w:val="none" w:sz="0" w:space="0" w:color="auto"/>
        <w:right w:val="none" w:sz="0" w:space="0" w:color="auto"/>
      </w:divBdr>
    </w:div>
    <w:div w:id="21307840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5" Type="http://schemas.openxmlformats.org/officeDocument/2006/relationships/webSettings" Target="webSettings.xml"/><Relationship Id="rId15" Type="http://schemas.microsoft.com/office/2007/relationships/stylesWithEffects" Target="stylesWithEffects.xm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file:///H:\4.%20WORKING\Poster_Mikulov.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H:\4.%20WORKING\Poster_Mikulov.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H:\4.%20WORKING\Poster_Mikulov.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H:\4.%20WORKING\Poster_Mikulov.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lang val="cs-CZ"/>
  <c:chart>
    <c:autoTitleDeleted val="1"/>
    <c:plotArea>
      <c:layout>
        <c:manualLayout>
          <c:layoutTarget val="inner"/>
          <c:xMode val="edge"/>
          <c:yMode val="edge"/>
          <c:x val="0.11343050203830914"/>
          <c:y val="4.6322662694390296E-2"/>
          <c:w val="0.85168382321004277"/>
          <c:h val="0.85284262261335075"/>
        </c:manualLayout>
      </c:layout>
      <c:scatterChart>
        <c:scatterStyle val="lineMarker"/>
        <c:ser>
          <c:idx val="0"/>
          <c:order val="0"/>
          <c:tx>
            <c:v>K1 - 0 mg/l P</c:v>
          </c:tx>
          <c:spPr>
            <a:ln w="19050">
              <a:solidFill>
                <a:sysClr val="windowText" lastClr="000000"/>
              </a:solidFill>
            </a:ln>
          </c:spPr>
          <c:marker>
            <c:symbol val="none"/>
          </c:marker>
          <c:xVal>
            <c:numRef>
              <c:f>'Hodnoty v tabulkách'!$B$3:$B$14</c:f>
              <c:numCache>
                <c:formatCode>General</c:formatCode>
                <c:ptCount val="12"/>
                <c:pt idx="0">
                  <c:v>0</c:v>
                </c:pt>
                <c:pt idx="1">
                  <c:v>5</c:v>
                </c:pt>
                <c:pt idx="2">
                  <c:v>12</c:v>
                </c:pt>
                <c:pt idx="3">
                  <c:v>19</c:v>
                </c:pt>
                <c:pt idx="4">
                  <c:v>28</c:v>
                </c:pt>
                <c:pt idx="5">
                  <c:v>34</c:v>
                </c:pt>
                <c:pt idx="6">
                  <c:v>39</c:v>
                </c:pt>
                <c:pt idx="7">
                  <c:v>43</c:v>
                </c:pt>
                <c:pt idx="8">
                  <c:v>54</c:v>
                </c:pt>
                <c:pt idx="9">
                  <c:v>61</c:v>
                </c:pt>
                <c:pt idx="10">
                  <c:v>70</c:v>
                </c:pt>
                <c:pt idx="11">
                  <c:v>80</c:v>
                </c:pt>
              </c:numCache>
            </c:numRef>
          </c:xVal>
          <c:yVal>
            <c:numRef>
              <c:f>'Hodnoty v tabulkách'!$C$3:$C$14</c:f>
              <c:numCache>
                <c:formatCode>0.000</c:formatCode>
                <c:ptCount val="12"/>
                <c:pt idx="0">
                  <c:v>91.664914718888198</c:v>
                </c:pt>
                <c:pt idx="1">
                  <c:v>88.587972204674642</c:v>
                </c:pt>
                <c:pt idx="2">
                  <c:v>84.951585596967803</c:v>
                </c:pt>
                <c:pt idx="3">
                  <c:v>83.832697409981051</c:v>
                </c:pt>
                <c:pt idx="4">
                  <c:v>82.713809222994328</c:v>
                </c:pt>
                <c:pt idx="5">
                  <c:v>82.154365129500931</c:v>
                </c:pt>
                <c:pt idx="6">
                  <c:v>79.916588755527471</c:v>
                </c:pt>
                <c:pt idx="7">
                  <c:v>73.203259633607104</c:v>
                </c:pt>
                <c:pt idx="8">
                  <c:v>46.349943145925458</c:v>
                </c:pt>
                <c:pt idx="9">
                  <c:v>24.811345546430832</c:v>
                </c:pt>
                <c:pt idx="10">
                  <c:v>8.0280227416298136</c:v>
                </c:pt>
                <c:pt idx="11">
                  <c:v>2.4335818066961483</c:v>
                </c:pt>
              </c:numCache>
            </c:numRef>
          </c:yVal>
        </c:ser>
        <c:ser>
          <c:idx val="1"/>
          <c:order val="1"/>
          <c:tx>
            <c:v>P1 - 0.5 mg/l P</c:v>
          </c:tx>
          <c:spPr>
            <a:ln w="19050">
              <a:solidFill>
                <a:prstClr val="black"/>
              </a:solidFill>
              <a:prstDash val="lgDash"/>
            </a:ln>
          </c:spPr>
          <c:marker>
            <c:symbol val="none"/>
          </c:marker>
          <c:xVal>
            <c:numRef>
              <c:f>'Hodnoty v tabulkách'!$B$17:$B$28</c:f>
              <c:numCache>
                <c:formatCode>General</c:formatCode>
                <c:ptCount val="12"/>
                <c:pt idx="0">
                  <c:v>0</c:v>
                </c:pt>
                <c:pt idx="1">
                  <c:v>5</c:v>
                </c:pt>
                <c:pt idx="2">
                  <c:v>12</c:v>
                </c:pt>
                <c:pt idx="3">
                  <c:v>19</c:v>
                </c:pt>
                <c:pt idx="4">
                  <c:v>28</c:v>
                </c:pt>
                <c:pt idx="5">
                  <c:v>34</c:v>
                </c:pt>
                <c:pt idx="6">
                  <c:v>39</c:v>
                </c:pt>
                <c:pt idx="7">
                  <c:v>43</c:v>
                </c:pt>
                <c:pt idx="8">
                  <c:v>54</c:v>
                </c:pt>
                <c:pt idx="9">
                  <c:v>61</c:v>
                </c:pt>
                <c:pt idx="10">
                  <c:v>70</c:v>
                </c:pt>
                <c:pt idx="11">
                  <c:v>80</c:v>
                </c:pt>
              </c:numCache>
            </c:numRef>
          </c:xVal>
          <c:yVal>
            <c:numRef>
              <c:f>'Hodnoty v tabulkách'!$C$17:$C$28</c:f>
              <c:numCache>
                <c:formatCode>0.000</c:formatCode>
                <c:ptCount val="12"/>
                <c:pt idx="0">
                  <c:v>93.902691092861616</c:v>
                </c:pt>
                <c:pt idx="1">
                  <c:v>92.783802905874893</c:v>
                </c:pt>
                <c:pt idx="2">
                  <c:v>91.385192672141471</c:v>
                </c:pt>
                <c:pt idx="3">
                  <c:v>91.664914718888198</c:v>
                </c:pt>
                <c:pt idx="4">
                  <c:v>89.70686039166138</c:v>
                </c:pt>
                <c:pt idx="5">
                  <c:v>79.916588755527471</c:v>
                </c:pt>
                <c:pt idx="6">
                  <c:v>79.357144662034116</c:v>
                </c:pt>
                <c:pt idx="7">
                  <c:v>77.119368288060642</c:v>
                </c:pt>
                <c:pt idx="8">
                  <c:v>68.72770688566014</c:v>
                </c:pt>
                <c:pt idx="9">
                  <c:v>42.433834491471892</c:v>
                </c:pt>
                <c:pt idx="10">
                  <c:v>18.098016424510426</c:v>
                </c:pt>
                <c:pt idx="11">
                  <c:v>10.545521162349969</c:v>
                </c:pt>
              </c:numCache>
            </c:numRef>
          </c:yVal>
        </c:ser>
        <c:ser>
          <c:idx val="2"/>
          <c:order val="2"/>
          <c:tx>
            <c:v>P2 - 1.0 mg/l P</c:v>
          </c:tx>
          <c:spPr>
            <a:ln w="19050">
              <a:solidFill>
                <a:sysClr val="windowText" lastClr="000000"/>
              </a:solidFill>
              <a:prstDash val="dash"/>
            </a:ln>
          </c:spPr>
          <c:marker>
            <c:symbol val="none"/>
          </c:marker>
          <c:xVal>
            <c:numRef>
              <c:f>'Hodnoty v tabulkách'!$B$31:$B$42</c:f>
              <c:numCache>
                <c:formatCode>General</c:formatCode>
                <c:ptCount val="12"/>
                <c:pt idx="0">
                  <c:v>0</c:v>
                </c:pt>
                <c:pt idx="1">
                  <c:v>5</c:v>
                </c:pt>
                <c:pt idx="2">
                  <c:v>12</c:v>
                </c:pt>
                <c:pt idx="3">
                  <c:v>19</c:v>
                </c:pt>
                <c:pt idx="4">
                  <c:v>28</c:v>
                </c:pt>
                <c:pt idx="5">
                  <c:v>34</c:v>
                </c:pt>
                <c:pt idx="6">
                  <c:v>39</c:v>
                </c:pt>
                <c:pt idx="7">
                  <c:v>43</c:v>
                </c:pt>
                <c:pt idx="8">
                  <c:v>54</c:v>
                </c:pt>
                <c:pt idx="9">
                  <c:v>61</c:v>
                </c:pt>
                <c:pt idx="10">
                  <c:v>70</c:v>
                </c:pt>
                <c:pt idx="11">
                  <c:v>80</c:v>
                </c:pt>
              </c:numCache>
            </c:numRef>
          </c:xVal>
          <c:yVal>
            <c:numRef>
              <c:f>'Hodnoty v tabulkách'!$C$31:$C$42</c:f>
              <c:numCache>
                <c:formatCode>0.000</c:formatCode>
                <c:ptCount val="12"/>
                <c:pt idx="0">
                  <c:v>99.776854074542015</c:v>
                </c:pt>
                <c:pt idx="1">
                  <c:v>98.937687934301962</c:v>
                </c:pt>
                <c:pt idx="2">
                  <c:v>97.818799747315225</c:v>
                </c:pt>
                <c:pt idx="3">
                  <c:v>94.182413139608315</c:v>
                </c:pt>
                <c:pt idx="4">
                  <c:v>60.615767530006302</c:v>
                </c:pt>
                <c:pt idx="5">
                  <c:v>51.944384080859116</c:v>
                </c:pt>
                <c:pt idx="6">
                  <c:v>46.349943145925458</c:v>
                </c:pt>
                <c:pt idx="7">
                  <c:v>35.440783322804812</c:v>
                </c:pt>
                <c:pt idx="8">
                  <c:v>14.461629816803539</c:v>
                </c:pt>
                <c:pt idx="9">
                  <c:v>5.5105243209096644</c:v>
                </c:pt>
                <c:pt idx="10">
                  <c:v>2.4335818066961483</c:v>
                </c:pt>
                <c:pt idx="11">
                  <c:v>0</c:v>
                </c:pt>
              </c:numCache>
            </c:numRef>
          </c:yVal>
        </c:ser>
        <c:ser>
          <c:idx val="3"/>
          <c:order val="3"/>
          <c:tx>
            <c:v>P3 - 1.5 mg/l P</c:v>
          </c:tx>
          <c:spPr>
            <a:ln w="19050">
              <a:solidFill>
                <a:sysClr val="windowText" lastClr="000000"/>
              </a:solidFill>
              <a:prstDash val="sysDash"/>
            </a:ln>
          </c:spPr>
          <c:marker>
            <c:symbol val="none"/>
          </c:marker>
          <c:xVal>
            <c:numRef>
              <c:f>'Hodnoty v tabulkách'!$B$45:$B$56</c:f>
              <c:numCache>
                <c:formatCode>General</c:formatCode>
                <c:ptCount val="12"/>
                <c:pt idx="0">
                  <c:v>0</c:v>
                </c:pt>
                <c:pt idx="1">
                  <c:v>5</c:v>
                </c:pt>
                <c:pt idx="2">
                  <c:v>12</c:v>
                </c:pt>
                <c:pt idx="3">
                  <c:v>19</c:v>
                </c:pt>
                <c:pt idx="4">
                  <c:v>28</c:v>
                </c:pt>
                <c:pt idx="5">
                  <c:v>34</c:v>
                </c:pt>
                <c:pt idx="6">
                  <c:v>39</c:v>
                </c:pt>
                <c:pt idx="7">
                  <c:v>43</c:v>
                </c:pt>
                <c:pt idx="8">
                  <c:v>54</c:v>
                </c:pt>
                <c:pt idx="9">
                  <c:v>61</c:v>
                </c:pt>
                <c:pt idx="10">
                  <c:v>70</c:v>
                </c:pt>
                <c:pt idx="11">
                  <c:v>80</c:v>
                </c:pt>
              </c:numCache>
            </c:numRef>
          </c:xVal>
          <c:yVal>
            <c:numRef>
              <c:f>'Hodnoty v tabulkách'!$C$45:$C$56</c:f>
              <c:numCache>
                <c:formatCode>0.000</c:formatCode>
                <c:ptCount val="12"/>
                <c:pt idx="0">
                  <c:v>92.783802905874893</c:v>
                </c:pt>
                <c:pt idx="1">
                  <c:v>89.70686039166138</c:v>
                </c:pt>
                <c:pt idx="2">
                  <c:v>87.469084017687948</c:v>
                </c:pt>
                <c:pt idx="3">
                  <c:v>87.748806064434618</c:v>
                </c:pt>
                <c:pt idx="4">
                  <c:v>83.273253316487654</c:v>
                </c:pt>
                <c:pt idx="5">
                  <c:v>80.196310802274141</c:v>
                </c:pt>
                <c:pt idx="6">
                  <c:v>62.853543903979798</c:v>
                </c:pt>
                <c:pt idx="7">
                  <c:v>42.993278584965253</c:v>
                </c:pt>
                <c:pt idx="8">
                  <c:v>19.776348704990525</c:v>
                </c:pt>
                <c:pt idx="9">
                  <c:v>8.0280227416298136</c:v>
                </c:pt>
                <c:pt idx="10">
                  <c:v>2.7133038534428318</c:v>
                </c:pt>
                <c:pt idx="11">
                  <c:v>0</c:v>
                </c:pt>
              </c:numCache>
            </c:numRef>
          </c:yVal>
        </c:ser>
        <c:ser>
          <c:idx val="4"/>
          <c:order val="4"/>
          <c:tx>
            <c:v>P4 - 2.0 mg/l P</c:v>
          </c:tx>
          <c:spPr>
            <a:ln w="19050">
              <a:solidFill>
                <a:sysClr val="windowText" lastClr="000000"/>
              </a:solidFill>
              <a:prstDash val="sysDot"/>
            </a:ln>
          </c:spPr>
          <c:marker>
            <c:symbol val="none"/>
          </c:marker>
          <c:xVal>
            <c:numRef>
              <c:f>'Hodnoty v tabulkách'!$B$59:$B$70</c:f>
              <c:numCache>
                <c:formatCode>General</c:formatCode>
                <c:ptCount val="12"/>
                <c:pt idx="0">
                  <c:v>0</c:v>
                </c:pt>
                <c:pt idx="1">
                  <c:v>5</c:v>
                </c:pt>
                <c:pt idx="2">
                  <c:v>12</c:v>
                </c:pt>
                <c:pt idx="3">
                  <c:v>19</c:v>
                </c:pt>
                <c:pt idx="4">
                  <c:v>28</c:v>
                </c:pt>
                <c:pt idx="5">
                  <c:v>34</c:v>
                </c:pt>
                <c:pt idx="6">
                  <c:v>39</c:v>
                </c:pt>
                <c:pt idx="7">
                  <c:v>43</c:v>
                </c:pt>
                <c:pt idx="8">
                  <c:v>54</c:v>
                </c:pt>
                <c:pt idx="9">
                  <c:v>61</c:v>
                </c:pt>
                <c:pt idx="10">
                  <c:v>70</c:v>
                </c:pt>
                <c:pt idx="11">
                  <c:v>80</c:v>
                </c:pt>
              </c:numCache>
            </c:numRef>
          </c:xVal>
          <c:yVal>
            <c:numRef>
              <c:f>'Hodnoty v tabulkách'!$C$59:$C$70</c:f>
              <c:numCache>
                <c:formatCode>0.000</c:formatCode>
                <c:ptCount val="12"/>
                <c:pt idx="0">
                  <c:v>97.259355653821842</c:v>
                </c:pt>
                <c:pt idx="1">
                  <c:v>92.504080859128209</c:v>
                </c:pt>
                <c:pt idx="2">
                  <c:v>82.993531269741027</c:v>
                </c:pt>
                <c:pt idx="3">
                  <c:v>82.993531269741027</c:v>
                </c:pt>
                <c:pt idx="4">
                  <c:v>81.874643082754247</c:v>
                </c:pt>
                <c:pt idx="5">
                  <c:v>64.531876184459847</c:v>
                </c:pt>
                <c:pt idx="6">
                  <c:v>45.790499052432097</c:v>
                </c:pt>
                <c:pt idx="7">
                  <c:v>32.923284902084646</c:v>
                </c:pt>
                <c:pt idx="8">
                  <c:v>13.3427416298168</c:v>
                </c:pt>
                <c:pt idx="9">
                  <c:v>4.6713581806696185</c:v>
                </c:pt>
                <c:pt idx="10">
                  <c:v>1.3146936197094128</c:v>
                </c:pt>
                <c:pt idx="11">
                  <c:v>0</c:v>
                </c:pt>
              </c:numCache>
            </c:numRef>
          </c:yVal>
        </c:ser>
        <c:ser>
          <c:idx val="5"/>
          <c:order val="5"/>
          <c:tx>
            <c:v>P5 - 3.0 mg/l P</c:v>
          </c:tx>
          <c:spPr>
            <a:ln w="19050" cmpd="sng">
              <a:solidFill>
                <a:sysClr val="windowText" lastClr="000000"/>
              </a:solidFill>
              <a:prstDash val="lgDashDot"/>
            </a:ln>
          </c:spPr>
          <c:marker>
            <c:symbol val="none"/>
          </c:marker>
          <c:xVal>
            <c:numRef>
              <c:f>'Hodnoty v tabulkách'!$B$73:$B$84</c:f>
              <c:numCache>
                <c:formatCode>General</c:formatCode>
                <c:ptCount val="12"/>
                <c:pt idx="0">
                  <c:v>0</c:v>
                </c:pt>
                <c:pt idx="1">
                  <c:v>5</c:v>
                </c:pt>
                <c:pt idx="2">
                  <c:v>12</c:v>
                </c:pt>
                <c:pt idx="3">
                  <c:v>19</c:v>
                </c:pt>
                <c:pt idx="4">
                  <c:v>28</c:v>
                </c:pt>
                <c:pt idx="5">
                  <c:v>34</c:v>
                </c:pt>
                <c:pt idx="6">
                  <c:v>39</c:v>
                </c:pt>
                <c:pt idx="7">
                  <c:v>43</c:v>
                </c:pt>
                <c:pt idx="8">
                  <c:v>54</c:v>
                </c:pt>
                <c:pt idx="9">
                  <c:v>61</c:v>
                </c:pt>
                <c:pt idx="10">
                  <c:v>70</c:v>
                </c:pt>
                <c:pt idx="11">
                  <c:v>80</c:v>
                </c:pt>
              </c:numCache>
            </c:numRef>
          </c:xVal>
          <c:yVal>
            <c:numRef>
              <c:f>'Hodnoty v tabulkách'!$C$73:$C$84</c:f>
              <c:numCache>
                <c:formatCode>0.000</c:formatCode>
                <c:ptCount val="12"/>
                <c:pt idx="0">
                  <c:v>95.301301326595024</c:v>
                </c:pt>
                <c:pt idx="1">
                  <c:v>90.825748578648074</c:v>
                </c:pt>
                <c:pt idx="2">
                  <c:v>85.790751737207842</c:v>
                </c:pt>
                <c:pt idx="3">
                  <c:v>85.790751737207842</c:v>
                </c:pt>
                <c:pt idx="4">
                  <c:v>85.231307643714473</c:v>
                </c:pt>
                <c:pt idx="5">
                  <c:v>84.11241945672775</c:v>
                </c:pt>
                <c:pt idx="6">
                  <c:v>82.154365129500931</c:v>
                </c:pt>
                <c:pt idx="7">
                  <c:v>70.965483259633615</c:v>
                </c:pt>
                <c:pt idx="8">
                  <c:v>58.377991156032842</c:v>
                </c:pt>
                <c:pt idx="9">
                  <c:v>25.091067593177513</c:v>
                </c:pt>
                <c:pt idx="10">
                  <c:v>8.5874668351231875</c:v>
                </c:pt>
                <c:pt idx="11">
                  <c:v>4.1119140871762445</c:v>
                </c:pt>
              </c:numCache>
            </c:numRef>
          </c:yVal>
        </c:ser>
        <c:dLbls/>
        <c:axId val="76410240"/>
        <c:axId val="44004864"/>
      </c:scatterChart>
      <c:valAx>
        <c:axId val="76410240"/>
        <c:scaling>
          <c:orientation val="minMax"/>
          <c:max val="80"/>
          <c:min val="0"/>
        </c:scaling>
        <c:axPos val="b"/>
        <c:title>
          <c:tx>
            <c:rich>
              <a:bodyPr/>
              <a:lstStyle/>
              <a:p>
                <a:pPr>
                  <a:defRPr/>
                </a:pPr>
                <a:r>
                  <a:rPr lang="cs-CZ" sz="1000" b="0">
                    <a:latin typeface="+mn-lt"/>
                  </a:rPr>
                  <a:t>t,</a:t>
                </a:r>
                <a:r>
                  <a:rPr lang="cs-CZ" sz="1000" b="0" baseline="0">
                    <a:latin typeface="+mn-lt"/>
                  </a:rPr>
                  <a:t> </a:t>
                </a:r>
                <a:r>
                  <a:rPr lang="cs-CZ" sz="1000" b="0">
                    <a:latin typeface="+mn-lt"/>
                  </a:rPr>
                  <a:t>days</a:t>
                </a:r>
              </a:p>
            </c:rich>
          </c:tx>
          <c:layout/>
        </c:title>
        <c:numFmt formatCode="General" sourceLinked="1"/>
        <c:majorTickMark val="none"/>
        <c:tickLblPos val="nextTo"/>
        <c:txPr>
          <a:bodyPr/>
          <a:lstStyle/>
          <a:p>
            <a:pPr>
              <a:defRPr sz="1000" b="0" i="0" baseline="0">
                <a:latin typeface="Calibri" pitchFamily="34" charset="0"/>
              </a:defRPr>
            </a:pPr>
            <a:endParaRPr lang="cs-CZ"/>
          </a:p>
        </c:txPr>
        <c:crossAx val="44004864"/>
        <c:crosses val="autoZero"/>
        <c:crossBetween val="midCat"/>
        <c:majorUnit val="10"/>
      </c:valAx>
      <c:valAx>
        <c:axId val="44004864"/>
        <c:scaling>
          <c:orientation val="minMax"/>
          <c:max val="120"/>
          <c:min val="0"/>
        </c:scaling>
        <c:axPos val="l"/>
        <c:title>
          <c:tx>
            <c:rich>
              <a:bodyPr/>
              <a:lstStyle/>
              <a:p>
                <a:pPr>
                  <a:defRPr/>
                </a:pPr>
                <a:r>
                  <a:rPr lang="cs-CZ" sz="1000" b="0">
                    <a:latin typeface="+mn-lt"/>
                  </a:rPr>
                  <a:t>c NO</a:t>
                </a:r>
                <a:r>
                  <a:rPr lang="cs-CZ" sz="1000" b="0" baseline="-25000">
                    <a:latin typeface="+mn-lt"/>
                  </a:rPr>
                  <a:t>3</a:t>
                </a:r>
                <a:r>
                  <a:rPr lang="cs-CZ" sz="1000" b="0" baseline="30000">
                    <a:latin typeface="+mn-lt"/>
                  </a:rPr>
                  <a:t>-</a:t>
                </a:r>
                <a:r>
                  <a:rPr lang="cs-CZ" sz="1000" b="0" baseline="0">
                    <a:latin typeface="+mn-lt"/>
                  </a:rPr>
                  <a:t>,</a:t>
                </a:r>
                <a:r>
                  <a:rPr lang="cs-CZ" sz="1000" b="0">
                    <a:latin typeface="+mn-lt"/>
                  </a:rPr>
                  <a:t>mg/l</a:t>
                </a:r>
              </a:p>
            </c:rich>
          </c:tx>
          <c:layout/>
        </c:title>
        <c:numFmt formatCode="0" sourceLinked="0"/>
        <c:majorTickMark val="none"/>
        <c:tickLblPos val="nextTo"/>
        <c:txPr>
          <a:bodyPr/>
          <a:lstStyle/>
          <a:p>
            <a:pPr>
              <a:defRPr sz="1000" b="0" i="0" baseline="0">
                <a:latin typeface="Calibri" pitchFamily="34" charset="0"/>
              </a:defRPr>
            </a:pPr>
            <a:endParaRPr lang="cs-CZ"/>
          </a:p>
        </c:txPr>
        <c:crossAx val="76410240"/>
        <c:crosses val="autoZero"/>
        <c:crossBetween val="midCat"/>
        <c:majorUnit val="20"/>
      </c:valAx>
      <c:spPr>
        <a:ln w="19050">
          <a:solidFill>
            <a:sysClr val="windowText" lastClr="000000"/>
          </a:solidFill>
        </a:ln>
      </c:spPr>
    </c:plotArea>
    <c:legend>
      <c:legendPos val="r"/>
      <c:layout>
        <c:manualLayout>
          <c:xMode val="edge"/>
          <c:yMode val="edge"/>
          <c:x val="0.63954108573307833"/>
          <c:y val="5.6639390664402253E-2"/>
          <c:w val="0.31376606293007753"/>
          <c:h val="0.21978565179352591"/>
        </c:manualLayout>
      </c:layout>
      <c:txPr>
        <a:bodyPr/>
        <a:lstStyle/>
        <a:p>
          <a:pPr>
            <a:defRPr sz="1000" baseline="0">
              <a:latin typeface="Calibri" pitchFamily="34" charset="0"/>
            </a:defRPr>
          </a:pPr>
          <a:endParaRPr lang="cs-CZ"/>
        </a:p>
      </c:txPr>
    </c:legend>
    <c:plotVisOnly val="1"/>
    <c:dispBlanksAs val="gap"/>
  </c:chart>
  <c:spPr>
    <a:solidFill>
      <a:sysClr val="window" lastClr="FFFFFF"/>
    </a:solidFill>
    <a:ln w="25400" cap="sq">
      <a:noFill/>
      <a:miter lim="800000"/>
    </a:ln>
  </c:spPr>
  <c:txPr>
    <a:bodyPr/>
    <a:lstStyle/>
    <a:p>
      <a:pPr>
        <a:defRPr sz="2400" baseline="0">
          <a:latin typeface="Times New Roman" pitchFamily="18" charset="0"/>
        </a:defRPr>
      </a:pPr>
      <a:endParaRPr lang="cs-CZ"/>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lang val="cs-CZ"/>
  <c:chart>
    <c:autoTitleDeleted val="1"/>
    <c:plotArea>
      <c:layout>
        <c:manualLayout>
          <c:layoutTarget val="inner"/>
          <c:xMode val="edge"/>
          <c:yMode val="edge"/>
          <c:x val="0.12509042534066803"/>
          <c:y val="2.9413703094949482E-2"/>
          <c:w val="0.84121861479643811"/>
          <c:h val="0.8666646181422446"/>
        </c:manualLayout>
      </c:layout>
      <c:scatterChart>
        <c:scatterStyle val="lineMarker"/>
        <c:ser>
          <c:idx val="0"/>
          <c:order val="0"/>
          <c:tx>
            <c:v>K1 - 0 mg/l P</c:v>
          </c:tx>
          <c:spPr>
            <a:ln w="19050">
              <a:solidFill>
                <a:schemeClr val="tx1"/>
              </a:solidFill>
            </a:ln>
          </c:spPr>
          <c:marker>
            <c:symbol val="none"/>
          </c:marker>
          <c:xVal>
            <c:numRef>
              <c:f>'Hodnoty v tabulkách'!$B$3:$B$14</c:f>
              <c:numCache>
                <c:formatCode>General</c:formatCode>
                <c:ptCount val="12"/>
                <c:pt idx="0">
                  <c:v>0</c:v>
                </c:pt>
                <c:pt idx="1">
                  <c:v>5</c:v>
                </c:pt>
                <c:pt idx="2">
                  <c:v>12</c:v>
                </c:pt>
                <c:pt idx="3">
                  <c:v>19</c:v>
                </c:pt>
                <c:pt idx="4">
                  <c:v>28</c:v>
                </c:pt>
                <c:pt idx="5">
                  <c:v>34</c:v>
                </c:pt>
                <c:pt idx="6">
                  <c:v>39</c:v>
                </c:pt>
                <c:pt idx="7">
                  <c:v>43</c:v>
                </c:pt>
                <c:pt idx="8">
                  <c:v>54</c:v>
                </c:pt>
                <c:pt idx="9">
                  <c:v>61</c:v>
                </c:pt>
                <c:pt idx="10">
                  <c:v>70</c:v>
                </c:pt>
                <c:pt idx="11">
                  <c:v>80</c:v>
                </c:pt>
              </c:numCache>
            </c:numRef>
          </c:xVal>
          <c:yVal>
            <c:numRef>
              <c:f>'Hodnoty v tabulkách'!$D$3:$D$14</c:f>
              <c:numCache>
                <c:formatCode>0.000</c:formatCode>
                <c:ptCount val="12"/>
                <c:pt idx="0">
                  <c:v>0</c:v>
                </c:pt>
                <c:pt idx="1">
                  <c:v>0</c:v>
                </c:pt>
                <c:pt idx="2">
                  <c:v>0</c:v>
                </c:pt>
                <c:pt idx="3">
                  <c:v>0</c:v>
                </c:pt>
                <c:pt idx="4">
                  <c:v>7.4669132481506403E-2</c:v>
                </c:pt>
                <c:pt idx="5">
                  <c:v>0.4263651647612644</c:v>
                </c:pt>
                <c:pt idx="6">
                  <c:v>0.43520174848688636</c:v>
                </c:pt>
                <c:pt idx="7">
                  <c:v>0.3645090786819099</c:v>
                </c:pt>
                <c:pt idx="8">
                  <c:v>0.30265299260255563</c:v>
                </c:pt>
                <c:pt idx="9">
                  <c:v>0.16568594485541366</c:v>
                </c:pt>
                <c:pt idx="10">
                  <c:v>6.8483523873570956E-2</c:v>
                </c:pt>
                <c:pt idx="11">
                  <c:v>2.4300605245460651E-2</c:v>
                </c:pt>
              </c:numCache>
            </c:numRef>
          </c:yVal>
        </c:ser>
        <c:ser>
          <c:idx val="1"/>
          <c:order val="1"/>
          <c:tx>
            <c:v>P1 - 0.5 mg/l P</c:v>
          </c:tx>
          <c:spPr>
            <a:ln w="19050">
              <a:solidFill>
                <a:prstClr val="black"/>
              </a:solidFill>
              <a:prstDash val="lgDash"/>
            </a:ln>
          </c:spPr>
          <c:marker>
            <c:symbol val="none"/>
          </c:marker>
          <c:xVal>
            <c:numRef>
              <c:f>'Hodnoty v tabulkách'!$B$17:$B$28</c:f>
              <c:numCache>
                <c:formatCode>General</c:formatCode>
                <c:ptCount val="12"/>
                <c:pt idx="0">
                  <c:v>0</c:v>
                </c:pt>
                <c:pt idx="1">
                  <c:v>5</c:v>
                </c:pt>
                <c:pt idx="2">
                  <c:v>12</c:v>
                </c:pt>
                <c:pt idx="3">
                  <c:v>19</c:v>
                </c:pt>
                <c:pt idx="4">
                  <c:v>28</c:v>
                </c:pt>
                <c:pt idx="5">
                  <c:v>34</c:v>
                </c:pt>
                <c:pt idx="6">
                  <c:v>39</c:v>
                </c:pt>
                <c:pt idx="7">
                  <c:v>43</c:v>
                </c:pt>
                <c:pt idx="8">
                  <c:v>54</c:v>
                </c:pt>
                <c:pt idx="9">
                  <c:v>61</c:v>
                </c:pt>
                <c:pt idx="10">
                  <c:v>70</c:v>
                </c:pt>
                <c:pt idx="11">
                  <c:v>80</c:v>
                </c:pt>
              </c:numCache>
            </c:numRef>
          </c:xVal>
          <c:yVal>
            <c:numRef>
              <c:f>'Hodnoty v tabulkách'!$D$17:$D$28</c:f>
              <c:numCache>
                <c:formatCode>0.000</c:formatCode>
                <c:ptCount val="12"/>
                <c:pt idx="0">
                  <c:v>0</c:v>
                </c:pt>
                <c:pt idx="1">
                  <c:v>0</c:v>
                </c:pt>
                <c:pt idx="2">
                  <c:v>0</c:v>
                </c:pt>
                <c:pt idx="3">
                  <c:v>0</c:v>
                </c:pt>
                <c:pt idx="4">
                  <c:v>0</c:v>
                </c:pt>
                <c:pt idx="5">
                  <c:v>7.2901815736381978E-2</c:v>
                </c:pt>
                <c:pt idx="6">
                  <c:v>0.17894082044384668</c:v>
                </c:pt>
                <c:pt idx="7">
                  <c:v>0.23637861466039015</c:v>
                </c:pt>
                <c:pt idx="8">
                  <c:v>0.33799932750504386</c:v>
                </c:pt>
                <c:pt idx="9">
                  <c:v>0.24079690652320121</c:v>
                </c:pt>
                <c:pt idx="10">
                  <c:v>0.17452252858103567</c:v>
                </c:pt>
                <c:pt idx="11">
                  <c:v>0.14359448554135851</c:v>
                </c:pt>
              </c:numCache>
            </c:numRef>
          </c:yVal>
        </c:ser>
        <c:ser>
          <c:idx val="2"/>
          <c:order val="2"/>
          <c:tx>
            <c:v>P2 - 1.0 mg/l P</c:v>
          </c:tx>
          <c:spPr>
            <a:ln w="19050">
              <a:solidFill>
                <a:sysClr val="windowText" lastClr="000000"/>
              </a:solidFill>
              <a:prstDash val="dash"/>
            </a:ln>
          </c:spPr>
          <c:marker>
            <c:symbol val="none"/>
          </c:marker>
          <c:xVal>
            <c:numRef>
              <c:f>'Hodnoty v tabulkách'!$B$31:$B$42</c:f>
              <c:numCache>
                <c:formatCode>General</c:formatCode>
                <c:ptCount val="12"/>
                <c:pt idx="0">
                  <c:v>0</c:v>
                </c:pt>
                <c:pt idx="1">
                  <c:v>5</c:v>
                </c:pt>
                <c:pt idx="2">
                  <c:v>12</c:v>
                </c:pt>
                <c:pt idx="3">
                  <c:v>19</c:v>
                </c:pt>
                <c:pt idx="4">
                  <c:v>28</c:v>
                </c:pt>
                <c:pt idx="5">
                  <c:v>34</c:v>
                </c:pt>
                <c:pt idx="6">
                  <c:v>39</c:v>
                </c:pt>
                <c:pt idx="7">
                  <c:v>43</c:v>
                </c:pt>
                <c:pt idx="8">
                  <c:v>54</c:v>
                </c:pt>
                <c:pt idx="9">
                  <c:v>61</c:v>
                </c:pt>
                <c:pt idx="10">
                  <c:v>70</c:v>
                </c:pt>
                <c:pt idx="11">
                  <c:v>80</c:v>
                </c:pt>
              </c:numCache>
            </c:numRef>
          </c:xVal>
          <c:yVal>
            <c:numRef>
              <c:f>'Hodnoty v tabulkách'!$D$31:$D$42</c:f>
              <c:numCache>
                <c:formatCode>0.000</c:formatCode>
                <c:ptCount val="12"/>
                <c:pt idx="0">
                  <c:v>0</c:v>
                </c:pt>
                <c:pt idx="1">
                  <c:v>0</c:v>
                </c:pt>
                <c:pt idx="2">
                  <c:v>0</c:v>
                </c:pt>
                <c:pt idx="3">
                  <c:v>2.2091459314055139E-3</c:v>
                </c:pt>
                <c:pt idx="4">
                  <c:v>6.2297915265635523E-2</c:v>
                </c:pt>
                <c:pt idx="5">
                  <c:v>0.13475790181573641</c:v>
                </c:pt>
                <c:pt idx="6">
                  <c:v>0.12592131809011434</c:v>
                </c:pt>
                <c:pt idx="7">
                  <c:v>9.0574983187626121E-2</c:v>
                </c:pt>
                <c:pt idx="8">
                  <c:v>7.2901815736381978E-2</c:v>
                </c:pt>
                <c:pt idx="9">
                  <c:v>4.6392064559515819E-2</c:v>
                </c:pt>
                <c:pt idx="10">
                  <c:v>4.1973772696704763E-2</c:v>
                </c:pt>
                <c:pt idx="11">
                  <c:v>2.2091459314055092E-3</c:v>
                </c:pt>
              </c:numCache>
            </c:numRef>
          </c:yVal>
        </c:ser>
        <c:ser>
          <c:idx val="3"/>
          <c:order val="3"/>
          <c:tx>
            <c:v>P3 - 1.5 mg/l P</c:v>
          </c:tx>
          <c:spPr>
            <a:ln w="19050">
              <a:solidFill>
                <a:sysClr val="windowText" lastClr="000000"/>
              </a:solidFill>
              <a:prstDash val="sysDash"/>
            </a:ln>
          </c:spPr>
          <c:marker>
            <c:symbol val="none"/>
          </c:marker>
          <c:xVal>
            <c:numRef>
              <c:f>'Hodnoty v tabulkách'!$B$45:$B$56</c:f>
              <c:numCache>
                <c:formatCode>General</c:formatCode>
                <c:ptCount val="12"/>
                <c:pt idx="0">
                  <c:v>0</c:v>
                </c:pt>
                <c:pt idx="1">
                  <c:v>5</c:v>
                </c:pt>
                <c:pt idx="2">
                  <c:v>12</c:v>
                </c:pt>
                <c:pt idx="3">
                  <c:v>19</c:v>
                </c:pt>
                <c:pt idx="4">
                  <c:v>28</c:v>
                </c:pt>
                <c:pt idx="5">
                  <c:v>34</c:v>
                </c:pt>
                <c:pt idx="6">
                  <c:v>39</c:v>
                </c:pt>
                <c:pt idx="7">
                  <c:v>43</c:v>
                </c:pt>
                <c:pt idx="8">
                  <c:v>54</c:v>
                </c:pt>
                <c:pt idx="9">
                  <c:v>61</c:v>
                </c:pt>
                <c:pt idx="10">
                  <c:v>70</c:v>
                </c:pt>
                <c:pt idx="11">
                  <c:v>80</c:v>
                </c:pt>
              </c:numCache>
            </c:numRef>
          </c:xVal>
          <c:yVal>
            <c:numRef>
              <c:f>'Hodnoty v tabulkách'!$D$45:$D$56</c:f>
              <c:numCache>
                <c:formatCode>0.000</c:formatCode>
                <c:ptCount val="12"/>
                <c:pt idx="0">
                  <c:v>0</c:v>
                </c:pt>
                <c:pt idx="1">
                  <c:v>0</c:v>
                </c:pt>
                <c:pt idx="2">
                  <c:v>0</c:v>
                </c:pt>
                <c:pt idx="3">
                  <c:v>3.0928043039677201E-3</c:v>
                </c:pt>
                <c:pt idx="4">
                  <c:v>4.1090114324142578E-2</c:v>
                </c:pt>
                <c:pt idx="5">
                  <c:v>0.28056153328850036</c:v>
                </c:pt>
                <c:pt idx="6">
                  <c:v>0.26730665770006734</c:v>
                </c:pt>
                <c:pt idx="7">
                  <c:v>0.16126765299260259</c:v>
                </c:pt>
                <c:pt idx="8">
                  <c:v>0.10382985877605919</c:v>
                </c:pt>
                <c:pt idx="9">
                  <c:v>6.8483523873570956E-2</c:v>
                </c:pt>
                <c:pt idx="10">
                  <c:v>5.0810356422326834E-2</c:v>
                </c:pt>
                <c:pt idx="11">
                  <c:v>6.6274377942165431E-3</c:v>
                </c:pt>
              </c:numCache>
            </c:numRef>
          </c:yVal>
        </c:ser>
        <c:ser>
          <c:idx val="4"/>
          <c:order val="4"/>
          <c:tx>
            <c:v>P4 - 2.0 mg/l P</c:v>
          </c:tx>
          <c:spPr>
            <a:ln w="19050">
              <a:solidFill>
                <a:sysClr val="windowText" lastClr="000000"/>
              </a:solidFill>
              <a:prstDash val="sysDot"/>
            </a:ln>
          </c:spPr>
          <c:marker>
            <c:symbol val="none"/>
          </c:marker>
          <c:xVal>
            <c:numRef>
              <c:f>'Hodnoty v tabulkách'!$B$59:$B$70</c:f>
              <c:numCache>
                <c:formatCode>General</c:formatCode>
                <c:ptCount val="12"/>
                <c:pt idx="0">
                  <c:v>0</c:v>
                </c:pt>
                <c:pt idx="1">
                  <c:v>5</c:v>
                </c:pt>
                <c:pt idx="2">
                  <c:v>12</c:v>
                </c:pt>
                <c:pt idx="3">
                  <c:v>19</c:v>
                </c:pt>
                <c:pt idx="4">
                  <c:v>28</c:v>
                </c:pt>
                <c:pt idx="5">
                  <c:v>34</c:v>
                </c:pt>
                <c:pt idx="6">
                  <c:v>39</c:v>
                </c:pt>
                <c:pt idx="7">
                  <c:v>43</c:v>
                </c:pt>
                <c:pt idx="8">
                  <c:v>54</c:v>
                </c:pt>
                <c:pt idx="9">
                  <c:v>61</c:v>
                </c:pt>
                <c:pt idx="10">
                  <c:v>70</c:v>
                </c:pt>
                <c:pt idx="11">
                  <c:v>80</c:v>
                </c:pt>
              </c:numCache>
            </c:numRef>
          </c:xVal>
          <c:yVal>
            <c:numRef>
              <c:f>'Hodnoty v tabulkách'!$D$59:$D$70</c:f>
              <c:numCache>
                <c:formatCode>0.000</c:formatCode>
                <c:ptCount val="12"/>
                <c:pt idx="0">
                  <c:v>0</c:v>
                </c:pt>
                <c:pt idx="1">
                  <c:v>0</c:v>
                </c:pt>
                <c:pt idx="2">
                  <c:v>0</c:v>
                </c:pt>
                <c:pt idx="3">
                  <c:v>0.10471351714862141</c:v>
                </c:pt>
                <c:pt idx="4">
                  <c:v>1.4293174176193677</c:v>
                </c:pt>
                <c:pt idx="5">
                  <c:v>0.89691324815063889</c:v>
                </c:pt>
                <c:pt idx="6">
                  <c:v>0.56995965030262297</c:v>
                </c:pt>
                <c:pt idx="7">
                  <c:v>0.3645090786819099</c:v>
                </c:pt>
                <c:pt idx="8">
                  <c:v>0.17452252858103567</c:v>
                </c:pt>
                <c:pt idx="9">
                  <c:v>7.2901815736381978E-2</c:v>
                </c:pt>
                <c:pt idx="10">
                  <c:v>4.6392064559515819E-2</c:v>
                </c:pt>
                <c:pt idx="11">
                  <c:v>2.2091459314055092E-3</c:v>
                </c:pt>
              </c:numCache>
            </c:numRef>
          </c:yVal>
        </c:ser>
        <c:ser>
          <c:idx val="5"/>
          <c:order val="5"/>
          <c:tx>
            <c:v>P5 - 3.0 mg/l P</c:v>
          </c:tx>
          <c:spPr>
            <a:ln w="19050">
              <a:solidFill>
                <a:sysClr val="windowText" lastClr="000000"/>
              </a:solidFill>
              <a:prstDash val="lgDashDot"/>
            </a:ln>
          </c:spPr>
          <c:marker>
            <c:symbol val="none"/>
          </c:marker>
          <c:xVal>
            <c:numRef>
              <c:f>'Hodnoty v tabulkách'!$B$73:$B$84</c:f>
              <c:numCache>
                <c:formatCode>General</c:formatCode>
                <c:ptCount val="12"/>
                <c:pt idx="0">
                  <c:v>0</c:v>
                </c:pt>
                <c:pt idx="1">
                  <c:v>5</c:v>
                </c:pt>
                <c:pt idx="2">
                  <c:v>12</c:v>
                </c:pt>
                <c:pt idx="3">
                  <c:v>19</c:v>
                </c:pt>
                <c:pt idx="4">
                  <c:v>28</c:v>
                </c:pt>
                <c:pt idx="5">
                  <c:v>34</c:v>
                </c:pt>
                <c:pt idx="6">
                  <c:v>39</c:v>
                </c:pt>
                <c:pt idx="7">
                  <c:v>43</c:v>
                </c:pt>
                <c:pt idx="8">
                  <c:v>54</c:v>
                </c:pt>
                <c:pt idx="9">
                  <c:v>61</c:v>
                </c:pt>
                <c:pt idx="10">
                  <c:v>70</c:v>
                </c:pt>
                <c:pt idx="11">
                  <c:v>80</c:v>
                </c:pt>
              </c:numCache>
            </c:numRef>
          </c:xVal>
          <c:yVal>
            <c:numRef>
              <c:f>'Hodnoty v tabulkách'!$D$73:$D$84</c:f>
              <c:numCache>
                <c:formatCode>0.000</c:formatCode>
                <c:ptCount val="12"/>
                <c:pt idx="0">
                  <c:v>0</c:v>
                </c:pt>
                <c:pt idx="1">
                  <c:v>0</c:v>
                </c:pt>
                <c:pt idx="2">
                  <c:v>0</c:v>
                </c:pt>
                <c:pt idx="3">
                  <c:v>2.5184263618022874E-2</c:v>
                </c:pt>
                <c:pt idx="4">
                  <c:v>0.57747074646940177</c:v>
                </c:pt>
                <c:pt idx="5">
                  <c:v>1.336533288500336</c:v>
                </c:pt>
                <c:pt idx="6">
                  <c:v>1.8799831876260928</c:v>
                </c:pt>
                <c:pt idx="7">
                  <c:v>1.4911735036987226</c:v>
                </c:pt>
                <c:pt idx="8">
                  <c:v>1.1288735709482183</c:v>
                </c:pt>
                <c:pt idx="9">
                  <c:v>0.58984196368527242</c:v>
                </c:pt>
                <c:pt idx="10">
                  <c:v>0.15684936112979161</c:v>
                </c:pt>
                <c:pt idx="11">
                  <c:v>0.10824815063887022</c:v>
                </c:pt>
              </c:numCache>
            </c:numRef>
          </c:yVal>
        </c:ser>
        <c:dLbls/>
        <c:axId val="76472320"/>
        <c:axId val="76474240"/>
      </c:scatterChart>
      <c:valAx>
        <c:axId val="76472320"/>
        <c:scaling>
          <c:orientation val="minMax"/>
          <c:max val="80"/>
          <c:min val="0"/>
        </c:scaling>
        <c:axPos val="b"/>
        <c:title>
          <c:tx>
            <c:rich>
              <a:bodyPr/>
              <a:lstStyle/>
              <a:p>
                <a:pPr>
                  <a:defRPr/>
                </a:pPr>
                <a:r>
                  <a:rPr lang="cs-CZ" sz="1000" b="0" i="0" baseline="0">
                    <a:latin typeface="+mn-lt"/>
                  </a:rPr>
                  <a:t>t, days</a:t>
                </a:r>
                <a:endParaRPr lang="cs-CZ" sz="1000">
                  <a:latin typeface="+mn-lt"/>
                </a:endParaRPr>
              </a:p>
            </c:rich>
          </c:tx>
          <c:layout/>
        </c:title>
        <c:numFmt formatCode="General" sourceLinked="1"/>
        <c:majorTickMark val="none"/>
        <c:tickLblPos val="nextTo"/>
        <c:txPr>
          <a:bodyPr/>
          <a:lstStyle/>
          <a:p>
            <a:pPr>
              <a:defRPr sz="1000" b="0" i="0" baseline="0">
                <a:latin typeface="Calibri" pitchFamily="34" charset="0"/>
              </a:defRPr>
            </a:pPr>
            <a:endParaRPr lang="cs-CZ"/>
          </a:p>
        </c:txPr>
        <c:crossAx val="76474240"/>
        <c:crosses val="autoZero"/>
        <c:crossBetween val="midCat"/>
        <c:majorUnit val="10"/>
      </c:valAx>
      <c:valAx>
        <c:axId val="76474240"/>
        <c:scaling>
          <c:orientation val="minMax"/>
          <c:max val="2"/>
          <c:min val="0"/>
        </c:scaling>
        <c:axPos val="l"/>
        <c:title>
          <c:tx>
            <c:rich>
              <a:bodyPr/>
              <a:lstStyle/>
              <a:p>
                <a:pPr>
                  <a:defRPr sz="1000" b="0" i="0">
                    <a:latin typeface="Calibri" pitchFamily="34" charset="0"/>
                  </a:defRPr>
                </a:pPr>
                <a:r>
                  <a:rPr lang="cs-CZ" sz="1000" b="0" i="0">
                    <a:latin typeface="Calibri" pitchFamily="34" charset="0"/>
                  </a:rPr>
                  <a:t>c NO</a:t>
                </a:r>
                <a:r>
                  <a:rPr lang="cs-CZ" sz="1000" b="0" i="0" baseline="-25000">
                    <a:latin typeface="Calibri" pitchFamily="34" charset="0"/>
                  </a:rPr>
                  <a:t>2</a:t>
                </a:r>
                <a:r>
                  <a:rPr lang="cs-CZ" sz="1000" b="0" i="0" baseline="30000">
                    <a:latin typeface="Calibri" pitchFamily="34" charset="0"/>
                  </a:rPr>
                  <a:t>-</a:t>
                </a:r>
                <a:r>
                  <a:rPr lang="cs-CZ" sz="1000" b="0" i="0" baseline="0">
                    <a:latin typeface="Calibri" pitchFamily="34" charset="0"/>
                  </a:rPr>
                  <a:t>, </a:t>
                </a:r>
                <a:r>
                  <a:rPr lang="cs-CZ" sz="1000" b="0" i="0">
                    <a:latin typeface="Calibri" pitchFamily="34" charset="0"/>
                  </a:rPr>
                  <a:t>mg/l</a:t>
                </a:r>
              </a:p>
            </c:rich>
          </c:tx>
          <c:layout/>
        </c:title>
        <c:numFmt formatCode="#,##0.0" sourceLinked="0"/>
        <c:majorTickMark val="none"/>
        <c:tickLblPos val="nextTo"/>
        <c:txPr>
          <a:bodyPr/>
          <a:lstStyle/>
          <a:p>
            <a:pPr>
              <a:defRPr sz="1000" b="0" i="0" baseline="0">
                <a:latin typeface="Calibri" pitchFamily="34" charset="0"/>
              </a:defRPr>
            </a:pPr>
            <a:endParaRPr lang="cs-CZ"/>
          </a:p>
        </c:txPr>
        <c:crossAx val="76472320"/>
        <c:crosses val="autoZero"/>
        <c:crossBetween val="midCat"/>
        <c:majorUnit val="0.5"/>
      </c:valAx>
      <c:spPr>
        <a:ln w="19050">
          <a:solidFill>
            <a:sysClr val="windowText" lastClr="000000"/>
          </a:solidFill>
        </a:ln>
      </c:spPr>
    </c:plotArea>
    <c:legend>
      <c:legendPos val="r"/>
      <c:layout>
        <c:manualLayout>
          <c:xMode val="edge"/>
          <c:yMode val="edge"/>
          <c:x val="0.64927192320138138"/>
          <c:y val="4.6835469095774795E-2"/>
          <c:w val="0.30032143242368681"/>
          <c:h val="0.221185219494622"/>
        </c:manualLayout>
      </c:layout>
      <c:txPr>
        <a:bodyPr/>
        <a:lstStyle/>
        <a:p>
          <a:pPr>
            <a:defRPr sz="1000" baseline="0">
              <a:latin typeface="Calibri" pitchFamily="34" charset="0"/>
            </a:defRPr>
          </a:pPr>
          <a:endParaRPr lang="cs-CZ"/>
        </a:p>
      </c:txPr>
    </c:legend>
    <c:plotVisOnly val="1"/>
    <c:dispBlanksAs val="gap"/>
  </c:chart>
  <c:spPr>
    <a:solidFill>
      <a:schemeClr val="bg1">
        <a:alpha val="60000"/>
      </a:schemeClr>
    </a:solidFill>
    <a:ln w="25400" cap="sq">
      <a:noFill/>
      <a:miter lim="800000"/>
    </a:ln>
  </c:spPr>
  <c:txPr>
    <a:bodyPr/>
    <a:lstStyle/>
    <a:p>
      <a:pPr>
        <a:defRPr sz="2400" baseline="0">
          <a:latin typeface="Times New Roman" pitchFamily="18" charset="0"/>
        </a:defRPr>
      </a:pPr>
      <a:endParaRPr lang="cs-CZ"/>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lang val="cs-CZ"/>
  <c:chart>
    <c:autoTitleDeleted val="1"/>
    <c:plotArea>
      <c:layout>
        <c:manualLayout>
          <c:layoutTarget val="inner"/>
          <c:xMode val="edge"/>
          <c:yMode val="edge"/>
          <c:x val="0.10749936399794"/>
          <c:y val="4.6322662694390282E-2"/>
          <c:w val="0.85741094419935049"/>
          <c:h val="0.85107550901855156"/>
        </c:manualLayout>
      </c:layout>
      <c:scatterChart>
        <c:scatterStyle val="lineMarker"/>
        <c:ser>
          <c:idx val="0"/>
          <c:order val="0"/>
          <c:tx>
            <c:v>K2 - 0 mg/l P</c:v>
          </c:tx>
          <c:spPr>
            <a:ln w="19050">
              <a:solidFill>
                <a:schemeClr val="tx1"/>
              </a:solidFill>
            </a:ln>
          </c:spPr>
          <c:marker>
            <c:symbol val="none"/>
          </c:marker>
          <c:xVal>
            <c:numRef>
              <c:f>'Hodnoty v tabulkách'!$I$87:$I$93</c:f>
              <c:numCache>
                <c:formatCode>General</c:formatCode>
                <c:ptCount val="7"/>
                <c:pt idx="0">
                  <c:v>0</c:v>
                </c:pt>
                <c:pt idx="1">
                  <c:v>7</c:v>
                </c:pt>
                <c:pt idx="2">
                  <c:v>14</c:v>
                </c:pt>
                <c:pt idx="3">
                  <c:v>21</c:v>
                </c:pt>
                <c:pt idx="4">
                  <c:v>28</c:v>
                </c:pt>
                <c:pt idx="5">
                  <c:v>35</c:v>
                </c:pt>
                <c:pt idx="6">
                  <c:v>40</c:v>
                </c:pt>
              </c:numCache>
            </c:numRef>
          </c:xVal>
          <c:yVal>
            <c:numRef>
              <c:f>'Hodnoty v tabulkách'!$J$87:$J$93</c:f>
              <c:numCache>
                <c:formatCode>0.000</c:formatCode>
                <c:ptCount val="7"/>
                <c:pt idx="0">
                  <c:v>97.575038310579359</c:v>
                </c:pt>
                <c:pt idx="1">
                  <c:v>87.210634307891354</c:v>
                </c:pt>
                <c:pt idx="2">
                  <c:v>79.486541091849929</c:v>
                </c:pt>
                <c:pt idx="3">
                  <c:v>81.831889005586561</c:v>
                </c:pt>
                <c:pt idx="4">
                  <c:v>82.296985646209393</c:v>
                </c:pt>
                <c:pt idx="5">
                  <c:v>77.914996701030944</c:v>
                </c:pt>
                <c:pt idx="6">
                  <c:v>74.205428288659789</c:v>
                </c:pt>
              </c:numCache>
            </c:numRef>
          </c:yVal>
        </c:ser>
        <c:ser>
          <c:idx val="1"/>
          <c:order val="1"/>
          <c:tx>
            <c:v>P6 - 0.5 mg/l P</c:v>
          </c:tx>
          <c:spPr>
            <a:ln w="19050">
              <a:solidFill>
                <a:prstClr val="black"/>
              </a:solidFill>
              <a:prstDash val="lgDash"/>
            </a:ln>
          </c:spPr>
          <c:marker>
            <c:symbol val="none"/>
          </c:marker>
          <c:xVal>
            <c:numRef>
              <c:f>'Hodnoty v tabulkách'!$B$87:$B$93</c:f>
              <c:numCache>
                <c:formatCode>General</c:formatCode>
                <c:ptCount val="7"/>
                <c:pt idx="0">
                  <c:v>0</c:v>
                </c:pt>
                <c:pt idx="1">
                  <c:v>7</c:v>
                </c:pt>
                <c:pt idx="2">
                  <c:v>14</c:v>
                </c:pt>
                <c:pt idx="3">
                  <c:v>21</c:v>
                </c:pt>
                <c:pt idx="4">
                  <c:v>28</c:v>
                </c:pt>
                <c:pt idx="5">
                  <c:v>35</c:v>
                </c:pt>
                <c:pt idx="6">
                  <c:v>40</c:v>
                </c:pt>
              </c:numCache>
            </c:numRef>
          </c:xVal>
          <c:yVal>
            <c:numRef>
              <c:f>'Hodnoty v tabulkách'!$C$87:$C$93</c:f>
              <c:numCache>
                <c:formatCode>0.000</c:formatCode>
                <c:ptCount val="7"/>
                <c:pt idx="0">
                  <c:v>97.575038310579359</c:v>
                </c:pt>
                <c:pt idx="1">
                  <c:v>88.353630825688057</c:v>
                </c:pt>
                <c:pt idx="2">
                  <c:v>85.694694928870291</c:v>
                </c:pt>
                <c:pt idx="3">
                  <c:v>83.642587477516031</c:v>
                </c:pt>
                <c:pt idx="4">
                  <c:v>82.059989287257025</c:v>
                </c:pt>
                <c:pt idx="5">
                  <c:v>80.348222511627881</c:v>
                </c:pt>
                <c:pt idx="6">
                  <c:v>76.218999999999994</c:v>
                </c:pt>
              </c:numCache>
            </c:numRef>
          </c:yVal>
        </c:ser>
        <c:ser>
          <c:idx val="2"/>
          <c:order val="2"/>
          <c:tx>
            <c:v>P7 - 1.0 mg/l P</c:v>
          </c:tx>
          <c:spPr>
            <a:ln w="19050">
              <a:solidFill>
                <a:sysClr val="windowText" lastClr="000000"/>
              </a:solidFill>
              <a:prstDash val="dash"/>
            </a:ln>
          </c:spPr>
          <c:marker>
            <c:symbol val="none"/>
          </c:marker>
          <c:xVal>
            <c:numRef>
              <c:f>'Hodnoty v tabulkách'!$B$101:$B$107</c:f>
              <c:numCache>
                <c:formatCode>General</c:formatCode>
                <c:ptCount val="7"/>
                <c:pt idx="0">
                  <c:v>0</c:v>
                </c:pt>
                <c:pt idx="1">
                  <c:v>7</c:v>
                </c:pt>
                <c:pt idx="2">
                  <c:v>14</c:v>
                </c:pt>
                <c:pt idx="3">
                  <c:v>21</c:v>
                </c:pt>
                <c:pt idx="4">
                  <c:v>28</c:v>
                </c:pt>
                <c:pt idx="5">
                  <c:v>35</c:v>
                </c:pt>
                <c:pt idx="6">
                  <c:v>40</c:v>
                </c:pt>
              </c:numCache>
            </c:numRef>
          </c:xVal>
          <c:yVal>
            <c:numRef>
              <c:f>'Hodnoty v tabulkách'!$C$101:$C$107</c:f>
              <c:numCache>
                <c:formatCode>0.000</c:formatCode>
                <c:ptCount val="7"/>
                <c:pt idx="0">
                  <c:v>97.575038310579359</c:v>
                </c:pt>
                <c:pt idx="1">
                  <c:v>88.936438416886517</c:v>
                </c:pt>
                <c:pt idx="2">
                  <c:v>85.934400369230787</c:v>
                </c:pt>
                <c:pt idx="3">
                  <c:v>83.702332182857091</c:v>
                </c:pt>
                <c:pt idx="4">
                  <c:v>81.531706094420585</c:v>
                </c:pt>
                <c:pt idx="5">
                  <c:v>79.712639999999993</c:v>
                </c:pt>
                <c:pt idx="6">
                  <c:v>73.73</c:v>
                </c:pt>
              </c:numCache>
            </c:numRef>
          </c:yVal>
        </c:ser>
        <c:ser>
          <c:idx val="3"/>
          <c:order val="3"/>
          <c:tx>
            <c:v>P8 - 1.5 mg/l P</c:v>
          </c:tx>
          <c:spPr>
            <a:ln w="19050">
              <a:solidFill>
                <a:sysClr val="windowText" lastClr="000000"/>
              </a:solidFill>
              <a:prstDash val="sysDash"/>
            </a:ln>
          </c:spPr>
          <c:marker>
            <c:symbol val="none"/>
          </c:marker>
          <c:xVal>
            <c:numRef>
              <c:f>'Hodnoty v tabulkách'!$B$115:$B$121</c:f>
              <c:numCache>
                <c:formatCode>General</c:formatCode>
                <c:ptCount val="7"/>
                <c:pt idx="0">
                  <c:v>0</c:v>
                </c:pt>
                <c:pt idx="1">
                  <c:v>7</c:v>
                </c:pt>
                <c:pt idx="2">
                  <c:v>14</c:v>
                </c:pt>
                <c:pt idx="3">
                  <c:v>21</c:v>
                </c:pt>
                <c:pt idx="4">
                  <c:v>28</c:v>
                </c:pt>
                <c:pt idx="5">
                  <c:v>35</c:v>
                </c:pt>
                <c:pt idx="6">
                  <c:v>40</c:v>
                </c:pt>
              </c:numCache>
            </c:numRef>
          </c:xVal>
          <c:yVal>
            <c:numRef>
              <c:f>'Hodnoty v tabulkách'!$C$115:$C$121</c:f>
              <c:numCache>
                <c:formatCode>0.000</c:formatCode>
                <c:ptCount val="7"/>
                <c:pt idx="0">
                  <c:v>97.575038310579359</c:v>
                </c:pt>
                <c:pt idx="1">
                  <c:v>87.550416000000013</c:v>
                </c:pt>
                <c:pt idx="2">
                  <c:v>84.924804787836891</c:v>
                </c:pt>
                <c:pt idx="3">
                  <c:v>83.523353568068416</c:v>
                </c:pt>
                <c:pt idx="4">
                  <c:v>80.609140820367756</c:v>
                </c:pt>
                <c:pt idx="5">
                  <c:v>79.817871207920788</c:v>
                </c:pt>
                <c:pt idx="6">
                  <c:v>74.11</c:v>
                </c:pt>
              </c:numCache>
            </c:numRef>
          </c:yVal>
        </c:ser>
        <c:dLbls/>
        <c:axId val="76568064"/>
        <c:axId val="76569984"/>
      </c:scatterChart>
      <c:valAx>
        <c:axId val="76568064"/>
        <c:scaling>
          <c:orientation val="minMax"/>
          <c:max val="40"/>
          <c:min val="0"/>
        </c:scaling>
        <c:axPos val="b"/>
        <c:title>
          <c:tx>
            <c:rich>
              <a:bodyPr/>
              <a:lstStyle/>
              <a:p>
                <a:pPr>
                  <a:defRPr/>
                </a:pPr>
                <a:r>
                  <a:rPr lang="cs-CZ" sz="1000" b="0">
                    <a:latin typeface="+mn-lt"/>
                  </a:rPr>
                  <a:t>t ,</a:t>
                </a:r>
                <a:r>
                  <a:rPr lang="cs-CZ" sz="1000" b="0" baseline="0">
                    <a:latin typeface="+mn-lt"/>
                  </a:rPr>
                  <a:t> </a:t>
                </a:r>
                <a:r>
                  <a:rPr lang="cs-CZ" sz="1000" b="0">
                    <a:latin typeface="+mn-lt"/>
                  </a:rPr>
                  <a:t>days</a:t>
                </a:r>
              </a:p>
            </c:rich>
          </c:tx>
          <c:layout/>
        </c:title>
        <c:numFmt formatCode="General" sourceLinked="1"/>
        <c:majorTickMark val="none"/>
        <c:tickLblPos val="nextTo"/>
        <c:txPr>
          <a:bodyPr/>
          <a:lstStyle/>
          <a:p>
            <a:pPr>
              <a:defRPr sz="1000" b="0" i="0" baseline="0">
                <a:latin typeface="Calibri" pitchFamily="34" charset="0"/>
              </a:defRPr>
            </a:pPr>
            <a:endParaRPr lang="cs-CZ"/>
          </a:p>
        </c:txPr>
        <c:crossAx val="76569984"/>
        <c:crosses val="autoZero"/>
        <c:crossBetween val="midCat"/>
        <c:majorUnit val="5"/>
      </c:valAx>
      <c:valAx>
        <c:axId val="76569984"/>
        <c:scaling>
          <c:orientation val="minMax"/>
          <c:max val="120"/>
          <c:min val="0"/>
        </c:scaling>
        <c:axPos val="l"/>
        <c:title>
          <c:tx>
            <c:rich>
              <a:bodyPr/>
              <a:lstStyle/>
              <a:p>
                <a:pPr>
                  <a:defRPr/>
                </a:pPr>
                <a:r>
                  <a:rPr lang="cs-CZ" sz="1000" b="0">
                    <a:latin typeface="+mn-lt"/>
                  </a:rPr>
                  <a:t>c NO</a:t>
                </a:r>
                <a:r>
                  <a:rPr lang="cs-CZ" sz="1000" b="0" baseline="-25000">
                    <a:latin typeface="+mn-lt"/>
                  </a:rPr>
                  <a:t>3</a:t>
                </a:r>
                <a:r>
                  <a:rPr lang="cs-CZ" sz="1000" b="0" baseline="30000">
                    <a:latin typeface="+mn-lt"/>
                  </a:rPr>
                  <a:t>-</a:t>
                </a:r>
                <a:r>
                  <a:rPr lang="cs-CZ" sz="1000" b="0" baseline="0">
                    <a:latin typeface="+mn-lt"/>
                  </a:rPr>
                  <a:t>, </a:t>
                </a:r>
                <a:r>
                  <a:rPr lang="cs-CZ" sz="1000" b="0">
                    <a:latin typeface="+mn-lt"/>
                  </a:rPr>
                  <a:t>mg/l</a:t>
                </a:r>
              </a:p>
            </c:rich>
          </c:tx>
          <c:layout/>
        </c:title>
        <c:numFmt formatCode="0" sourceLinked="0"/>
        <c:majorTickMark val="none"/>
        <c:tickLblPos val="nextTo"/>
        <c:txPr>
          <a:bodyPr/>
          <a:lstStyle/>
          <a:p>
            <a:pPr>
              <a:defRPr sz="1000" b="0" i="0" baseline="0">
                <a:latin typeface="Calibri" pitchFamily="34" charset="0"/>
              </a:defRPr>
            </a:pPr>
            <a:endParaRPr lang="cs-CZ"/>
          </a:p>
        </c:txPr>
        <c:crossAx val="76568064"/>
        <c:crosses val="autoZero"/>
        <c:crossBetween val="midCat"/>
        <c:majorUnit val="20"/>
      </c:valAx>
      <c:spPr>
        <a:ln w="19050">
          <a:solidFill>
            <a:schemeClr val="tx1"/>
          </a:solidFill>
        </a:ln>
      </c:spPr>
    </c:plotArea>
    <c:legend>
      <c:legendPos val="r"/>
      <c:layout>
        <c:manualLayout>
          <c:xMode val="edge"/>
          <c:yMode val="edge"/>
          <c:x val="0.13785074737998168"/>
          <c:y val="0.70205119024648965"/>
          <c:w val="0.34885153540204672"/>
          <c:h val="0.16793871863421136"/>
        </c:manualLayout>
      </c:layout>
      <c:txPr>
        <a:bodyPr/>
        <a:lstStyle/>
        <a:p>
          <a:pPr>
            <a:defRPr sz="1000" baseline="0">
              <a:latin typeface="Calibri" pitchFamily="34" charset="0"/>
            </a:defRPr>
          </a:pPr>
          <a:endParaRPr lang="cs-CZ"/>
        </a:p>
      </c:txPr>
    </c:legend>
    <c:plotVisOnly val="1"/>
    <c:dispBlanksAs val="gap"/>
  </c:chart>
  <c:spPr>
    <a:solidFill>
      <a:schemeClr val="bg1">
        <a:alpha val="60000"/>
      </a:schemeClr>
    </a:solidFill>
    <a:ln w="25400" cap="sq">
      <a:noFill/>
      <a:miter lim="800000"/>
    </a:ln>
  </c:spPr>
  <c:txPr>
    <a:bodyPr/>
    <a:lstStyle/>
    <a:p>
      <a:pPr>
        <a:defRPr sz="2400" baseline="0">
          <a:latin typeface="Times New Roman" pitchFamily="18" charset="0"/>
        </a:defRPr>
      </a:pPr>
      <a:endParaRPr lang="cs-CZ"/>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lang val="cs-CZ"/>
  <c:chart>
    <c:autoTitleDeleted val="1"/>
    <c:plotArea>
      <c:layout>
        <c:manualLayout>
          <c:layoutTarget val="inner"/>
          <c:xMode val="edge"/>
          <c:yMode val="edge"/>
          <c:x val="0.11065145225641122"/>
          <c:y val="4.6322662694390282E-2"/>
          <c:w val="0.85425885594088036"/>
          <c:h val="0.8543516942616276"/>
        </c:manualLayout>
      </c:layout>
      <c:scatterChart>
        <c:scatterStyle val="lineMarker"/>
        <c:ser>
          <c:idx val="0"/>
          <c:order val="0"/>
          <c:tx>
            <c:v>K2 - 0 mg/l P</c:v>
          </c:tx>
          <c:spPr>
            <a:ln w="19050">
              <a:solidFill>
                <a:schemeClr val="tx1"/>
              </a:solidFill>
            </a:ln>
          </c:spPr>
          <c:marker>
            <c:symbol val="none"/>
          </c:marker>
          <c:xVal>
            <c:numRef>
              <c:f>'Hodnoty v tabulkách'!$I$87:$I$93</c:f>
              <c:numCache>
                <c:formatCode>General</c:formatCode>
                <c:ptCount val="7"/>
                <c:pt idx="0">
                  <c:v>0</c:v>
                </c:pt>
                <c:pt idx="1">
                  <c:v>7</c:v>
                </c:pt>
                <c:pt idx="2">
                  <c:v>14</c:v>
                </c:pt>
                <c:pt idx="3">
                  <c:v>21</c:v>
                </c:pt>
                <c:pt idx="4">
                  <c:v>28</c:v>
                </c:pt>
                <c:pt idx="5">
                  <c:v>35</c:v>
                </c:pt>
                <c:pt idx="6">
                  <c:v>40</c:v>
                </c:pt>
              </c:numCache>
            </c:numRef>
          </c:xVal>
          <c:yVal>
            <c:numRef>
              <c:f>'Hodnoty v tabulkách'!$K$87:$K$93</c:f>
              <c:numCache>
                <c:formatCode>0.000</c:formatCode>
                <c:ptCount val="7"/>
                <c:pt idx="0">
                  <c:v>0</c:v>
                </c:pt>
                <c:pt idx="1">
                  <c:v>0</c:v>
                </c:pt>
                <c:pt idx="2">
                  <c:v>2.2541325763900485E-2</c:v>
                </c:pt>
                <c:pt idx="3">
                  <c:v>2.2541325763900485E-2</c:v>
                </c:pt>
                <c:pt idx="4">
                  <c:v>2.2541325763900485E-2</c:v>
                </c:pt>
                <c:pt idx="5">
                  <c:v>5.8440474202705048E-3</c:v>
                </c:pt>
                <c:pt idx="6">
                  <c:v>0</c:v>
                </c:pt>
              </c:numCache>
            </c:numRef>
          </c:yVal>
        </c:ser>
        <c:ser>
          <c:idx val="1"/>
          <c:order val="1"/>
          <c:tx>
            <c:v>P6 - 0.5 mg/l P</c:v>
          </c:tx>
          <c:spPr>
            <a:ln w="19050">
              <a:solidFill>
                <a:prstClr val="black"/>
              </a:solidFill>
              <a:prstDash val="lgDash"/>
            </a:ln>
          </c:spPr>
          <c:marker>
            <c:symbol val="none"/>
          </c:marker>
          <c:xVal>
            <c:numRef>
              <c:f>'Hodnoty v tabulkách'!$B$87:$B$93</c:f>
              <c:numCache>
                <c:formatCode>General</c:formatCode>
                <c:ptCount val="7"/>
                <c:pt idx="0">
                  <c:v>0</c:v>
                </c:pt>
                <c:pt idx="1">
                  <c:v>7</c:v>
                </c:pt>
                <c:pt idx="2">
                  <c:v>14</c:v>
                </c:pt>
                <c:pt idx="3">
                  <c:v>21</c:v>
                </c:pt>
                <c:pt idx="4">
                  <c:v>28</c:v>
                </c:pt>
                <c:pt idx="5">
                  <c:v>35</c:v>
                </c:pt>
                <c:pt idx="6">
                  <c:v>40</c:v>
                </c:pt>
              </c:numCache>
            </c:numRef>
          </c:xVal>
          <c:yVal>
            <c:numRef>
              <c:f>'Hodnoty v tabulkách'!$D$87:$D$93</c:f>
              <c:numCache>
                <c:formatCode>0.000</c:formatCode>
                <c:ptCount val="7"/>
                <c:pt idx="0">
                  <c:v>0</c:v>
                </c:pt>
                <c:pt idx="1">
                  <c:v>0</c:v>
                </c:pt>
                <c:pt idx="2">
                  <c:v>3.9238604107530481E-2</c:v>
                </c:pt>
                <c:pt idx="3">
                  <c:v>0.28134914009016526</c:v>
                </c:pt>
                <c:pt idx="4">
                  <c:v>1.2414426448488898</c:v>
                </c:pt>
                <c:pt idx="5">
                  <c:v>1.4585072633160798</c:v>
                </c:pt>
                <c:pt idx="6">
                  <c:v>1.4589999999999999</c:v>
                </c:pt>
              </c:numCache>
            </c:numRef>
          </c:yVal>
        </c:ser>
        <c:ser>
          <c:idx val="2"/>
          <c:order val="2"/>
          <c:tx>
            <c:v>P7 - 1.0 mg/l P</c:v>
          </c:tx>
          <c:spPr>
            <a:ln w="19050">
              <a:solidFill>
                <a:sysClr val="windowText" lastClr="000000"/>
              </a:solidFill>
              <a:prstDash val="dash"/>
            </a:ln>
          </c:spPr>
          <c:marker>
            <c:symbol val="none"/>
          </c:marker>
          <c:xVal>
            <c:numRef>
              <c:f>'Hodnoty v tabulkách'!$B$101:$B$107</c:f>
              <c:numCache>
                <c:formatCode>General</c:formatCode>
                <c:ptCount val="7"/>
                <c:pt idx="0">
                  <c:v>0</c:v>
                </c:pt>
                <c:pt idx="1">
                  <c:v>7</c:v>
                </c:pt>
                <c:pt idx="2">
                  <c:v>14</c:v>
                </c:pt>
                <c:pt idx="3">
                  <c:v>21</c:v>
                </c:pt>
                <c:pt idx="4">
                  <c:v>28</c:v>
                </c:pt>
                <c:pt idx="5">
                  <c:v>35</c:v>
                </c:pt>
                <c:pt idx="6">
                  <c:v>40</c:v>
                </c:pt>
              </c:numCache>
            </c:numRef>
          </c:xVal>
          <c:yVal>
            <c:numRef>
              <c:f>'Hodnoty v tabulkách'!$D$101:$D$107</c:f>
              <c:numCache>
                <c:formatCode>0.000</c:formatCode>
                <c:ptCount val="7"/>
                <c:pt idx="0">
                  <c:v>0</c:v>
                </c:pt>
                <c:pt idx="1">
                  <c:v>0</c:v>
                </c:pt>
                <c:pt idx="2">
                  <c:v>3.0889964935715483E-2</c:v>
                </c:pt>
                <c:pt idx="3">
                  <c:v>3.0889964935715483E-2</c:v>
                </c:pt>
                <c:pt idx="4">
                  <c:v>3.0889964935715483E-2</c:v>
                </c:pt>
                <c:pt idx="5">
                  <c:v>0</c:v>
                </c:pt>
                <c:pt idx="6">
                  <c:v>0</c:v>
                </c:pt>
              </c:numCache>
            </c:numRef>
          </c:yVal>
        </c:ser>
        <c:ser>
          <c:idx val="3"/>
          <c:order val="3"/>
          <c:tx>
            <c:v>P8 - 1.5 mg/l P</c:v>
          </c:tx>
          <c:spPr>
            <a:ln w="19050">
              <a:solidFill>
                <a:sysClr val="windowText" lastClr="000000"/>
              </a:solidFill>
              <a:prstDash val="sysDash"/>
            </a:ln>
          </c:spPr>
          <c:marker>
            <c:symbol val="none"/>
          </c:marker>
          <c:xVal>
            <c:numRef>
              <c:f>'Hodnoty v tabulkách'!$B$115:$B$121</c:f>
              <c:numCache>
                <c:formatCode>General</c:formatCode>
                <c:ptCount val="7"/>
                <c:pt idx="0">
                  <c:v>0</c:v>
                </c:pt>
                <c:pt idx="1">
                  <c:v>7</c:v>
                </c:pt>
                <c:pt idx="2">
                  <c:v>14</c:v>
                </c:pt>
                <c:pt idx="3">
                  <c:v>21</c:v>
                </c:pt>
                <c:pt idx="4">
                  <c:v>28</c:v>
                </c:pt>
                <c:pt idx="5">
                  <c:v>35</c:v>
                </c:pt>
                <c:pt idx="6">
                  <c:v>40</c:v>
                </c:pt>
              </c:numCache>
            </c:numRef>
          </c:xVal>
          <c:yVal>
            <c:numRef>
              <c:f>'Hodnoty v tabulkách'!$D$115:$D$121</c:f>
              <c:numCache>
                <c:formatCode>0.000</c:formatCode>
                <c:ptCount val="7"/>
                <c:pt idx="0">
                  <c:v>0</c:v>
                </c:pt>
                <c:pt idx="1">
                  <c:v>0</c:v>
                </c:pt>
                <c:pt idx="2">
                  <c:v>0</c:v>
                </c:pt>
                <c:pt idx="3">
                  <c:v>0</c:v>
                </c:pt>
                <c:pt idx="4">
                  <c:v>0.74887293371180508</c:v>
                </c:pt>
                <c:pt idx="5">
                  <c:v>0.77391885122725002</c:v>
                </c:pt>
                <c:pt idx="6">
                  <c:v>0.77400000000000013</c:v>
                </c:pt>
              </c:numCache>
            </c:numRef>
          </c:yVal>
        </c:ser>
        <c:dLbls/>
        <c:axId val="77151232"/>
        <c:axId val="77165696"/>
      </c:scatterChart>
      <c:valAx>
        <c:axId val="77151232"/>
        <c:scaling>
          <c:orientation val="minMax"/>
          <c:max val="40"/>
          <c:min val="0"/>
        </c:scaling>
        <c:axPos val="b"/>
        <c:title>
          <c:tx>
            <c:rich>
              <a:bodyPr/>
              <a:lstStyle/>
              <a:p>
                <a:pPr>
                  <a:defRPr/>
                </a:pPr>
                <a:r>
                  <a:rPr lang="cs-CZ" sz="1000" b="0">
                    <a:latin typeface="+mn-lt"/>
                  </a:rPr>
                  <a:t>t,</a:t>
                </a:r>
                <a:r>
                  <a:rPr lang="cs-CZ" sz="1000" b="0" baseline="0">
                    <a:latin typeface="+mn-lt"/>
                  </a:rPr>
                  <a:t> </a:t>
                </a:r>
                <a:r>
                  <a:rPr lang="cs-CZ" sz="1000" b="0">
                    <a:latin typeface="+mn-lt"/>
                  </a:rPr>
                  <a:t>days</a:t>
                </a:r>
              </a:p>
            </c:rich>
          </c:tx>
          <c:layout/>
        </c:title>
        <c:numFmt formatCode="General" sourceLinked="1"/>
        <c:majorTickMark val="none"/>
        <c:tickLblPos val="nextTo"/>
        <c:txPr>
          <a:bodyPr/>
          <a:lstStyle/>
          <a:p>
            <a:pPr>
              <a:defRPr sz="1000" b="0" i="0" baseline="0">
                <a:latin typeface="Calibri" pitchFamily="34" charset="0"/>
              </a:defRPr>
            </a:pPr>
            <a:endParaRPr lang="cs-CZ"/>
          </a:p>
        </c:txPr>
        <c:crossAx val="77165696"/>
        <c:crosses val="autoZero"/>
        <c:crossBetween val="midCat"/>
        <c:majorUnit val="5"/>
      </c:valAx>
      <c:valAx>
        <c:axId val="77165696"/>
        <c:scaling>
          <c:orientation val="minMax"/>
          <c:max val="2"/>
          <c:min val="0"/>
        </c:scaling>
        <c:axPos val="l"/>
        <c:title>
          <c:tx>
            <c:rich>
              <a:bodyPr/>
              <a:lstStyle/>
              <a:p>
                <a:pPr>
                  <a:defRPr/>
                </a:pPr>
                <a:r>
                  <a:rPr lang="cs-CZ" sz="1000" b="0">
                    <a:latin typeface="+mn-lt"/>
                  </a:rPr>
                  <a:t>c NO</a:t>
                </a:r>
                <a:r>
                  <a:rPr lang="cs-CZ" sz="1000" b="0" baseline="-25000">
                    <a:latin typeface="+mn-lt"/>
                  </a:rPr>
                  <a:t>2</a:t>
                </a:r>
                <a:r>
                  <a:rPr lang="cs-CZ" sz="1000" b="0" baseline="30000">
                    <a:latin typeface="+mn-lt"/>
                  </a:rPr>
                  <a:t>-</a:t>
                </a:r>
                <a:r>
                  <a:rPr lang="cs-CZ" sz="1000" b="0" baseline="0">
                    <a:latin typeface="+mn-lt"/>
                  </a:rPr>
                  <a:t>, </a:t>
                </a:r>
                <a:r>
                  <a:rPr lang="cs-CZ" sz="1000" b="0">
                    <a:latin typeface="+mn-lt"/>
                  </a:rPr>
                  <a:t>mg/l</a:t>
                </a:r>
              </a:p>
            </c:rich>
          </c:tx>
          <c:layout/>
        </c:title>
        <c:numFmt formatCode="0.0" sourceLinked="0"/>
        <c:majorTickMark val="none"/>
        <c:tickLblPos val="nextTo"/>
        <c:txPr>
          <a:bodyPr/>
          <a:lstStyle/>
          <a:p>
            <a:pPr>
              <a:defRPr sz="1000" b="0" i="0" baseline="0">
                <a:latin typeface="Calibri" pitchFamily="34" charset="0"/>
              </a:defRPr>
            </a:pPr>
            <a:endParaRPr lang="cs-CZ"/>
          </a:p>
        </c:txPr>
        <c:crossAx val="77151232"/>
        <c:crosses val="autoZero"/>
        <c:crossBetween val="midCat"/>
        <c:majorUnit val="0.5"/>
      </c:valAx>
      <c:spPr>
        <a:ln w="19050">
          <a:solidFill>
            <a:schemeClr val="tx1"/>
          </a:solidFill>
        </a:ln>
      </c:spPr>
    </c:plotArea>
    <c:legend>
      <c:legendPos val="r"/>
      <c:layout>
        <c:manualLayout>
          <c:xMode val="edge"/>
          <c:yMode val="edge"/>
          <c:x val="0.14397083766726762"/>
          <c:y val="5.8557960319726904E-2"/>
          <c:w val="0.32993900585121927"/>
          <c:h val="0.18612243381826812"/>
        </c:manualLayout>
      </c:layout>
      <c:txPr>
        <a:bodyPr/>
        <a:lstStyle/>
        <a:p>
          <a:pPr>
            <a:defRPr sz="1000" baseline="0">
              <a:latin typeface="Calibri" pitchFamily="34" charset="0"/>
            </a:defRPr>
          </a:pPr>
          <a:endParaRPr lang="cs-CZ"/>
        </a:p>
      </c:txPr>
    </c:legend>
    <c:plotVisOnly val="1"/>
    <c:dispBlanksAs val="gap"/>
  </c:chart>
  <c:spPr>
    <a:solidFill>
      <a:schemeClr val="bg1">
        <a:alpha val="60000"/>
      </a:schemeClr>
    </a:solidFill>
    <a:ln w="25400" cap="sq">
      <a:noFill/>
      <a:miter lim="800000"/>
    </a:ln>
  </c:spPr>
  <c:txPr>
    <a:bodyPr/>
    <a:lstStyle/>
    <a:p>
      <a:pPr>
        <a:defRPr sz="2400" baseline="0">
          <a:latin typeface="Times New Roman" pitchFamily="18" charset="0"/>
        </a:defRPr>
      </a:pPr>
      <a:endParaRPr lang="cs-CZ"/>
    </a:p>
  </c:txPr>
  <c:externalData r:id="rId1"/>
</c:chartSpace>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44B02BA-A57B-400A-B14D-94AA0DB03C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2469</TotalTime>
  <Pages>5</Pages>
  <Words>1142</Words>
  <Characters>6742</Characters>
  <Application>Microsoft Office Word</Application>
  <DocSecurity>0</DocSecurity>
  <Lines>56</Lines>
  <Paragraphs>15</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7869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Martin Vesely</dc:creator>
  <cp:lastModifiedBy>ASUS</cp:lastModifiedBy>
  <cp:revision>48</cp:revision>
  <dcterms:created xsi:type="dcterms:W3CDTF">2016-05-19T09:18:00Z</dcterms:created>
  <dcterms:modified xsi:type="dcterms:W3CDTF">2016-05-23T18:12:00Z</dcterms:modified>
</cp:coreProperties>
</file>