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76DB" w:rsidRDefault="007C76DB" w:rsidP="007C76DB">
      <w:pPr>
        <w:pStyle w:val="Default"/>
      </w:pPr>
    </w:p>
    <w:p w:rsidR="007C76DB" w:rsidRDefault="007C76DB" w:rsidP="007C76DB">
      <w:pPr>
        <w:pStyle w:val="Default"/>
        <w:rPr>
          <w:sz w:val="40"/>
          <w:szCs w:val="40"/>
        </w:rPr>
      </w:pPr>
      <w:r>
        <w:t xml:space="preserve"> </w:t>
      </w:r>
      <w:r>
        <w:rPr>
          <w:b/>
          <w:bCs/>
          <w:sz w:val="40"/>
          <w:szCs w:val="40"/>
        </w:rPr>
        <w:t xml:space="preserve">UNIVERZITA PARDUBICE </w:t>
      </w:r>
    </w:p>
    <w:p w:rsidR="007C76DB" w:rsidRDefault="007C76DB" w:rsidP="007C76DB">
      <w:pPr>
        <w:pStyle w:val="Default"/>
        <w:rPr>
          <w:sz w:val="32"/>
          <w:szCs w:val="32"/>
        </w:rPr>
      </w:pPr>
      <w:r>
        <w:rPr>
          <w:b/>
          <w:bCs/>
          <w:sz w:val="32"/>
          <w:szCs w:val="32"/>
        </w:rPr>
        <w:t xml:space="preserve">Fakulta filozofická </w:t>
      </w:r>
    </w:p>
    <w:p w:rsidR="007C76DB" w:rsidRDefault="007C76DB" w:rsidP="007C76DB">
      <w:pPr>
        <w:pStyle w:val="Default"/>
        <w:rPr>
          <w:sz w:val="32"/>
          <w:szCs w:val="32"/>
        </w:rPr>
      </w:pPr>
      <w:r>
        <w:rPr>
          <w:b/>
          <w:bCs/>
          <w:sz w:val="32"/>
          <w:szCs w:val="32"/>
        </w:rPr>
        <w:t xml:space="preserve">Ústav historických věd </w:t>
      </w:r>
    </w:p>
    <w:p w:rsidR="007C76DB" w:rsidRDefault="007C76DB" w:rsidP="007C76DB">
      <w:pPr>
        <w:pStyle w:val="Default"/>
        <w:rPr>
          <w:sz w:val="32"/>
          <w:szCs w:val="32"/>
        </w:rPr>
      </w:pPr>
      <w:r>
        <w:rPr>
          <w:b/>
          <w:bCs/>
          <w:sz w:val="32"/>
          <w:szCs w:val="32"/>
        </w:rPr>
        <w:t xml:space="preserve">Teoretické a praktické aspekty tvorby a významu spisových řádů u obou skupin původců </w:t>
      </w:r>
    </w:p>
    <w:p w:rsidR="007C76DB" w:rsidRDefault="007C76DB" w:rsidP="007C76DB">
      <w:pPr>
        <w:pStyle w:val="Default"/>
        <w:rPr>
          <w:sz w:val="28"/>
          <w:szCs w:val="28"/>
        </w:rPr>
      </w:pPr>
      <w:r>
        <w:rPr>
          <w:sz w:val="28"/>
          <w:szCs w:val="28"/>
        </w:rPr>
        <w:t xml:space="preserve">Bakalářská práce </w:t>
      </w:r>
    </w:p>
    <w:p w:rsidR="007C76DB" w:rsidRDefault="007C76DB" w:rsidP="007C76DB">
      <w:pPr>
        <w:pStyle w:val="Default"/>
        <w:rPr>
          <w:sz w:val="28"/>
          <w:szCs w:val="28"/>
        </w:rPr>
      </w:pPr>
      <w:r>
        <w:rPr>
          <w:sz w:val="28"/>
          <w:szCs w:val="28"/>
        </w:rPr>
        <w:t xml:space="preserve">Aneta Vrzáčková </w:t>
      </w:r>
    </w:p>
    <w:p w:rsidR="007C76DB" w:rsidRDefault="007C76DB" w:rsidP="007C76DB">
      <w:pPr>
        <w:pStyle w:val="Default"/>
        <w:rPr>
          <w:sz w:val="28"/>
          <w:szCs w:val="28"/>
        </w:rPr>
      </w:pPr>
      <w:r>
        <w:rPr>
          <w:sz w:val="28"/>
          <w:szCs w:val="28"/>
        </w:rPr>
        <w:t xml:space="preserve">2015 </w:t>
      </w:r>
    </w:p>
    <w:p w:rsidR="007C76DB" w:rsidRDefault="007C76DB" w:rsidP="007C76DB">
      <w:pPr>
        <w:pStyle w:val="Default"/>
        <w:pageBreakBefore/>
        <w:rPr>
          <w:sz w:val="23"/>
          <w:szCs w:val="23"/>
        </w:rPr>
      </w:pPr>
      <w:r>
        <w:rPr>
          <w:b/>
          <w:bCs/>
          <w:sz w:val="23"/>
          <w:szCs w:val="23"/>
        </w:rPr>
        <w:lastRenderedPageBreak/>
        <w:t xml:space="preserve">Prohlášení </w:t>
      </w:r>
    </w:p>
    <w:p w:rsidR="007C76DB" w:rsidRDefault="007C76DB" w:rsidP="007C76DB">
      <w:pPr>
        <w:pStyle w:val="Default"/>
        <w:rPr>
          <w:sz w:val="23"/>
          <w:szCs w:val="23"/>
        </w:rPr>
      </w:pPr>
      <w:r>
        <w:rPr>
          <w:sz w:val="23"/>
          <w:szCs w:val="23"/>
        </w:rPr>
        <w:t xml:space="preserve">Tuto práci jsem vypracovala samostatně. Veškeré literární prameny a informace, </w:t>
      </w:r>
    </w:p>
    <w:p w:rsidR="007C76DB" w:rsidRDefault="007C76DB" w:rsidP="007C76DB">
      <w:pPr>
        <w:pStyle w:val="Default"/>
        <w:rPr>
          <w:sz w:val="23"/>
          <w:szCs w:val="23"/>
        </w:rPr>
      </w:pPr>
      <w:r>
        <w:rPr>
          <w:sz w:val="23"/>
          <w:szCs w:val="23"/>
        </w:rPr>
        <w:t xml:space="preserve">které jsem v této práci využila, jsou uvedeny v seznamu použité literatury. </w:t>
      </w:r>
    </w:p>
    <w:p w:rsidR="007C76DB" w:rsidRDefault="007C76DB" w:rsidP="007C76DB">
      <w:pPr>
        <w:pStyle w:val="Default"/>
        <w:rPr>
          <w:sz w:val="23"/>
          <w:szCs w:val="23"/>
        </w:rPr>
      </w:pPr>
      <w:r>
        <w:rPr>
          <w:sz w:val="23"/>
          <w:szCs w:val="23"/>
        </w:rPr>
        <w:t xml:space="preserve">Byla jsem seznámena s tím, že se na moji práci vztahují práva a povinnosti </w:t>
      </w:r>
    </w:p>
    <w:p w:rsidR="007C76DB" w:rsidRDefault="007C76DB" w:rsidP="007C76DB">
      <w:pPr>
        <w:pStyle w:val="Default"/>
        <w:rPr>
          <w:sz w:val="23"/>
          <w:szCs w:val="23"/>
        </w:rPr>
      </w:pPr>
      <w:r>
        <w:rPr>
          <w:sz w:val="23"/>
          <w:szCs w:val="23"/>
        </w:rPr>
        <w:t xml:space="preserve">vyplývající ze zákona č. 121/2000 Sb., autorský zákon, zejména se skutečností, že Univerzita Pardubice má právo na uzavření licenční smlouvy o užití této práce jako školního díla podle § 60 odst. 1 autorského zákona, a s tím, že pokud dojde k užití této práce mnou nebo bude poskytnuta licence o užití jinému subjektu, je Univerzita Pardubice oprávněna ode mne požadovat přiměřený příspěvek na úhradu nákladů, které na vytvoření díla vynaložila, a to podle okolností až do jejich skutečné výše. </w:t>
      </w:r>
    </w:p>
    <w:p w:rsidR="007C76DB" w:rsidRDefault="007C76DB" w:rsidP="007C76DB">
      <w:pPr>
        <w:pStyle w:val="Default"/>
        <w:rPr>
          <w:sz w:val="23"/>
          <w:szCs w:val="23"/>
        </w:rPr>
      </w:pPr>
      <w:r>
        <w:rPr>
          <w:sz w:val="23"/>
          <w:szCs w:val="23"/>
        </w:rPr>
        <w:t xml:space="preserve">Souhlasím s prezenčním zpřístupněním své práce v Univerzitní knihovně. </w:t>
      </w:r>
    </w:p>
    <w:p w:rsidR="007C76DB" w:rsidRDefault="007C76DB" w:rsidP="007C76DB">
      <w:pPr>
        <w:pStyle w:val="Default"/>
        <w:rPr>
          <w:sz w:val="23"/>
          <w:szCs w:val="23"/>
        </w:rPr>
      </w:pPr>
      <w:r>
        <w:rPr>
          <w:sz w:val="23"/>
          <w:szCs w:val="23"/>
        </w:rPr>
        <w:t xml:space="preserve">V Pardubicích dne 30. 6. 2015 …………………………… </w:t>
      </w:r>
    </w:p>
    <w:p w:rsidR="007C76DB" w:rsidRDefault="007C76DB" w:rsidP="007C76DB">
      <w:pPr>
        <w:pStyle w:val="Default"/>
        <w:rPr>
          <w:sz w:val="23"/>
          <w:szCs w:val="23"/>
        </w:rPr>
      </w:pPr>
      <w:r>
        <w:rPr>
          <w:sz w:val="23"/>
          <w:szCs w:val="23"/>
        </w:rPr>
        <w:t xml:space="preserve">Aneta Vrzáčková </w:t>
      </w:r>
    </w:p>
    <w:p w:rsidR="007C76DB" w:rsidRDefault="007C76DB" w:rsidP="007C76DB">
      <w:pPr>
        <w:pStyle w:val="Default"/>
        <w:pageBreakBefore/>
        <w:rPr>
          <w:sz w:val="23"/>
          <w:szCs w:val="23"/>
        </w:rPr>
      </w:pPr>
      <w:r>
        <w:rPr>
          <w:b/>
          <w:bCs/>
          <w:sz w:val="23"/>
          <w:szCs w:val="23"/>
        </w:rPr>
        <w:lastRenderedPageBreak/>
        <w:t xml:space="preserve">Poděkování </w:t>
      </w:r>
    </w:p>
    <w:p w:rsidR="007C76DB" w:rsidRDefault="007C76DB" w:rsidP="007C76DB">
      <w:pPr>
        <w:pStyle w:val="Default"/>
        <w:rPr>
          <w:sz w:val="23"/>
          <w:szCs w:val="23"/>
        </w:rPr>
      </w:pPr>
      <w:r>
        <w:rPr>
          <w:sz w:val="23"/>
          <w:szCs w:val="23"/>
        </w:rPr>
        <w:t xml:space="preserve">Tímto bych chtěla poděkovat vedoucí mé práce Mgr. Heleně Pochobradské Ph.D., za odborné vedení a cenné rady. Můj dík také patří všem, kteří mi ochotně poskytli materiály k mé práci a také Ing. Petru Šimovi a Ing. Alici Šeré za pomoc při úpravě této práce. </w:t>
      </w:r>
    </w:p>
    <w:p w:rsidR="007C76DB" w:rsidRDefault="007C76DB" w:rsidP="007C76DB">
      <w:pPr>
        <w:pStyle w:val="Default"/>
        <w:rPr>
          <w:sz w:val="23"/>
          <w:szCs w:val="23"/>
        </w:rPr>
      </w:pPr>
      <w:r>
        <w:rPr>
          <w:sz w:val="23"/>
          <w:szCs w:val="23"/>
        </w:rPr>
        <w:t xml:space="preserve">Také bych chtěla poděkovat svojí rodině a svému příteli za trpělivost a podporu, kterou mi poskytovali při tvorbě této práce a vůbec po celou dobu mého dosavadního studia. </w:t>
      </w:r>
    </w:p>
    <w:p w:rsidR="007C76DB" w:rsidRDefault="007C76DB" w:rsidP="007C76DB">
      <w:pPr>
        <w:pStyle w:val="Default"/>
        <w:pageBreakBefore/>
        <w:rPr>
          <w:sz w:val="23"/>
          <w:szCs w:val="23"/>
        </w:rPr>
      </w:pPr>
      <w:r>
        <w:rPr>
          <w:b/>
          <w:bCs/>
          <w:sz w:val="23"/>
          <w:szCs w:val="23"/>
        </w:rPr>
        <w:lastRenderedPageBreak/>
        <w:t xml:space="preserve">Anotace </w:t>
      </w:r>
    </w:p>
    <w:p w:rsidR="007C76DB" w:rsidRDefault="007C76DB" w:rsidP="007C76DB">
      <w:pPr>
        <w:pStyle w:val="Default"/>
        <w:rPr>
          <w:sz w:val="23"/>
          <w:szCs w:val="23"/>
        </w:rPr>
      </w:pPr>
      <w:r>
        <w:rPr>
          <w:sz w:val="23"/>
          <w:szCs w:val="23"/>
        </w:rPr>
        <w:t xml:space="preserve">Tato bakalářská práce s názvem Teoretické a praktické aspekty tvorby a významu spisových řádů u obou skupin původců je analýzou tří spisových řádů veřejnoprávních a tří spisových řádů soukromoprávních původců na podkladě dostupné literatury a interních zdrojů vybraných původců. Práce se zaměří na význam a specifika tvorby spisových řádů u těchto šesti vybraných původců. </w:t>
      </w:r>
    </w:p>
    <w:p w:rsidR="007C76DB" w:rsidRDefault="007C76DB" w:rsidP="007C76DB">
      <w:pPr>
        <w:pStyle w:val="Default"/>
        <w:rPr>
          <w:sz w:val="23"/>
          <w:szCs w:val="23"/>
        </w:rPr>
      </w:pPr>
      <w:r>
        <w:rPr>
          <w:b/>
          <w:bCs/>
          <w:sz w:val="23"/>
          <w:szCs w:val="23"/>
        </w:rPr>
        <w:t xml:space="preserve">Klíčová slova </w:t>
      </w:r>
    </w:p>
    <w:p w:rsidR="007C76DB" w:rsidRDefault="007C76DB" w:rsidP="007C76DB">
      <w:pPr>
        <w:pStyle w:val="Default"/>
        <w:rPr>
          <w:sz w:val="23"/>
          <w:szCs w:val="23"/>
        </w:rPr>
      </w:pPr>
      <w:r>
        <w:rPr>
          <w:sz w:val="23"/>
          <w:szCs w:val="23"/>
        </w:rPr>
        <w:t xml:space="preserve">spisová služba, spisový řád, skartační řízení, spisovna, archiv, dokument, archiválie, původce </w:t>
      </w:r>
    </w:p>
    <w:p w:rsidR="007C76DB" w:rsidRDefault="007C76DB" w:rsidP="007C76DB">
      <w:pPr>
        <w:pStyle w:val="Default"/>
        <w:pageBreakBefore/>
        <w:rPr>
          <w:sz w:val="23"/>
          <w:szCs w:val="23"/>
        </w:rPr>
      </w:pPr>
      <w:proofErr w:type="spellStart"/>
      <w:r>
        <w:rPr>
          <w:b/>
          <w:bCs/>
          <w:sz w:val="23"/>
          <w:szCs w:val="23"/>
        </w:rPr>
        <w:lastRenderedPageBreak/>
        <w:t>Title</w:t>
      </w:r>
      <w:proofErr w:type="spellEnd"/>
      <w:r>
        <w:rPr>
          <w:b/>
          <w:bCs/>
          <w:sz w:val="23"/>
          <w:szCs w:val="23"/>
        </w:rPr>
        <w:t xml:space="preserve"> </w:t>
      </w:r>
    </w:p>
    <w:p w:rsidR="007C76DB" w:rsidRDefault="007C76DB" w:rsidP="007C76DB">
      <w:pPr>
        <w:pStyle w:val="Default"/>
        <w:rPr>
          <w:sz w:val="23"/>
          <w:szCs w:val="23"/>
        </w:rPr>
      </w:pPr>
      <w:proofErr w:type="spellStart"/>
      <w:r>
        <w:rPr>
          <w:sz w:val="23"/>
          <w:szCs w:val="23"/>
        </w:rPr>
        <w:t>Theoretical</w:t>
      </w:r>
      <w:proofErr w:type="spellEnd"/>
      <w:r>
        <w:rPr>
          <w:sz w:val="23"/>
          <w:szCs w:val="23"/>
        </w:rPr>
        <w:t xml:space="preserve"> and </w:t>
      </w:r>
      <w:proofErr w:type="spellStart"/>
      <w:r>
        <w:rPr>
          <w:sz w:val="23"/>
          <w:szCs w:val="23"/>
        </w:rPr>
        <w:t>Practical</w:t>
      </w:r>
      <w:proofErr w:type="spellEnd"/>
      <w:r>
        <w:rPr>
          <w:sz w:val="23"/>
          <w:szCs w:val="23"/>
        </w:rPr>
        <w:t xml:space="preserve"> </w:t>
      </w:r>
      <w:proofErr w:type="spellStart"/>
      <w:r>
        <w:rPr>
          <w:sz w:val="23"/>
          <w:szCs w:val="23"/>
        </w:rPr>
        <w:t>Aspects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Creation</w:t>
      </w:r>
      <w:proofErr w:type="spellEnd"/>
      <w:r>
        <w:rPr>
          <w:sz w:val="23"/>
          <w:szCs w:val="23"/>
        </w:rPr>
        <w:t xml:space="preserve"> and </w:t>
      </w:r>
      <w:proofErr w:type="spellStart"/>
      <w:r>
        <w:rPr>
          <w:sz w:val="23"/>
          <w:szCs w:val="23"/>
        </w:rPr>
        <w:t>Meaning</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File</w:t>
      </w:r>
      <w:proofErr w:type="spellEnd"/>
      <w:r>
        <w:rPr>
          <w:sz w:val="23"/>
          <w:szCs w:val="23"/>
        </w:rPr>
        <w:t xml:space="preserve"> </w:t>
      </w:r>
      <w:proofErr w:type="spellStart"/>
      <w:r>
        <w:rPr>
          <w:sz w:val="23"/>
          <w:szCs w:val="23"/>
        </w:rPr>
        <w:t>Orders</w:t>
      </w:r>
      <w:proofErr w:type="spellEnd"/>
      <w:r>
        <w:rPr>
          <w:sz w:val="23"/>
          <w:szCs w:val="23"/>
        </w:rPr>
        <w:t xml:space="preserve"> </w:t>
      </w:r>
      <w:proofErr w:type="spellStart"/>
      <w:r>
        <w:rPr>
          <w:sz w:val="23"/>
          <w:szCs w:val="23"/>
        </w:rPr>
        <w:t>for</w:t>
      </w:r>
      <w:proofErr w:type="spellEnd"/>
      <w:r>
        <w:rPr>
          <w:sz w:val="23"/>
          <w:szCs w:val="23"/>
        </w:rPr>
        <w:t xml:space="preserve"> </w:t>
      </w:r>
      <w:proofErr w:type="spellStart"/>
      <w:r>
        <w:rPr>
          <w:sz w:val="23"/>
          <w:szCs w:val="23"/>
        </w:rPr>
        <w:t>Both</w:t>
      </w:r>
      <w:proofErr w:type="spellEnd"/>
      <w:r>
        <w:rPr>
          <w:sz w:val="23"/>
          <w:szCs w:val="23"/>
        </w:rPr>
        <w:t xml:space="preserve"> </w:t>
      </w:r>
      <w:proofErr w:type="spellStart"/>
      <w:r>
        <w:rPr>
          <w:sz w:val="23"/>
          <w:szCs w:val="23"/>
        </w:rPr>
        <w:t>Groups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Originators</w:t>
      </w:r>
      <w:proofErr w:type="spellEnd"/>
      <w:r>
        <w:rPr>
          <w:sz w:val="23"/>
          <w:szCs w:val="23"/>
        </w:rPr>
        <w:t xml:space="preserve"> </w:t>
      </w:r>
    </w:p>
    <w:p w:rsidR="007C76DB" w:rsidRDefault="007C76DB" w:rsidP="007C76DB">
      <w:pPr>
        <w:pStyle w:val="Default"/>
        <w:rPr>
          <w:sz w:val="23"/>
          <w:szCs w:val="23"/>
        </w:rPr>
      </w:pPr>
      <w:proofErr w:type="spellStart"/>
      <w:r>
        <w:rPr>
          <w:b/>
          <w:bCs/>
          <w:sz w:val="23"/>
          <w:szCs w:val="23"/>
        </w:rPr>
        <w:t>Annotation</w:t>
      </w:r>
      <w:proofErr w:type="spellEnd"/>
      <w:r>
        <w:rPr>
          <w:b/>
          <w:bCs/>
          <w:sz w:val="23"/>
          <w:szCs w:val="23"/>
        </w:rPr>
        <w:t xml:space="preserve"> </w:t>
      </w:r>
    </w:p>
    <w:p w:rsidR="007C76DB" w:rsidRDefault="007C76DB" w:rsidP="007C76DB">
      <w:pPr>
        <w:pStyle w:val="Default"/>
        <w:rPr>
          <w:sz w:val="23"/>
          <w:szCs w:val="23"/>
        </w:rPr>
      </w:pPr>
      <w:proofErr w:type="spellStart"/>
      <w:r>
        <w:rPr>
          <w:sz w:val="23"/>
          <w:szCs w:val="23"/>
        </w:rPr>
        <w:t>This</w:t>
      </w:r>
      <w:proofErr w:type="spellEnd"/>
      <w:r>
        <w:rPr>
          <w:sz w:val="23"/>
          <w:szCs w:val="23"/>
        </w:rPr>
        <w:t xml:space="preserve"> </w:t>
      </w:r>
      <w:proofErr w:type="spellStart"/>
      <w:r>
        <w:rPr>
          <w:sz w:val="23"/>
          <w:szCs w:val="23"/>
        </w:rPr>
        <w:t>bachelor’s</w:t>
      </w:r>
      <w:proofErr w:type="spellEnd"/>
      <w:r>
        <w:rPr>
          <w:sz w:val="23"/>
          <w:szCs w:val="23"/>
        </w:rPr>
        <w:t xml:space="preserve"> thesis </w:t>
      </w:r>
      <w:proofErr w:type="spellStart"/>
      <w:r>
        <w:rPr>
          <w:sz w:val="23"/>
          <w:szCs w:val="23"/>
        </w:rPr>
        <w:t>called</w:t>
      </w:r>
      <w:proofErr w:type="spellEnd"/>
      <w:r>
        <w:rPr>
          <w:sz w:val="23"/>
          <w:szCs w:val="23"/>
        </w:rPr>
        <w:t xml:space="preserve"> “</w:t>
      </w:r>
      <w:proofErr w:type="spellStart"/>
      <w:r>
        <w:rPr>
          <w:sz w:val="23"/>
          <w:szCs w:val="23"/>
        </w:rPr>
        <w:t>Theoretical</w:t>
      </w:r>
      <w:proofErr w:type="spellEnd"/>
      <w:r>
        <w:rPr>
          <w:sz w:val="23"/>
          <w:szCs w:val="23"/>
        </w:rPr>
        <w:t xml:space="preserve"> and </w:t>
      </w:r>
      <w:proofErr w:type="spellStart"/>
      <w:r>
        <w:rPr>
          <w:sz w:val="23"/>
          <w:szCs w:val="23"/>
        </w:rPr>
        <w:t>Practical</w:t>
      </w:r>
      <w:proofErr w:type="spellEnd"/>
      <w:r>
        <w:rPr>
          <w:sz w:val="23"/>
          <w:szCs w:val="23"/>
        </w:rPr>
        <w:t xml:space="preserve"> </w:t>
      </w:r>
      <w:proofErr w:type="spellStart"/>
      <w:r>
        <w:rPr>
          <w:sz w:val="23"/>
          <w:szCs w:val="23"/>
        </w:rPr>
        <w:t>Aspects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Creation</w:t>
      </w:r>
      <w:proofErr w:type="spellEnd"/>
      <w:r>
        <w:rPr>
          <w:sz w:val="23"/>
          <w:szCs w:val="23"/>
        </w:rPr>
        <w:t xml:space="preserve"> and </w:t>
      </w:r>
      <w:proofErr w:type="spellStart"/>
      <w:r>
        <w:rPr>
          <w:sz w:val="23"/>
          <w:szCs w:val="23"/>
        </w:rPr>
        <w:t>Meaning</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File</w:t>
      </w:r>
      <w:proofErr w:type="spellEnd"/>
      <w:r>
        <w:rPr>
          <w:sz w:val="23"/>
          <w:szCs w:val="23"/>
        </w:rPr>
        <w:t xml:space="preserve"> </w:t>
      </w:r>
      <w:proofErr w:type="spellStart"/>
      <w:r>
        <w:rPr>
          <w:sz w:val="23"/>
          <w:szCs w:val="23"/>
        </w:rPr>
        <w:t>Orders</w:t>
      </w:r>
      <w:proofErr w:type="spellEnd"/>
      <w:r>
        <w:rPr>
          <w:sz w:val="23"/>
          <w:szCs w:val="23"/>
        </w:rPr>
        <w:t xml:space="preserve"> </w:t>
      </w:r>
      <w:proofErr w:type="spellStart"/>
      <w:r>
        <w:rPr>
          <w:sz w:val="23"/>
          <w:szCs w:val="23"/>
        </w:rPr>
        <w:t>for</w:t>
      </w:r>
      <w:proofErr w:type="spellEnd"/>
      <w:r>
        <w:rPr>
          <w:sz w:val="23"/>
          <w:szCs w:val="23"/>
        </w:rPr>
        <w:t xml:space="preserve"> </w:t>
      </w:r>
      <w:proofErr w:type="spellStart"/>
      <w:r>
        <w:rPr>
          <w:sz w:val="23"/>
          <w:szCs w:val="23"/>
        </w:rPr>
        <w:t>Both</w:t>
      </w:r>
      <w:proofErr w:type="spellEnd"/>
      <w:r>
        <w:rPr>
          <w:sz w:val="23"/>
          <w:szCs w:val="23"/>
        </w:rPr>
        <w:t xml:space="preserve"> </w:t>
      </w:r>
      <w:proofErr w:type="spellStart"/>
      <w:r>
        <w:rPr>
          <w:sz w:val="23"/>
          <w:szCs w:val="23"/>
        </w:rPr>
        <w:t>Groups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Originators</w:t>
      </w:r>
      <w:proofErr w:type="spellEnd"/>
      <w:r>
        <w:rPr>
          <w:sz w:val="23"/>
          <w:szCs w:val="23"/>
        </w:rPr>
        <w:t xml:space="preserve">” </w:t>
      </w:r>
      <w:proofErr w:type="spellStart"/>
      <w:r>
        <w:rPr>
          <w:sz w:val="23"/>
          <w:szCs w:val="23"/>
        </w:rPr>
        <w:t>analyses</w:t>
      </w:r>
      <w:proofErr w:type="spellEnd"/>
      <w:r>
        <w:rPr>
          <w:sz w:val="23"/>
          <w:szCs w:val="23"/>
        </w:rPr>
        <w:t xml:space="preserve"> </w:t>
      </w:r>
      <w:proofErr w:type="spellStart"/>
      <w:r>
        <w:rPr>
          <w:sz w:val="23"/>
          <w:szCs w:val="23"/>
        </w:rPr>
        <w:t>three</w:t>
      </w:r>
      <w:proofErr w:type="spellEnd"/>
      <w:r>
        <w:rPr>
          <w:sz w:val="23"/>
          <w:szCs w:val="23"/>
        </w:rPr>
        <w:t xml:space="preserve"> </w:t>
      </w:r>
      <w:proofErr w:type="spellStart"/>
      <w:r>
        <w:rPr>
          <w:sz w:val="23"/>
          <w:szCs w:val="23"/>
        </w:rPr>
        <w:t>file</w:t>
      </w:r>
      <w:proofErr w:type="spellEnd"/>
      <w:r>
        <w:rPr>
          <w:sz w:val="23"/>
          <w:szCs w:val="23"/>
        </w:rPr>
        <w:t xml:space="preserve"> </w:t>
      </w:r>
      <w:proofErr w:type="spellStart"/>
      <w:r>
        <w:rPr>
          <w:sz w:val="23"/>
          <w:szCs w:val="23"/>
        </w:rPr>
        <w:t>orders</w:t>
      </w:r>
      <w:proofErr w:type="spellEnd"/>
      <w:r>
        <w:rPr>
          <w:sz w:val="23"/>
          <w:szCs w:val="23"/>
        </w:rPr>
        <w:t xml:space="preserve"> </w:t>
      </w:r>
      <w:proofErr w:type="spellStart"/>
      <w:r>
        <w:rPr>
          <w:sz w:val="23"/>
          <w:szCs w:val="23"/>
        </w:rPr>
        <w:t>of</w:t>
      </w:r>
      <w:proofErr w:type="spellEnd"/>
      <w:r>
        <w:rPr>
          <w:sz w:val="23"/>
          <w:szCs w:val="23"/>
        </w:rPr>
        <w:t xml:space="preserve"> public </w:t>
      </w:r>
      <w:proofErr w:type="spellStart"/>
      <w:r>
        <w:rPr>
          <w:sz w:val="23"/>
          <w:szCs w:val="23"/>
        </w:rPr>
        <w:t>originators</w:t>
      </w:r>
      <w:proofErr w:type="spellEnd"/>
      <w:r>
        <w:rPr>
          <w:sz w:val="23"/>
          <w:szCs w:val="23"/>
        </w:rPr>
        <w:t xml:space="preserve"> and </w:t>
      </w:r>
      <w:proofErr w:type="spellStart"/>
      <w:r>
        <w:rPr>
          <w:sz w:val="23"/>
          <w:szCs w:val="23"/>
        </w:rPr>
        <w:t>three</w:t>
      </w:r>
      <w:proofErr w:type="spellEnd"/>
      <w:r>
        <w:rPr>
          <w:sz w:val="23"/>
          <w:szCs w:val="23"/>
        </w:rPr>
        <w:t xml:space="preserve"> </w:t>
      </w:r>
      <w:proofErr w:type="spellStart"/>
      <w:r>
        <w:rPr>
          <w:sz w:val="23"/>
          <w:szCs w:val="23"/>
        </w:rPr>
        <w:t>file</w:t>
      </w:r>
      <w:proofErr w:type="spellEnd"/>
      <w:r>
        <w:rPr>
          <w:sz w:val="23"/>
          <w:szCs w:val="23"/>
        </w:rPr>
        <w:t xml:space="preserve"> </w:t>
      </w:r>
      <w:proofErr w:type="spellStart"/>
      <w:r>
        <w:rPr>
          <w:sz w:val="23"/>
          <w:szCs w:val="23"/>
        </w:rPr>
        <w:t>orders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private</w:t>
      </w:r>
      <w:proofErr w:type="spellEnd"/>
      <w:r>
        <w:rPr>
          <w:sz w:val="23"/>
          <w:szCs w:val="23"/>
        </w:rPr>
        <w:t xml:space="preserve"> </w:t>
      </w:r>
      <w:proofErr w:type="spellStart"/>
      <w:r>
        <w:rPr>
          <w:sz w:val="23"/>
          <w:szCs w:val="23"/>
        </w:rPr>
        <w:t>originators</w:t>
      </w:r>
      <w:proofErr w:type="spellEnd"/>
      <w:r>
        <w:rPr>
          <w:sz w:val="23"/>
          <w:szCs w:val="23"/>
        </w:rPr>
        <w:t xml:space="preserve"> </w:t>
      </w:r>
      <w:proofErr w:type="spellStart"/>
      <w:r>
        <w:rPr>
          <w:sz w:val="23"/>
          <w:szCs w:val="23"/>
        </w:rPr>
        <w:t>based</w:t>
      </w:r>
      <w:proofErr w:type="spellEnd"/>
      <w:r>
        <w:rPr>
          <w:sz w:val="23"/>
          <w:szCs w:val="23"/>
        </w:rPr>
        <w:t xml:space="preserve"> on </w:t>
      </w:r>
      <w:proofErr w:type="spellStart"/>
      <w:r>
        <w:rPr>
          <w:sz w:val="23"/>
          <w:szCs w:val="23"/>
        </w:rPr>
        <w:t>available</w:t>
      </w:r>
      <w:proofErr w:type="spellEnd"/>
      <w:r>
        <w:rPr>
          <w:sz w:val="23"/>
          <w:szCs w:val="23"/>
        </w:rPr>
        <w:t xml:space="preserve"> </w:t>
      </w:r>
      <w:proofErr w:type="spellStart"/>
      <w:r>
        <w:rPr>
          <w:sz w:val="23"/>
          <w:szCs w:val="23"/>
        </w:rPr>
        <w:t>literature</w:t>
      </w:r>
      <w:proofErr w:type="spellEnd"/>
      <w:r>
        <w:rPr>
          <w:sz w:val="23"/>
          <w:szCs w:val="23"/>
        </w:rPr>
        <w:t xml:space="preserve"> and </w:t>
      </w:r>
      <w:proofErr w:type="spellStart"/>
      <w:r>
        <w:rPr>
          <w:sz w:val="23"/>
          <w:szCs w:val="23"/>
        </w:rPr>
        <w:t>internal</w:t>
      </w:r>
      <w:proofErr w:type="spellEnd"/>
      <w:r>
        <w:rPr>
          <w:sz w:val="23"/>
          <w:szCs w:val="23"/>
        </w:rPr>
        <w:t xml:space="preserve"> </w:t>
      </w:r>
      <w:proofErr w:type="spellStart"/>
      <w:r>
        <w:rPr>
          <w:sz w:val="23"/>
          <w:szCs w:val="23"/>
        </w:rPr>
        <w:t>sources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selected</w:t>
      </w:r>
      <w:proofErr w:type="spellEnd"/>
      <w:r>
        <w:rPr>
          <w:sz w:val="23"/>
          <w:szCs w:val="23"/>
        </w:rPr>
        <w:t xml:space="preserve"> </w:t>
      </w:r>
      <w:proofErr w:type="spellStart"/>
      <w:r>
        <w:rPr>
          <w:sz w:val="23"/>
          <w:szCs w:val="23"/>
        </w:rPr>
        <w:t>originators</w:t>
      </w:r>
      <w:proofErr w:type="spellEnd"/>
      <w:r>
        <w:rPr>
          <w:sz w:val="23"/>
          <w:szCs w:val="23"/>
        </w:rPr>
        <w:t xml:space="preserve">. </w:t>
      </w:r>
      <w:proofErr w:type="spellStart"/>
      <w:r>
        <w:rPr>
          <w:sz w:val="23"/>
          <w:szCs w:val="23"/>
        </w:rPr>
        <w:t>The</w:t>
      </w:r>
      <w:proofErr w:type="spellEnd"/>
      <w:r>
        <w:rPr>
          <w:sz w:val="23"/>
          <w:szCs w:val="23"/>
        </w:rPr>
        <w:t xml:space="preserve"> thesis </w:t>
      </w:r>
      <w:proofErr w:type="spellStart"/>
      <w:r>
        <w:rPr>
          <w:sz w:val="23"/>
          <w:szCs w:val="23"/>
        </w:rPr>
        <w:t>is</w:t>
      </w:r>
      <w:proofErr w:type="spellEnd"/>
      <w:r>
        <w:rPr>
          <w:sz w:val="23"/>
          <w:szCs w:val="23"/>
        </w:rPr>
        <w:t xml:space="preserve"> </w:t>
      </w:r>
      <w:proofErr w:type="spellStart"/>
      <w:r>
        <w:rPr>
          <w:sz w:val="23"/>
          <w:szCs w:val="23"/>
        </w:rPr>
        <w:t>focused</w:t>
      </w:r>
      <w:proofErr w:type="spellEnd"/>
      <w:r>
        <w:rPr>
          <w:sz w:val="23"/>
          <w:szCs w:val="23"/>
        </w:rPr>
        <w:t xml:space="preserve"> on </w:t>
      </w:r>
      <w:proofErr w:type="spellStart"/>
      <w:r>
        <w:rPr>
          <w:sz w:val="23"/>
          <w:szCs w:val="23"/>
        </w:rPr>
        <w:t>the</w:t>
      </w:r>
      <w:proofErr w:type="spellEnd"/>
      <w:r>
        <w:rPr>
          <w:sz w:val="23"/>
          <w:szCs w:val="23"/>
        </w:rPr>
        <w:t xml:space="preserve"> </w:t>
      </w:r>
      <w:proofErr w:type="spellStart"/>
      <w:r>
        <w:rPr>
          <w:sz w:val="23"/>
          <w:szCs w:val="23"/>
        </w:rPr>
        <w:t>meaning</w:t>
      </w:r>
      <w:proofErr w:type="spellEnd"/>
      <w:r>
        <w:rPr>
          <w:sz w:val="23"/>
          <w:szCs w:val="23"/>
        </w:rPr>
        <w:t xml:space="preserve"> and </w:t>
      </w:r>
      <w:proofErr w:type="spellStart"/>
      <w:r>
        <w:rPr>
          <w:sz w:val="23"/>
          <w:szCs w:val="23"/>
        </w:rPr>
        <w:t>specifics</w:t>
      </w:r>
      <w:proofErr w:type="spellEnd"/>
      <w:r>
        <w:rPr>
          <w:sz w:val="23"/>
          <w:szCs w:val="23"/>
        </w:rPr>
        <w:t xml:space="preserve"> </w:t>
      </w:r>
      <w:proofErr w:type="spellStart"/>
      <w:r>
        <w:rPr>
          <w:sz w:val="23"/>
          <w:szCs w:val="23"/>
        </w:rPr>
        <w:t>of</w:t>
      </w:r>
      <w:proofErr w:type="spellEnd"/>
      <w:r>
        <w:rPr>
          <w:sz w:val="23"/>
          <w:szCs w:val="23"/>
        </w:rPr>
        <w:t xml:space="preserve"> </w:t>
      </w:r>
      <w:proofErr w:type="spellStart"/>
      <w:r>
        <w:rPr>
          <w:sz w:val="23"/>
          <w:szCs w:val="23"/>
        </w:rPr>
        <w:t>creating</w:t>
      </w:r>
      <w:proofErr w:type="spellEnd"/>
      <w:r>
        <w:rPr>
          <w:sz w:val="23"/>
          <w:szCs w:val="23"/>
        </w:rPr>
        <w:t xml:space="preserve"> </w:t>
      </w:r>
      <w:proofErr w:type="spellStart"/>
      <w:r>
        <w:rPr>
          <w:sz w:val="23"/>
          <w:szCs w:val="23"/>
        </w:rPr>
        <w:t>file</w:t>
      </w:r>
      <w:proofErr w:type="spellEnd"/>
      <w:r>
        <w:rPr>
          <w:sz w:val="23"/>
          <w:szCs w:val="23"/>
        </w:rPr>
        <w:t xml:space="preserve"> </w:t>
      </w:r>
      <w:proofErr w:type="spellStart"/>
      <w:r>
        <w:rPr>
          <w:sz w:val="23"/>
          <w:szCs w:val="23"/>
        </w:rPr>
        <w:t>orders</w:t>
      </w:r>
      <w:proofErr w:type="spellEnd"/>
      <w:r>
        <w:rPr>
          <w:sz w:val="23"/>
          <w:szCs w:val="23"/>
        </w:rPr>
        <w:t xml:space="preserve"> </w:t>
      </w:r>
      <w:proofErr w:type="spellStart"/>
      <w:r>
        <w:rPr>
          <w:sz w:val="23"/>
          <w:szCs w:val="23"/>
        </w:rPr>
        <w:t>for</w:t>
      </w:r>
      <w:proofErr w:type="spellEnd"/>
      <w:r>
        <w:rPr>
          <w:sz w:val="23"/>
          <w:szCs w:val="23"/>
        </w:rPr>
        <w:t xml:space="preserve"> these </w:t>
      </w:r>
      <w:proofErr w:type="spellStart"/>
      <w:r>
        <w:rPr>
          <w:sz w:val="23"/>
          <w:szCs w:val="23"/>
        </w:rPr>
        <w:t>six</w:t>
      </w:r>
      <w:proofErr w:type="spellEnd"/>
      <w:r>
        <w:rPr>
          <w:sz w:val="23"/>
          <w:szCs w:val="23"/>
        </w:rPr>
        <w:t xml:space="preserve"> </w:t>
      </w:r>
      <w:proofErr w:type="spellStart"/>
      <w:r>
        <w:rPr>
          <w:sz w:val="23"/>
          <w:szCs w:val="23"/>
        </w:rPr>
        <w:t>originators</w:t>
      </w:r>
      <w:proofErr w:type="spellEnd"/>
      <w:r>
        <w:rPr>
          <w:sz w:val="23"/>
          <w:szCs w:val="23"/>
        </w:rPr>
        <w:t xml:space="preserve"> </w:t>
      </w:r>
      <w:proofErr w:type="spellStart"/>
      <w:r>
        <w:rPr>
          <w:sz w:val="23"/>
          <w:szCs w:val="23"/>
        </w:rPr>
        <w:t>selected</w:t>
      </w:r>
      <w:proofErr w:type="spellEnd"/>
      <w:r>
        <w:rPr>
          <w:sz w:val="23"/>
          <w:szCs w:val="23"/>
        </w:rPr>
        <w:t xml:space="preserve">. </w:t>
      </w:r>
    </w:p>
    <w:p w:rsidR="007C76DB" w:rsidRDefault="007C76DB" w:rsidP="007C76DB">
      <w:pPr>
        <w:pStyle w:val="Default"/>
        <w:rPr>
          <w:sz w:val="23"/>
          <w:szCs w:val="23"/>
        </w:rPr>
      </w:pPr>
      <w:proofErr w:type="spellStart"/>
      <w:r>
        <w:rPr>
          <w:b/>
          <w:bCs/>
          <w:sz w:val="23"/>
          <w:szCs w:val="23"/>
        </w:rPr>
        <w:t>Key</w:t>
      </w:r>
      <w:proofErr w:type="spellEnd"/>
      <w:r>
        <w:rPr>
          <w:b/>
          <w:bCs/>
          <w:sz w:val="23"/>
          <w:szCs w:val="23"/>
        </w:rPr>
        <w:t xml:space="preserve"> </w:t>
      </w:r>
      <w:proofErr w:type="spellStart"/>
      <w:r>
        <w:rPr>
          <w:b/>
          <w:bCs/>
          <w:sz w:val="23"/>
          <w:szCs w:val="23"/>
        </w:rPr>
        <w:t>words</w:t>
      </w:r>
      <w:proofErr w:type="spellEnd"/>
      <w:r>
        <w:rPr>
          <w:b/>
          <w:bCs/>
          <w:sz w:val="23"/>
          <w:szCs w:val="23"/>
        </w:rPr>
        <w:t xml:space="preserve"> </w:t>
      </w:r>
    </w:p>
    <w:p w:rsidR="007C76DB" w:rsidRDefault="007C76DB" w:rsidP="007C76DB">
      <w:pPr>
        <w:pStyle w:val="Default"/>
        <w:rPr>
          <w:sz w:val="23"/>
          <w:szCs w:val="23"/>
        </w:rPr>
      </w:pPr>
      <w:proofErr w:type="spellStart"/>
      <w:r>
        <w:rPr>
          <w:sz w:val="23"/>
          <w:szCs w:val="23"/>
        </w:rPr>
        <w:t>file</w:t>
      </w:r>
      <w:proofErr w:type="spellEnd"/>
      <w:r>
        <w:rPr>
          <w:sz w:val="23"/>
          <w:szCs w:val="23"/>
        </w:rPr>
        <w:t xml:space="preserve"> </w:t>
      </w:r>
      <w:proofErr w:type="spellStart"/>
      <w:r>
        <w:rPr>
          <w:sz w:val="23"/>
          <w:szCs w:val="23"/>
        </w:rPr>
        <w:t>service</w:t>
      </w:r>
      <w:proofErr w:type="spellEnd"/>
      <w:r>
        <w:rPr>
          <w:sz w:val="23"/>
          <w:szCs w:val="23"/>
        </w:rPr>
        <w:t xml:space="preserve">, </w:t>
      </w:r>
      <w:proofErr w:type="spellStart"/>
      <w:r>
        <w:rPr>
          <w:sz w:val="23"/>
          <w:szCs w:val="23"/>
        </w:rPr>
        <w:t>file</w:t>
      </w:r>
      <w:proofErr w:type="spellEnd"/>
      <w:r>
        <w:rPr>
          <w:sz w:val="23"/>
          <w:szCs w:val="23"/>
        </w:rPr>
        <w:t xml:space="preserve"> </w:t>
      </w:r>
      <w:proofErr w:type="spellStart"/>
      <w:r>
        <w:rPr>
          <w:sz w:val="23"/>
          <w:szCs w:val="23"/>
        </w:rPr>
        <w:t>order</w:t>
      </w:r>
      <w:proofErr w:type="spellEnd"/>
      <w:r>
        <w:rPr>
          <w:sz w:val="23"/>
          <w:szCs w:val="23"/>
        </w:rPr>
        <w:t xml:space="preserve">, </w:t>
      </w:r>
      <w:proofErr w:type="spellStart"/>
      <w:r>
        <w:rPr>
          <w:sz w:val="23"/>
          <w:szCs w:val="23"/>
        </w:rPr>
        <w:t>shredding</w:t>
      </w:r>
      <w:proofErr w:type="spellEnd"/>
      <w:r>
        <w:rPr>
          <w:sz w:val="23"/>
          <w:szCs w:val="23"/>
        </w:rPr>
        <w:t xml:space="preserve"> </w:t>
      </w:r>
      <w:proofErr w:type="spellStart"/>
      <w:r>
        <w:rPr>
          <w:sz w:val="23"/>
          <w:szCs w:val="23"/>
        </w:rPr>
        <w:t>process</w:t>
      </w:r>
      <w:proofErr w:type="spellEnd"/>
      <w:r>
        <w:rPr>
          <w:sz w:val="23"/>
          <w:szCs w:val="23"/>
        </w:rPr>
        <w:t xml:space="preserve">, registry, archive, </w:t>
      </w:r>
      <w:proofErr w:type="spellStart"/>
      <w:r>
        <w:rPr>
          <w:sz w:val="23"/>
          <w:szCs w:val="23"/>
        </w:rPr>
        <w:t>document</w:t>
      </w:r>
      <w:proofErr w:type="spellEnd"/>
      <w:r>
        <w:rPr>
          <w:sz w:val="23"/>
          <w:szCs w:val="23"/>
        </w:rPr>
        <w:t xml:space="preserve">, </w:t>
      </w:r>
      <w:proofErr w:type="spellStart"/>
      <w:r>
        <w:rPr>
          <w:sz w:val="23"/>
          <w:szCs w:val="23"/>
        </w:rPr>
        <w:t>archival</w:t>
      </w:r>
      <w:proofErr w:type="spellEnd"/>
      <w:r>
        <w:rPr>
          <w:sz w:val="23"/>
          <w:szCs w:val="23"/>
        </w:rPr>
        <w:t xml:space="preserve"> </w:t>
      </w:r>
      <w:proofErr w:type="spellStart"/>
      <w:r>
        <w:rPr>
          <w:sz w:val="23"/>
          <w:szCs w:val="23"/>
        </w:rPr>
        <w:t>documents</w:t>
      </w:r>
      <w:proofErr w:type="spellEnd"/>
      <w:r>
        <w:rPr>
          <w:sz w:val="23"/>
          <w:szCs w:val="23"/>
        </w:rPr>
        <w:t xml:space="preserve">, </w:t>
      </w:r>
      <w:proofErr w:type="spellStart"/>
      <w:r>
        <w:rPr>
          <w:sz w:val="23"/>
          <w:szCs w:val="23"/>
        </w:rPr>
        <w:t>originator</w:t>
      </w:r>
      <w:proofErr w:type="spellEnd"/>
      <w:r>
        <w:rPr>
          <w:sz w:val="23"/>
          <w:szCs w:val="23"/>
        </w:rPr>
        <w:t xml:space="preserve"> </w:t>
      </w:r>
    </w:p>
    <w:p w:rsidR="007C76DB" w:rsidRDefault="007C76DB" w:rsidP="007C76DB">
      <w:pPr>
        <w:pStyle w:val="Default"/>
        <w:pageBreakBefore/>
        <w:rPr>
          <w:sz w:val="32"/>
          <w:szCs w:val="32"/>
        </w:rPr>
      </w:pPr>
      <w:r>
        <w:rPr>
          <w:sz w:val="32"/>
          <w:szCs w:val="32"/>
        </w:rPr>
        <w:lastRenderedPageBreak/>
        <w:t xml:space="preserve">Obsah </w:t>
      </w:r>
    </w:p>
    <w:p w:rsidR="007C76DB" w:rsidRDefault="007C76DB" w:rsidP="007C76DB">
      <w:pPr>
        <w:pStyle w:val="Default"/>
        <w:rPr>
          <w:sz w:val="22"/>
          <w:szCs w:val="22"/>
        </w:rPr>
      </w:pPr>
      <w:r>
        <w:rPr>
          <w:sz w:val="22"/>
          <w:szCs w:val="22"/>
        </w:rPr>
        <w:t xml:space="preserve">Úvod ........................................................................................................................................................ 9 </w:t>
      </w:r>
    </w:p>
    <w:p w:rsidR="007C76DB" w:rsidRDefault="007C76DB" w:rsidP="007C76DB">
      <w:pPr>
        <w:pStyle w:val="Default"/>
        <w:rPr>
          <w:sz w:val="22"/>
          <w:szCs w:val="22"/>
        </w:rPr>
      </w:pPr>
      <w:r>
        <w:rPr>
          <w:sz w:val="22"/>
          <w:szCs w:val="22"/>
        </w:rPr>
        <w:t xml:space="preserve">1. Charakteristika základních pojmů týkajících se tématu ................................................................ 12 </w:t>
      </w:r>
    </w:p>
    <w:p w:rsidR="007C76DB" w:rsidRDefault="007C76DB" w:rsidP="007C76DB">
      <w:pPr>
        <w:pStyle w:val="Default"/>
        <w:rPr>
          <w:sz w:val="22"/>
          <w:szCs w:val="22"/>
        </w:rPr>
      </w:pPr>
      <w:r>
        <w:rPr>
          <w:sz w:val="22"/>
          <w:szCs w:val="22"/>
        </w:rPr>
        <w:t xml:space="preserve">2. Historie spisové služby .................................................................................................................. 25 </w:t>
      </w:r>
    </w:p>
    <w:p w:rsidR="007C76DB" w:rsidRDefault="007C76DB" w:rsidP="007C76DB">
      <w:pPr>
        <w:pStyle w:val="Default"/>
        <w:rPr>
          <w:sz w:val="22"/>
          <w:szCs w:val="22"/>
        </w:rPr>
      </w:pPr>
      <w:r>
        <w:rPr>
          <w:sz w:val="22"/>
          <w:szCs w:val="22"/>
        </w:rPr>
        <w:t xml:space="preserve">2.1. Etapy spisové služby ............................................................................................................. 25 </w:t>
      </w:r>
    </w:p>
    <w:p w:rsidR="007C76DB" w:rsidRDefault="007C76DB" w:rsidP="007C76DB">
      <w:pPr>
        <w:pStyle w:val="Default"/>
        <w:rPr>
          <w:sz w:val="22"/>
          <w:szCs w:val="22"/>
        </w:rPr>
      </w:pPr>
      <w:r>
        <w:rPr>
          <w:sz w:val="22"/>
          <w:szCs w:val="22"/>
        </w:rPr>
        <w:t xml:space="preserve">2.2. Vznik a tvorba spisu v minulosti ........................................................................................... 30 </w:t>
      </w:r>
    </w:p>
    <w:p w:rsidR="007C76DB" w:rsidRDefault="007C76DB" w:rsidP="007C76DB">
      <w:pPr>
        <w:pStyle w:val="Default"/>
        <w:rPr>
          <w:sz w:val="22"/>
          <w:szCs w:val="22"/>
        </w:rPr>
      </w:pPr>
      <w:r>
        <w:rPr>
          <w:sz w:val="22"/>
          <w:szCs w:val="22"/>
        </w:rPr>
        <w:t xml:space="preserve">2.3. Skartační řízení v minulosti ................................................................................................... 30 </w:t>
      </w:r>
    </w:p>
    <w:p w:rsidR="007C76DB" w:rsidRDefault="007C76DB" w:rsidP="007C76DB">
      <w:pPr>
        <w:pStyle w:val="Default"/>
        <w:rPr>
          <w:sz w:val="22"/>
          <w:szCs w:val="22"/>
        </w:rPr>
      </w:pPr>
      <w:r>
        <w:rPr>
          <w:sz w:val="22"/>
          <w:szCs w:val="22"/>
        </w:rPr>
        <w:t xml:space="preserve">3. Veřejnoprávní původci .................................................................................................................. 32 </w:t>
      </w:r>
    </w:p>
    <w:p w:rsidR="007C76DB" w:rsidRDefault="007C76DB" w:rsidP="007C76DB">
      <w:pPr>
        <w:pStyle w:val="Default"/>
        <w:rPr>
          <w:sz w:val="22"/>
          <w:szCs w:val="22"/>
        </w:rPr>
      </w:pPr>
      <w:r>
        <w:rPr>
          <w:sz w:val="22"/>
          <w:szCs w:val="22"/>
        </w:rPr>
        <w:t xml:space="preserve">3.1. Univerzita Pardubice ............................................................................................................. 32 </w:t>
      </w:r>
    </w:p>
    <w:p w:rsidR="007C76DB" w:rsidRDefault="007C76DB" w:rsidP="007C76DB">
      <w:pPr>
        <w:pStyle w:val="Default"/>
        <w:rPr>
          <w:sz w:val="22"/>
          <w:szCs w:val="22"/>
        </w:rPr>
      </w:pPr>
      <w:r>
        <w:rPr>
          <w:sz w:val="22"/>
          <w:szCs w:val="22"/>
        </w:rPr>
        <w:t xml:space="preserve">3.1.1. Rozbor spisového řádu Univerzity Pardubice ............................................................... 34 </w:t>
      </w:r>
    </w:p>
    <w:p w:rsidR="007C76DB" w:rsidRDefault="007C76DB" w:rsidP="007C76DB">
      <w:pPr>
        <w:pStyle w:val="Default"/>
        <w:rPr>
          <w:sz w:val="22"/>
          <w:szCs w:val="22"/>
        </w:rPr>
      </w:pPr>
      <w:r>
        <w:rPr>
          <w:sz w:val="22"/>
          <w:szCs w:val="22"/>
        </w:rPr>
        <w:t xml:space="preserve">3.1.2. Shrnutí Spisového řádu Univerzity Pardubice ............................................................... 42 </w:t>
      </w:r>
    </w:p>
    <w:p w:rsidR="007C76DB" w:rsidRDefault="007C76DB" w:rsidP="007C76DB">
      <w:pPr>
        <w:pStyle w:val="Default"/>
        <w:rPr>
          <w:sz w:val="22"/>
          <w:szCs w:val="22"/>
        </w:rPr>
      </w:pPr>
      <w:r>
        <w:rPr>
          <w:sz w:val="22"/>
          <w:szCs w:val="22"/>
        </w:rPr>
        <w:t xml:space="preserve">3.2. Krajský úřad Pardubice ......................................................................................................... 43 </w:t>
      </w:r>
    </w:p>
    <w:p w:rsidR="007C76DB" w:rsidRDefault="007C76DB" w:rsidP="007C76DB">
      <w:pPr>
        <w:pStyle w:val="Default"/>
        <w:rPr>
          <w:sz w:val="22"/>
          <w:szCs w:val="22"/>
        </w:rPr>
      </w:pPr>
      <w:r>
        <w:rPr>
          <w:sz w:val="22"/>
          <w:szCs w:val="22"/>
        </w:rPr>
        <w:t xml:space="preserve">3.2.1. Rozbor spisového řádu Krajského úřadu Pardubice ...................................................... 44 </w:t>
      </w:r>
    </w:p>
    <w:p w:rsidR="007C76DB" w:rsidRDefault="007C76DB" w:rsidP="007C76DB">
      <w:pPr>
        <w:pStyle w:val="Default"/>
        <w:rPr>
          <w:sz w:val="22"/>
          <w:szCs w:val="22"/>
        </w:rPr>
      </w:pPr>
      <w:r>
        <w:rPr>
          <w:sz w:val="22"/>
          <w:szCs w:val="22"/>
        </w:rPr>
        <w:t xml:space="preserve">3.2.2. Shrnutí Spisového řádu Krajského úřadu Pardubice ..................................................... 50 </w:t>
      </w:r>
    </w:p>
    <w:p w:rsidR="007C76DB" w:rsidRDefault="007C76DB" w:rsidP="007C76DB">
      <w:pPr>
        <w:pStyle w:val="Default"/>
        <w:rPr>
          <w:sz w:val="22"/>
          <w:szCs w:val="22"/>
        </w:rPr>
      </w:pPr>
      <w:r>
        <w:rPr>
          <w:sz w:val="22"/>
          <w:szCs w:val="22"/>
        </w:rPr>
        <w:t xml:space="preserve">3.3. Nemocnice Třebíč ................................................................................................................. 51 </w:t>
      </w:r>
    </w:p>
    <w:p w:rsidR="007C76DB" w:rsidRDefault="007C76DB" w:rsidP="007C76DB">
      <w:pPr>
        <w:pStyle w:val="Default"/>
        <w:rPr>
          <w:sz w:val="22"/>
          <w:szCs w:val="22"/>
        </w:rPr>
      </w:pPr>
      <w:r>
        <w:rPr>
          <w:sz w:val="22"/>
          <w:szCs w:val="22"/>
        </w:rPr>
        <w:t xml:space="preserve">3.3.1. Rozbor spisového řádu Nemocnice Třebíč .................................................................... 52 </w:t>
      </w:r>
    </w:p>
    <w:p w:rsidR="007C76DB" w:rsidRDefault="007C76DB" w:rsidP="007C76DB">
      <w:pPr>
        <w:pStyle w:val="Default"/>
        <w:rPr>
          <w:sz w:val="22"/>
          <w:szCs w:val="22"/>
        </w:rPr>
      </w:pPr>
      <w:r>
        <w:rPr>
          <w:sz w:val="22"/>
          <w:szCs w:val="22"/>
        </w:rPr>
        <w:t xml:space="preserve">3.3.2. Shrnutí Spisového řádu Nemocnice Třebíč ................................................................... 57 </w:t>
      </w:r>
    </w:p>
    <w:p w:rsidR="007C76DB" w:rsidRDefault="007C76DB" w:rsidP="007C76DB">
      <w:pPr>
        <w:pStyle w:val="Default"/>
        <w:rPr>
          <w:sz w:val="22"/>
          <w:szCs w:val="22"/>
        </w:rPr>
      </w:pPr>
      <w:r>
        <w:rPr>
          <w:sz w:val="22"/>
          <w:szCs w:val="22"/>
        </w:rPr>
        <w:t xml:space="preserve">4. Soukromoprávní původci .............................................................................................................. 58 </w:t>
      </w:r>
    </w:p>
    <w:p w:rsidR="007C76DB" w:rsidRDefault="007C76DB" w:rsidP="007C76DB">
      <w:pPr>
        <w:pStyle w:val="Default"/>
        <w:rPr>
          <w:sz w:val="22"/>
          <w:szCs w:val="22"/>
        </w:rPr>
      </w:pPr>
      <w:r>
        <w:rPr>
          <w:sz w:val="22"/>
          <w:szCs w:val="22"/>
        </w:rPr>
        <w:t xml:space="preserve">4.1. Fotbalová asociace České republiky – „FAČR“ .................................................................... 58 </w:t>
      </w:r>
    </w:p>
    <w:p w:rsidR="007C76DB" w:rsidRDefault="007C76DB" w:rsidP="007C76DB">
      <w:pPr>
        <w:pStyle w:val="Default"/>
        <w:rPr>
          <w:sz w:val="22"/>
          <w:szCs w:val="22"/>
        </w:rPr>
      </w:pPr>
      <w:r>
        <w:rPr>
          <w:sz w:val="22"/>
          <w:szCs w:val="22"/>
        </w:rPr>
        <w:t xml:space="preserve">4.1.1. Rozbor spisového řádu FAČR ....................................................................................... 59 </w:t>
      </w:r>
    </w:p>
    <w:p w:rsidR="007C76DB" w:rsidRDefault="007C76DB" w:rsidP="007C76DB">
      <w:pPr>
        <w:pStyle w:val="Default"/>
        <w:rPr>
          <w:sz w:val="22"/>
          <w:szCs w:val="22"/>
        </w:rPr>
      </w:pPr>
      <w:r>
        <w:rPr>
          <w:sz w:val="22"/>
          <w:szCs w:val="22"/>
        </w:rPr>
        <w:t xml:space="preserve">4.1.2. Shrnutí Spisového řádu FAČR ...................................................................................... 61 </w:t>
      </w:r>
    </w:p>
    <w:p w:rsidR="007C76DB" w:rsidRDefault="007C76DB" w:rsidP="007C76DB">
      <w:pPr>
        <w:pStyle w:val="Default"/>
        <w:rPr>
          <w:sz w:val="22"/>
          <w:szCs w:val="22"/>
        </w:rPr>
      </w:pPr>
      <w:r>
        <w:rPr>
          <w:sz w:val="22"/>
          <w:szCs w:val="22"/>
        </w:rPr>
        <w:t xml:space="preserve">4.2. E. ON ..................................................................................................................................... 62 </w:t>
      </w:r>
    </w:p>
    <w:p w:rsidR="007C76DB" w:rsidRDefault="007C76DB" w:rsidP="007C76DB">
      <w:pPr>
        <w:pStyle w:val="Default"/>
        <w:rPr>
          <w:sz w:val="22"/>
          <w:szCs w:val="22"/>
        </w:rPr>
      </w:pPr>
      <w:r>
        <w:rPr>
          <w:sz w:val="22"/>
          <w:szCs w:val="22"/>
        </w:rPr>
        <w:t xml:space="preserve">4.2.1. Rozbor Spisového řádu E. ON Trend (ETRE) .............................................................. 63 </w:t>
      </w:r>
    </w:p>
    <w:p w:rsidR="007C76DB" w:rsidRDefault="007C76DB" w:rsidP="007C76DB">
      <w:pPr>
        <w:pStyle w:val="Default"/>
        <w:rPr>
          <w:sz w:val="22"/>
          <w:szCs w:val="22"/>
        </w:rPr>
      </w:pPr>
      <w:r>
        <w:rPr>
          <w:sz w:val="22"/>
          <w:szCs w:val="22"/>
        </w:rPr>
        <w:t xml:space="preserve">4.2.2. Shrnutí Spisového řádu E. ON Trend ............................................................................ 66 </w:t>
      </w:r>
    </w:p>
    <w:p w:rsidR="007C76DB" w:rsidRDefault="007C76DB" w:rsidP="007C76DB">
      <w:pPr>
        <w:pStyle w:val="Default"/>
        <w:rPr>
          <w:sz w:val="22"/>
          <w:szCs w:val="22"/>
        </w:rPr>
      </w:pPr>
      <w:r>
        <w:rPr>
          <w:sz w:val="22"/>
          <w:szCs w:val="22"/>
        </w:rPr>
        <w:t xml:space="preserve">4.3. Diakonie ČCE – středisko v Myslibořicích ........................................................................... 67 </w:t>
      </w:r>
    </w:p>
    <w:p w:rsidR="007C76DB" w:rsidRDefault="007C76DB" w:rsidP="007C76DB">
      <w:pPr>
        <w:pStyle w:val="Default"/>
        <w:rPr>
          <w:sz w:val="22"/>
          <w:szCs w:val="22"/>
        </w:rPr>
      </w:pPr>
      <w:r>
        <w:rPr>
          <w:sz w:val="22"/>
          <w:szCs w:val="22"/>
        </w:rPr>
        <w:t xml:space="preserve">4.3.1. Rozbor spisového řádu Diakonie Českobratrské církve evangelické – středisko v Myslibořicích .............................................................................................................................. 68 </w:t>
      </w:r>
    </w:p>
    <w:p w:rsidR="007C76DB" w:rsidRDefault="007C76DB" w:rsidP="007C76DB">
      <w:pPr>
        <w:pStyle w:val="Default"/>
        <w:rPr>
          <w:sz w:val="22"/>
          <w:szCs w:val="22"/>
        </w:rPr>
      </w:pPr>
      <w:r>
        <w:rPr>
          <w:sz w:val="22"/>
          <w:szCs w:val="22"/>
        </w:rPr>
        <w:t xml:space="preserve">4.3.2. Shrnutí Spisového řádu Diakonie ČCE střediska v Myslibořicích ................................ 74 </w:t>
      </w:r>
    </w:p>
    <w:p w:rsidR="007C76DB" w:rsidRDefault="007C76DB" w:rsidP="007C76DB">
      <w:pPr>
        <w:pStyle w:val="Default"/>
        <w:rPr>
          <w:sz w:val="22"/>
          <w:szCs w:val="22"/>
        </w:rPr>
      </w:pPr>
      <w:r>
        <w:rPr>
          <w:sz w:val="22"/>
          <w:szCs w:val="22"/>
        </w:rPr>
        <w:t xml:space="preserve">Závěr ...................................................................................................................................................... 76 </w:t>
      </w:r>
    </w:p>
    <w:p w:rsidR="007C76DB" w:rsidRDefault="007C76DB" w:rsidP="007C76DB">
      <w:pPr>
        <w:pStyle w:val="Default"/>
        <w:rPr>
          <w:sz w:val="22"/>
          <w:szCs w:val="22"/>
        </w:rPr>
      </w:pPr>
      <w:proofErr w:type="spellStart"/>
      <w:r>
        <w:rPr>
          <w:sz w:val="22"/>
          <w:szCs w:val="22"/>
        </w:rPr>
        <w:t>Summary</w:t>
      </w:r>
      <w:proofErr w:type="spellEnd"/>
      <w:r>
        <w:rPr>
          <w:sz w:val="22"/>
          <w:szCs w:val="22"/>
        </w:rPr>
        <w:t xml:space="preserve"> ............................................................................................................................................... 78 </w:t>
      </w:r>
    </w:p>
    <w:p w:rsidR="007C76DB" w:rsidRDefault="007C76DB" w:rsidP="007C76DB">
      <w:pPr>
        <w:pStyle w:val="Default"/>
        <w:rPr>
          <w:rFonts w:ascii="Calibri" w:hAnsi="Calibri" w:cs="Calibri"/>
          <w:sz w:val="22"/>
          <w:szCs w:val="22"/>
        </w:rPr>
      </w:pPr>
      <w:r>
        <w:rPr>
          <w:sz w:val="22"/>
          <w:szCs w:val="22"/>
        </w:rPr>
        <w:t xml:space="preserve">Seznam použitých zdrojů ...................................................................................................................... 79 </w:t>
      </w:r>
      <w:r>
        <w:rPr>
          <w:rFonts w:ascii="Calibri" w:hAnsi="Calibri" w:cs="Calibri"/>
          <w:sz w:val="22"/>
          <w:szCs w:val="22"/>
        </w:rPr>
        <w:t xml:space="preserve">9 </w:t>
      </w:r>
    </w:p>
    <w:p w:rsidR="007C76DB" w:rsidRDefault="007C76DB" w:rsidP="007C76DB">
      <w:pPr>
        <w:pStyle w:val="Default"/>
        <w:rPr>
          <w:color w:val="auto"/>
        </w:rPr>
      </w:pPr>
    </w:p>
    <w:p w:rsidR="007C76DB" w:rsidRDefault="007C76DB" w:rsidP="007C76DB">
      <w:pPr>
        <w:pStyle w:val="Default"/>
        <w:pageBreakBefore/>
        <w:rPr>
          <w:color w:val="auto"/>
          <w:sz w:val="36"/>
          <w:szCs w:val="36"/>
        </w:rPr>
      </w:pPr>
      <w:r>
        <w:rPr>
          <w:b/>
          <w:bCs/>
          <w:color w:val="auto"/>
          <w:sz w:val="36"/>
          <w:szCs w:val="36"/>
        </w:rPr>
        <w:lastRenderedPageBreak/>
        <w:t xml:space="preserve">Úvod </w:t>
      </w:r>
    </w:p>
    <w:p w:rsidR="007C76DB" w:rsidRDefault="007C76DB" w:rsidP="007C76DB">
      <w:pPr>
        <w:pStyle w:val="Default"/>
        <w:rPr>
          <w:color w:val="auto"/>
          <w:sz w:val="23"/>
          <w:szCs w:val="23"/>
        </w:rPr>
      </w:pPr>
      <w:r>
        <w:rPr>
          <w:color w:val="auto"/>
          <w:sz w:val="23"/>
          <w:szCs w:val="23"/>
        </w:rPr>
        <w:t xml:space="preserve">Tato bakalářská práce nese název Teoretické a praktické aspekty tvorby a významu spisových řádů u obou skupin původců. </w:t>
      </w:r>
    </w:p>
    <w:p w:rsidR="007C76DB" w:rsidRDefault="007C76DB" w:rsidP="007C76DB">
      <w:pPr>
        <w:pStyle w:val="Default"/>
        <w:rPr>
          <w:color w:val="auto"/>
          <w:sz w:val="23"/>
          <w:szCs w:val="23"/>
        </w:rPr>
      </w:pPr>
      <w:r>
        <w:rPr>
          <w:color w:val="auto"/>
          <w:sz w:val="23"/>
          <w:szCs w:val="23"/>
        </w:rPr>
        <w:t xml:space="preserve">V první části této práce dojde k upřesnění významu pojmů bezprostředně se týkajících tématu, bude zde vysvětleno, co znamená spisová služba, spisový řád, spisový a skartační plán, skartační lhůta či spisovna a archiv nebo dokument, archiválie, původce. Tyto základní pojmy jsou důležité pro uchopení podstaty práce. </w:t>
      </w:r>
    </w:p>
    <w:p w:rsidR="007C76DB" w:rsidRDefault="007C76DB" w:rsidP="007C76DB">
      <w:pPr>
        <w:pStyle w:val="Default"/>
        <w:rPr>
          <w:color w:val="auto"/>
          <w:sz w:val="23"/>
          <w:szCs w:val="23"/>
        </w:rPr>
      </w:pPr>
      <w:r>
        <w:rPr>
          <w:color w:val="auto"/>
          <w:sz w:val="23"/>
          <w:szCs w:val="23"/>
        </w:rPr>
        <w:t xml:space="preserve">Vzhledem k tomu, že se práce primárně zabývá spisovými řády, což je součást výkonu spisové služby, zaměřím se také na výkon spisové služby v minulosti a na její historický vývoj rozvrstvený několika významnými mezníky do etap. Vývoj spisové služby od jejích počátků až do současnosti pomůže pochopit její význam a poslání. Právě posláním spisové služby a následně i spisových řádů by vždy měla být snaha o rychlou, efektivní a pořádnou manipulaci s úředními dokumenty. </w:t>
      </w:r>
    </w:p>
    <w:p w:rsidR="007C76DB" w:rsidRDefault="007C76DB" w:rsidP="007C76DB">
      <w:pPr>
        <w:pStyle w:val="Default"/>
        <w:rPr>
          <w:color w:val="auto"/>
          <w:sz w:val="23"/>
          <w:szCs w:val="23"/>
        </w:rPr>
      </w:pPr>
      <w:r>
        <w:rPr>
          <w:color w:val="auto"/>
          <w:sz w:val="23"/>
          <w:szCs w:val="23"/>
        </w:rPr>
        <w:t xml:space="preserve">Spisové řády tvoří pravidla pro péči o dokumenty, a je důležité, aby v nich byly podchyceny všechny momenty, v nichž se může dokument nebo spis, popř. pracovník spisové služby ocitnout, aby bylo jasné, jak v dané situaci postupovat. Čím přesněji a podrobněji je spisový řád utvořen, tím se zvyšuje naděje, že spisová služba bude prováděna efektivněji, rychleji a hospodárně. </w:t>
      </w:r>
    </w:p>
    <w:p w:rsidR="007C76DB" w:rsidRDefault="007C76DB" w:rsidP="007C76DB">
      <w:pPr>
        <w:pStyle w:val="Default"/>
        <w:rPr>
          <w:color w:val="auto"/>
          <w:sz w:val="16"/>
          <w:szCs w:val="16"/>
        </w:rPr>
      </w:pPr>
      <w:r>
        <w:rPr>
          <w:color w:val="auto"/>
          <w:sz w:val="23"/>
          <w:szCs w:val="23"/>
        </w:rPr>
        <w:t>V praktické části se práce bude věnovat analýze šesti spisových řádu. Tří od veřejnoprávních původců, tří od soukromoprávních původců. Základním rozdílem mezi nimi je, že veřejnoprávní původci musí vést spisovou službu a tím pádem i spisový řád, ale soukromoprávní původci tuto povinnost nemají, ti musí ze zákona pouze uchovávat některé dokumenty a umožnit z nich výběr.</w:t>
      </w:r>
      <w:r>
        <w:rPr>
          <w:color w:val="auto"/>
          <w:sz w:val="16"/>
          <w:szCs w:val="16"/>
        </w:rPr>
        <w:t xml:space="preserve">1 </w:t>
      </w:r>
    </w:p>
    <w:p w:rsidR="007C76DB" w:rsidRDefault="007C76DB" w:rsidP="007C76DB">
      <w:pPr>
        <w:pStyle w:val="Default"/>
        <w:rPr>
          <w:color w:val="auto"/>
          <w:sz w:val="16"/>
          <w:szCs w:val="16"/>
        </w:rPr>
      </w:pPr>
      <w:r>
        <w:rPr>
          <w:sz w:val="13"/>
          <w:szCs w:val="13"/>
        </w:rPr>
        <w:t xml:space="preserve">1 </w:t>
      </w:r>
      <w:r>
        <w:rPr>
          <w:sz w:val="20"/>
          <w:szCs w:val="20"/>
        </w:rPr>
        <w:t xml:space="preserve">Zákon č. 499/2004 Sb., o archivnictví a spisové službě a o změně některých zákonů. </w:t>
      </w:r>
    </w:p>
    <w:p w:rsidR="007C76DB" w:rsidRDefault="007C76DB" w:rsidP="007C76DB">
      <w:pPr>
        <w:pStyle w:val="Default"/>
        <w:rPr>
          <w:color w:val="auto"/>
          <w:sz w:val="23"/>
          <w:szCs w:val="23"/>
        </w:rPr>
      </w:pPr>
      <w:r>
        <w:rPr>
          <w:color w:val="auto"/>
          <w:sz w:val="23"/>
          <w:szCs w:val="23"/>
        </w:rPr>
        <w:t xml:space="preserve">Výběr příkladových původců pro tuto práci proběhl náhodně, pouze se zaměřil na to, aby daní původci neměli vyloženě totožnou agendu, nesoustředil se ani na určité území v České republice. </w:t>
      </w:r>
    </w:p>
    <w:p w:rsidR="007C76DB" w:rsidRDefault="007C76DB" w:rsidP="007C76DB">
      <w:pPr>
        <w:pStyle w:val="Default"/>
        <w:rPr>
          <w:rFonts w:ascii="Calibri" w:hAnsi="Calibri" w:cs="Calibri"/>
          <w:color w:val="auto"/>
          <w:sz w:val="22"/>
          <w:szCs w:val="22"/>
        </w:rPr>
      </w:pPr>
      <w:r>
        <w:rPr>
          <w:color w:val="auto"/>
          <w:sz w:val="23"/>
          <w:szCs w:val="23"/>
        </w:rPr>
        <w:t xml:space="preserve">Do kategorie veřejnoprávních původců byli vybráni původci: Univerzita Pardubice, Krajský úřad Pardubice a Nemocnice Třebíč a za soukromoprávní původce byli vybráni: Fotbalová asociace České republiky „FAČR“, E. ON Trend a Diakonie ČCE – středisko v Myslibořicích. Všem původcům práce věnuje krátký medailonek, v němž je u každé instituce stručně popsáno, čím se zabývá, co patří do jejích kompetencí, popřípadě její historie a specifika provozu. </w:t>
      </w:r>
      <w:r>
        <w:rPr>
          <w:rFonts w:ascii="Calibri" w:hAnsi="Calibri" w:cs="Calibri"/>
          <w:color w:val="auto"/>
          <w:sz w:val="22"/>
          <w:szCs w:val="22"/>
        </w:rPr>
        <w:t xml:space="preserve">10 </w:t>
      </w:r>
    </w:p>
    <w:p w:rsidR="007C76DB" w:rsidRDefault="007C76DB" w:rsidP="007C76DB">
      <w:pPr>
        <w:pStyle w:val="Default"/>
        <w:rPr>
          <w:color w:val="auto"/>
        </w:rPr>
      </w:pPr>
    </w:p>
    <w:p w:rsidR="007C76DB" w:rsidRDefault="007C76DB" w:rsidP="007C76DB">
      <w:pPr>
        <w:pStyle w:val="Default"/>
        <w:pageBreakBefore/>
        <w:rPr>
          <w:color w:val="auto"/>
          <w:sz w:val="23"/>
          <w:szCs w:val="23"/>
        </w:rPr>
      </w:pPr>
      <w:r>
        <w:rPr>
          <w:color w:val="auto"/>
          <w:sz w:val="23"/>
          <w:szCs w:val="23"/>
        </w:rPr>
        <w:lastRenderedPageBreak/>
        <w:t xml:space="preserve">Po medailoncích vždy následuje rozbor a zhodnocení jednotlivých spisových řádů, což je vlastně hlavním předmětem této práce. V těchto rozborech je uvedeno členění a analýza spisového řádu, pokud má řád v příloze spisový a skartační plán, je v této práci pro ukázku uveden i výňatek z něho. Za každým rozborem následuje shrnutí obsahu spisového řádu, v němž je krátké zhodnocení. Tato praktická část je podložena interními dokumenty jednotlivých vybraných původců. </w:t>
      </w:r>
    </w:p>
    <w:p w:rsidR="007C76DB" w:rsidRDefault="007C76DB" w:rsidP="007C76DB">
      <w:pPr>
        <w:pStyle w:val="Default"/>
        <w:rPr>
          <w:color w:val="auto"/>
          <w:sz w:val="16"/>
          <w:szCs w:val="16"/>
        </w:rPr>
      </w:pPr>
      <w:r>
        <w:rPr>
          <w:color w:val="auto"/>
          <w:sz w:val="23"/>
          <w:szCs w:val="23"/>
        </w:rPr>
        <w:t xml:space="preserve">Pro teoretickou část bylo základním zdrojem úplné znění zákona č. 499/2004 Sb. o archivnictví a spisové službě a o změně některých zákonů, který vymezuje základní pojmy týkající se archivnictví a spisové služby. Jsou zde uvedeny náležitosti spisové služby, vysvětleno skartační řízení a další související pojmy. </w:t>
      </w:r>
      <w:r>
        <w:rPr>
          <w:color w:val="auto"/>
          <w:sz w:val="16"/>
          <w:szCs w:val="16"/>
        </w:rPr>
        <w:t xml:space="preserve">2 </w:t>
      </w:r>
    </w:p>
    <w:p w:rsidR="007C76DB" w:rsidRDefault="007C76DB" w:rsidP="007C76DB">
      <w:pPr>
        <w:pStyle w:val="Default"/>
        <w:rPr>
          <w:rFonts w:ascii="Calibri" w:hAnsi="Calibri" w:cs="Calibri"/>
          <w:sz w:val="13"/>
          <w:szCs w:val="13"/>
        </w:rPr>
      </w:pPr>
      <w:r>
        <w:rPr>
          <w:rFonts w:ascii="Calibri" w:hAnsi="Calibri" w:cs="Calibri"/>
          <w:sz w:val="13"/>
          <w:szCs w:val="13"/>
        </w:rPr>
        <w:t xml:space="preserve">2 Zákon č. 499/2004 Sb., o archivnictví a spisové službě a o změně některých zákonů. </w:t>
      </w:r>
    </w:p>
    <w:p w:rsidR="007C76DB" w:rsidRDefault="007C76DB" w:rsidP="007C76DB">
      <w:pPr>
        <w:pStyle w:val="Default"/>
        <w:rPr>
          <w:sz w:val="13"/>
          <w:szCs w:val="13"/>
        </w:rPr>
      </w:pPr>
      <w:r>
        <w:rPr>
          <w:sz w:val="13"/>
          <w:szCs w:val="13"/>
        </w:rPr>
        <w:t xml:space="preserve">3 Vyhláška č. 259/2012 Sb., o podrobnostech výkonu spisové služby. Zákon i vyhláška byly novelizovány, účinnosti novelizace nabyla 1. 1. 2015. </w:t>
      </w:r>
    </w:p>
    <w:p w:rsidR="007C76DB" w:rsidRDefault="007C76DB" w:rsidP="007C76DB">
      <w:pPr>
        <w:pStyle w:val="Default"/>
        <w:rPr>
          <w:color w:val="auto"/>
          <w:sz w:val="16"/>
          <w:szCs w:val="16"/>
        </w:rPr>
      </w:pPr>
      <w:r>
        <w:rPr>
          <w:rFonts w:ascii="Calibri" w:hAnsi="Calibri" w:cs="Calibri"/>
          <w:sz w:val="13"/>
          <w:szCs w:val="13"/>
        </w:rPr>
        <w:t xml:space="preserve">4 </w:t>
      </w:r>
      <w:r>
        <w:rPr>
          <w:sz w:val="20"/>
          <w:szCs w:val="20"/>
        </w:rPr>
        <w:t xml:space="preserve">BROM, Bohumír. </w:t>
      </w:r>
      <w:r>
        <w:rPr>
          <w:i/>
          <w:iCs/>
          <w:sz w:val="20"/>
          <w:szCs w:val="20"/>
        </w:rPr>
        <w:t>Spisová a archivní služba ve veřejném a soukromém sektoru: Praktická příručka pro správu dokumentů</w:t>
      </w:r>
      <w:r>
        <w:rPr>
          <w:sz w:val="20"/>
          <w:szCs w:val="20"/>
        </w:rPr>
        <w:t xml:space="preserve">. Praha: Linde, 2013. ISBN: 978-80-7201-913-7. </w:t>
      </w:r>
    </w:p>
    <w:p w:rsidR="007C76DB" w:rsidRDefault="007C76DB" w:rsidP="007C76DB">
      <w:pPr>
        <w:pStyle w:val="Default"/>
        <w:rPr>
          <w:color w:val="auto"/>
          <w:sz w:val="23"/>
          <w:szCs w:val="23"/>
        </w:rPr>
      </w:pPr>
      <w:r>
        <w:rPr>
          <w:color w:val="auto"/>
          <w:sz w:val="23"/>
          <w:szCs w:val="23"/>
        </w:rPr>
        <w:t xml:space="preserve">Neméně důležitou je vyhláška 259/2012 Sb. o podrobnostech výkonu spisové služby. Stanovuje podrobnosti výkonu spisové služby veřejnoprávními původci. Upravuje příjem dokumentů, označování dokumentů, evidenci dokumentů, číslo jednací a evidenční číslo ze samostatné evidence dokumentů, tvorbu spisu, rozdělování a oběh dokumentů, vyřizování dokumentů a spisů, podepisování dokumentů a užívání úředních razítek, odesílání dokumentů, ukládání dokumentů, postup při vyřazování dokumentů a podrobnosti skartačního řízení, spisovou rozluku, výstupní datové formáty dokumentů v digitální podobě, údaje týkající se převedení nebo změny datového formátu dokumentu, jmenný rejstřík a vedení spisové služby v mimořádných situacích.3 </w:t>
      </w:r>
    </w:p>
    <w:p w:rsidR="007C76DB" w:rsidRDefault="007C76DB" w:rsidP="007C76DB">
      <w:pPr>
        <w:pStyle w:val="Default"/>
        <w:rPr>
          <w:color w:val="auto"/>
          <w:sz w:val="16"/>
          <w:szCs w:val="16"/>
        </w:rPr>
      </w:pPr>
      <w:r>
        <w:rPr>
          <w:color w:val="auto"/>
          <w:sz w:val="23"/>
          <w:szCs w:val="23"/>
        </w:rPr>
        <w:t xml:space="preserve">Dalším zdrojem je kniha s názvem </w:t>
      </w:r>
      <w:r>
        <w:rPr>
          <w:i/>
          <w:iCs/>
          <w:color w:val="auto"/>
          <w:sz w:val="23"/>
          <w:szCs w:val="23"/>
        </w:rPr>
        <w:t xml:space="preserve">Spisová a archivní služba ve veřejném a soukromém sektoru </w:t>
      </w:r>
      <w:r>
        <w:rPr>
          <w:color w:val="auto"/>
          <w:sz w:val="23"/>
          <w:szCs w:val="23"/>
        </w:rPr>
        <w:t>od Bohumíra Broma. Tato kniha se často odkazuje na již uvedené zdroje, je jakýmsi shrnutím informací o správě dokumentů v současné praxi v ČR, o spisové službě a jejích jednotlivých fázích, o správě dokumentů u soukromoprávních původců, kteří povinně spisovou službu nevedou, o spolupráci původců s archivy, o správě speciálních dokumentů a o rozvoji e-Governmentu.</w:t>
      </w:r>
      <w:r>
        <w:rPr>
          <w:color w:val="auto"/>
          <w:sz w:val="16"/>
          <w:szCs w:val="16"/>
        </w:rPr>
        <w:t xml:space="preserve">4 </w:t>
      </w:r>
    </w:p>
    <w:p w:rsidR="007C76DB" w:rsidRDefault="007C76DB" w:rsidP="007C76DB">
      <w:pPr>
        <w:pStyle w:val="Default"/>
        <w:rPr>
          <w:rFonts w:ascii="Calibri" w:hAnsi="Calibri" w:cs="Calibri"/>
          <w:color w:val="auto"/>
          <w:sz w:val="22"/>
          <w:szCs w:val="22"/>
        </w:rPr>
      </w:pPr>
      <w:r>
        <w:rPr>
          <w:color w:val="auto"/>
          <w:sz w:val="23"/>
          <w:szCs w:val="23"/>
        </w:rPr>
        <w:t xml:space="preserve">Přínosem informací byla i kniha </w:t>
      </w:r>
      <w:r>
        <w:rPr>
          <w:i/>
          <w:iCs/>
          <w:color w:val="auto"/>
          <w:sz w:val="23"/>
          <w:szCs w:val="23"/>
        </w:rPr>
        <w:t xml:space="preserve">Spisová a archivní služba ve státní správě, samosprávě a v podnikatelské sféře </w:t>
      </w:r>
      <w:r>
        <w:rPr>
          <w:color w:val="auto"/>
          <w:sz w:val="23"/>
          <w:szCs w:val="23"/>
        </w:rPr>
        <w:t xml:space="preserve">od kolektivu autorů v čele s Ivanem Bittnerem. Polovina této knihy se zabývá spisovým řádem a skartačním plánem a jejich náležitostmi. </w:t>
      </w:r>
      <w:r>
        <w:rPr>
          <w:rFonts w:ascii="Calibri" w:hAnsi="Calibri" w:cs="Calibri"/>
          <w:color w:val="auto"/>
          <w:sz w:val="22"/>
          <w:szCs w:val="22"/>
        </w:rPr>
        <w:t xml:space="preserve">11 </w:t>
      </w:r>
    </w:p>
    <w:p w:rsidR="007C76DB" w:rsidRDefault="007C76DB" w:rsidP="007C76DB">
      <w:pPr>
        <w:pStyle w:val="Default"/>
        <w:rPr>
          <w:color w:val="auto"/>
        </w:rPr>
      </w:pPr>
    </w:p>
    <w:p w:rsidR="007C76DB" w:rsidRDefault="007C76DB" w:rsidP="007C76DB">
      <w:pPr>
        <w:pStyle w:val="Default"/>
        <w:pageBreakBefore/>
        <w:rPr>
          <w:color w:val="auto"/>
          <w:sz w:val="16"/>
          <w:szCs w:val="16"/>
        </w:rPr>
      </w:pPr>
      <w:r>
        <w:rPr>
          <w:color w:val="auto"/>
          <w:sz w:val="23"/>
          <w:szCs w:val="23"/>
        </w:rPr>
        <w:lastRenderedPageBreak/>
        <w:t xml:space="preserve">Informace k historickému vývoji spisové služby můžeme najít v </w:t>
      </w:r>
      <w:r>
        <w:rPr>
          <w:i/>
          <w:iCs/>
          <w:color w:val="auto"/>
          <w:sz w:val="23"/>
          <w:szCs w:val="23"/>
        </w:rPr>
        <w:t xml:space="preserve">Úvodu do archivnictví </w:t>
      </w:r>
      <w:r>
        <w:rPr>
          <w:color w:val="auto"/>
          <w:sz w:val="23"/>
          <w:szCs w:val="23"/>
        </w:rPr>
        <w:t>od Jiřiny Štouračové, kde je tento vývoj přehledně členěn do etap.</w:t>
      </w:r>
      <w:r>
        <w:rPr>
          <w:color w:val="auto"/>
          <w:sz w:val="16"/>
          <w:szCs w:val="16"/>
        </w:rPr>
        <w:t xml:space="preserve">5 </w:t>
      </w:r>
    </w:p>
    <w:p w:rsidR="007C76DB" w:rsidRDefault="007C76DB" w:rsidP="007C76DB">
      <w:pPr>
        <w:pStyle w:val="Default"/>
        <w:pageBreakBefore/>
        <w:rPr>
          <w:color w:val="auto"/>
          <w:sz w:val="16"/>
          <w:szCs w:val="16"/>
        </w:rPr>
      </w:pPr>
      <w:r>
        <w:rPr>
          <w:rFonts w:ascii="Calibri" w:hAnsi="Calibri" w:cs="Calibri"/>
          <w:sz w:val="13"/>
          <w:szCs w:val="13"/>
        </w:rPr>
        <w:lastRenderedPageBreak/>
        <w:t xml:space="preserve">5 </w:t>
      </w:r>
      <w:r>
        <w:rPr>
          <w:sz w:val="20"/>
          <w:szCs w:val="20"/>
        </w:rPr>
        <w:t xml:space="preserve">ŠTOURAČOVÁ, Jiřina. </w:t>
      </w:r>
      <w:r>
        <w:rPr>
          <w:i/>
          <w:iCs/>
          <w:sz w:val="20"/>
          <w:szCs w:val="20"/>
        </w:rPr>
        <w:t>Úvod do archivnictví</w:t>
      </w:r>
      <w:r>
        <w:rPr>
          <w:sz w:val="20"/>
          <w:szCs w:val="20"/>
        </w:rPr>
        <w:t xml:space="preserve">. Brno: Masarykova univerzita v Brně, 2002. ISBN: 80-201-2216-7. </w:t>
      </w:r>
    </w:p>
    <w:p w:rsidR="007C76DB" w:rsidRDefault="007C76DB" w:rsidP="007C76DB">
      <w:pPr>
        <w:pStyle w:val="Default"/>
        <w:rPr>
          <w:rFonts w:ascii="Calibri" w:hAnsi="Calibri" w:cs="Calibri"/>
          <w:color w:val="auto"/>
          <w:sz w:val="22"/>
          <w:szCs w:val="22"/>
        </w:rPr>
      </w:pPr>
      <w:r>
        <w:rPr>
          <w:color w:val="auto"/>
          <w:sz w:val="23"/>
          <w:szCs w:val="23"/>
        </w:rPr>
        <w:t xml:space="preserve">Pro praktickou část jako zdroje poslouží interní směrnice vybraných původců. </w:t>
      </w:r>
      <w:r>
        <w:rPr>
          <w:rFonts w:ascii="Calibri" w:hAnsi="Calibri" w:cs="Calibri"/>
          <w:color w:val="auto"/>
          <w:sz w:val="22"/>
          <w:szCs w:val="22"/>
        </w:rPr>
        <w:t xml:space="preserve">12 </w:t>
      </w:r>
    </w:p>
    <w:p w:rsidR="007C76DB" w:rsidRDefault="007C76DB" w:rsidP="007C76DB">
      <w:pPr>
        <w:pStyle w:val="Default"/>
        <w:rPr>
          <w:color w:val="auto"/>
        </w:rPr>
      </w:pPr>
    </w:p>
    <w:p w:rsidR="007C76DB" w:rsidRDefault="007C76DB" w:rsidP="007C76DB">
      <w:pPr>
        <w:pStyle w:val="Default"/>
        <w:pageBreakBefore/>
        <w:rPr>
          <w:color w:val="auto"/>
          <w:sz w:val="36"/>
          <w:szCs w:val="36"/>
        </w:rPr>
      </w:pPr>
      <w:r>
        <w:rPr>
          <w:b/>
          <w:bCs/>
          <w:color w:val="auto"/>
          <w:sz w:val="36"/>
          <w:szCs w:val="36"/>
        </w:rPr>
        <w:lastRenderedPageBreak/>
        <w:t xml:space="preserve">1. Charakteristika základních pojmů týkajících se tématu </w:t>
      </w:r>
    </w:p>
    <w:p w:rsidR="007C76DB" w:rsidRDefault="007C76DB" w:rsidP="007C76DB">
      <w:pPr>
        <w:pStyle w:val="Default"/>
        <w:rPr>
          <w:color w:val="auto"/>
          <w:sz w:val="23"/>
          <w:szCs w:val="23"/>
        </w:rPr>
      </w:pPr>
      <w:r>
        <w:rPr>
          <w:b/>
          <w:bCs/>
          <w:color w:val="auto"/>
          <w:sz w:val="23"/>
          <w:szCs w:val="23"/>
        </w:rPr>
        <w:t xml:space="preserve">Spisová služba </w:t>
      </w:r>
    </w:p>
    <w:p w:rsidR="007C76DB" w:rsidRDefault="007C76DB" w:rsidP="007C76DB">
      <w:pPr>
        <w:pStyle w:val="Default"/>
        <w:rPr>
          <w:color w:val="auto"/>
          <w:sz w:val="16"/>
          <w:szCs w:val="16"/>
        </w:rPr>
      </w:pPr>
      <w:r>
        <w:rPr>
          <w:color w:val="auto"/>
          <w:sz w:val="23"/>
          <w:szCs w:val="23"/>
        </w:rPr>
        <w:t xml:space="preserve">Výkon spisové služby znamená </w:t>
      </w:r>
      <w:r>
        <w:rPr>
          <w:i/>
          <w:iCs/>
          <w:color w:val="auto"/>
          <w:sz w:val="23"/>
          <w:szCs w:val="23"/>
        </w:rPr>
        <w:t>„zajištění odborné správy dokumentů vzniklých z činnosti původce, popřípadě z činnosti jeho právních předchůdců, zahrnující jejich řádný příjem, evidenci, rozdělování, oběh, vyřizování, vyhotovování, podepisování, odesílání, ukládání a vyřazování ve skartačním řízení, a to včetně kontroly těchto činností.“</w:t>
      </w:r>
      <w:r>
        <w:rPr>
          <w:i/>
          <w:iCs/>
          <w:color w:val="auto"/>
          <w:sz w:val="16"/>
          <w:szCs w:val="16"/>
        </w:rPr>
        <w:t xml:space="preserve">6 </w:t>
      </w:r>
    </w:p>
    <w:p w:rsidR="007C76DB" w:rsidRDefault="007C76DB" w:rsidP="007C76DB">
      <w:pPr>
        <w:pStyle w:val="Default"/>
        <w:rPr>
          <w:sz w:val="20"/>
          <w:szCs w:val="20"/>
        </w:rPr>
      </w:pPr>
      <w:r>
        <w:rPr>
          <w:sz w:val="13"/>
          <w:szCs w:val="13"/>
        </w:rPr>
        <w:t xml:space="preserve">6 </w:t>
      </w:r>
      <w:r>
        <w:rPr>
          <w:sz w:val="20"/>
          <w:szCs w:val="20"/>
        </w:rPr>
        <w:t xml:space="preserve">§2, písmeno l zákona č. 499/2004 Sb., o archivnictví a spisové službě a o změně některých zákonů. </w:t>
      </w:r>
    </w:p>
    <w:p w:rsidR="007C76DB" w:rsidRDefault="007C76DB" w:rsidP="007C76DB">
      <w:pPr>
        <w:pStyle w:val="Default"/>
        <w:rPr>
          <w:sz w:val="20"/>
          <w:szCs w:val="20"/>
        </w:rPr>
      </w:pPr>
      <w:r>
        <w:rPr>
          <w:sz w:val="13"/>
          <w:szCs w:val="13"/>
        </w:rPr>
        <w:t xml:space="preserve">7 </w:t>
      </w:r>
      <w:r>
        <w:rPr>
          <w:sz w:val="20"/>
          <w:szCs w:val="20"/>
        </w:rPr>
        <w:t xml:space="preserve">§1 - §4 vyhlášky 259/2012 Sb., o podrobnostech výkonu spisové služby. </w:t>
      </w:r>
    </w:p>
    <w:p w:rsidR="007C76DB" w:rsidRDefault="007C76DB" w:rsidP="007C76DB">
      <w:pPr>
        <w:pStyle w:val="Default"/>
        <w:rPr>
          <w:color w:val="auto"/>
          <w:sz w:val="16"/>
          <w:szCs w:val="16"/>
        </w:rPr>
      </w:pPr>
      <w:r>
        <w:rPr>
          <w:rFonts w:ascii="Calibri" w:hAnsi="Calibri" w:cs="Calibri"/>
          <w:sz w:val="13"/>
          <w:szCs w:val="13"/>
        </w:rPr>
        <w:t xml:space="preserve">8 </w:t>
      </w:r>
      <w:r>
        <w:rPr>
          <w:sz w:val="20"/>
          <w:szCs w:val="20"/>
        </w:rPr>
        <w:t xml:space="preserve">BITTNER, Ivan – BOSÁKOVÁ, Dagmar – KUNTOVÁ Olga. </w:t>
      </w:r>
      <w:r>
        <w:rPr>
          <w:i/>
          <w:iCs/>
          <w:sz w:val="20"/>
          <w:szCs w:val="20"/>
        </w:rPr>
        <w:t>Spisová a archivní služba ve státní správě, samosprávě a v podnikatelské sféře</w:t>
      </w:r>
      <w:r>
        <w:rPr>
          <w:sz w:val="20"/>
          <w:szCs w:val="20"/>
        </w:rPr>
        <w:t xml:space="preserve">, 3. vydání. Linde: Praha, 2005. s. 22. ISBN: 80-7201-549-4. </w:t>
      </w:r>
    </w:p>
    <w:p w:rsidR="007C76DB" w:rsidRDefault="007C76DB" w:rsidP="007C76DB">
      <w:pPr>
        <w:pStyle w:val="Default"/>
        <w:rPr>
          <w:color w:val="auto"/>
          <w:sz w:val="23"/>
          <w:szCs w:val="23"/>
        </w:rPr>
      </w:pPr>
      <w:r>
        <w:rPr>
          <w:color w:val="auto"/>
          <w:sz w:val="23"/>
          <w:szCs w:val="23"/>
        </w:rPr>
        <w:t xml:space="preserve">Příjem dokumentů u veřejnoprávního původce probíhá na podatelně, kde je umístěno i zařízení určené pro příjem datových zpráv. Příjem datových zpráv je zahrnut do elektronické spisové služby původce, pokud ji vykonává, a tuto činnost umožňuje jeho působnost. Veřejnoprávní původce (s výjimkou toho, jehož zvláštní povaha působnosti to neumožňuje) je povinen na své úřední desce, či na internetových stránkách zveřejnit informace o provozu podatelny jako: adresu, na níž se mají doručovat analogové i digitální dokumenty, úřední hodiny podatelny, adresu elektronické pošty, identifikátor datové schránky, přehled datových formátů a přenosných technických nosičů, které veřejnoprávní původce přijímá a systém nakládání s poškozenými dokumenty. </w:t>
      </w:r>
    </w:p>
    <w:p w:rsidR="007C76DB" w:rsidRDefault="007C76DB" w:rsidP="007C76DB">
      <w:pPr>
        <w:pStyle w:val="Default"/>
        <w:rPr>
          <w:color w:val="auto"/>
          <w:sz w:val="16"/>
          <w:szCs w:val="16"/>
        </w:rPr>
      </w:pPr>
      <w:r>
        <w:rPr>
          <w:color w:val="auto"/>
          <w:sz w:val="23"/>
          <w:szCs w:val="23"/>
        </w:rPr>
        <w:t>Veřejnoprávní původce dokument nezpracovává, pokud přijde v poškozeném stavu a není možno ve spolupráci s odesílatelem tuto chybu napravit. Jestliže vykonává veřejnoprávní původce spisovou službu v listinné podobě, pak přijaté digitální dokumenty převede pomocí konverze dokumentu do listinné podoby a datovou zprávu uchovává po dobu tří let v původní podobě, pokud není stanoveno jinak jiným právním předpisem. U vedení spisové služby v elektronické podobě platí opačný postup.</w:t>
      </w:r>
      <w:r>
        <w:rPr>
          <w:color w:val="auto"/>
          <w:sz w:val="16"/>
          <w:szCs w:val="16"/>
        </w:rPr>
        <w:t xml:space="preserve">7 </w:t>
      </w:r>
    </w:p>
    <w:p w:rsidR="007C76DB" w:rsidRDefault="007C76DB" w:rsidP="007C76DB">
      <w:pPr>
        <w:pStyle w:val="Default"/>
        <w:rPr>
          <w:color w:val="auto"/>
          <w:sz w:val="16"/>
          <w:szCs w:val="16"/>
        </w:rPr>
      </w:pPr>
      <w:r>
        <w:rPr>
          <w:color w:val="auto"/>
          <w:sz w:val="23"/>
          <w:szCs w:val="23"/>
        </w:rPr>
        <w:t>Za vedení podatelny je odpovědný pověřený pracovník, buď vedoucí podatelny, nebo jeho zástupce. Ten zodpovídá za řádné přebírání a zpracovávání zásilek a organizaci práce v podatelně.</w:t>
      </w:r>
      <w:r>
        <w:rPr>
          <w:color w:val="auto"/>
          <w:sz w:val="16"/>
          <w:szCs w:val="16"/>
        </w:rPr>
        <w:t xml:space="preserve">8 </w:t>
      </w:r>
    </w:p>
    <w:p w:rsidR="007C76DB" w:rsidRDefault="007C76DB" w:rsidP="007C76DB">
      <w:pPr>
        <w:pStyle w:val="Default"/>
        <w:rPr>
          <w:rFonts w:ascii="Calibri" w:hAnsi="Calibri" w:cs="Calibri"/>
          <w:color w:val="auto"/>
          <w:sz w:val="22"/>
          <w:szCs w:val="22"/>
        </w:rPr>
      </w:pPr>
      <w:r>
        <w:rPr>
          <w:color w:val="auto"/>
          <w:sz w:val="23"/>
          <w:szCs w:val="23"/>
        </w:rPr>
        <w:t xml:space="preserve">Po převzetí se zásilky nejprve roztřídí na obyčejné, doporučené, utajované a adresované na konkrétní jméno. Otevírají se s výjimkou utajovaných zásilek, zásilek, kde je na prvním místě uvedeno konkrétní jméno a příjmení adresáta a zásilek se specifickým označením. Dále se otevřené zásilky roztřídí na ty, které nepodléhají evidenci, na ty, které podléhají samostatné evidenci a pak podle obsahu dokumentu a příslušnosti k útvarům. </w:t>
      </w:r>
      <w:r>
        <w:rPr>
          <w:rFonts w:ascii="Calibri" w:hAnsi="Calibri" w:cs="Calibri"/>
          <w:color w:val="auto"/>
          <w:sz w:val="22"/>
          <w:szCs w:val="22"/>
        </w:rPr>
        <w:t xml:space="preserve">13 </w:t>
      </w:r>
    </w:p>
    <w:p w:rsidR="007C76DB" w:rsidRDefault="007C76DB" w:rsidP="007C76DB">
      <w:pPr>
        <w:pStyle w:val="Default"/>
        <w:rPr>
          <w:color w:val="auto"/>
        </w:rPr>
      </w:pPr>
    </w:p>
    <w:p w:rsidR="007C76DB" w:rsidRDefault="007C76DB" w:rsidP="007C76DB">
      <w:pPr>
        <w:pStyle w:val="Default"/>
        <w:pageBreakBefore/>
        <w:rPr>
          <w:color w:val="auto"/>
          <w:sz w:val="23"/>
          <w:szCs w:val="23"/>
        </w:rPr>
      </w:pPr>
      <w:r>
        <w:rPr>
          <w:color w:val="auto"/>
          <w:sz w:val="23"/>
          <w:szCs w:val="23"/>
        </w:rPr>
        <w:lastRenderedPageBreak/>
        <w:t xml:space="preserve">Potom se také zkontroluje, zdali obsahuje zásilka všechny dokumenty odpovídající jednacím číslům a zda souhlasí uváděný počet příloh. </w:t>
      </w:r>
    </w:p>
    <w:p w:rsidR="007C76DB" w:rsidRDefault="007C76DB" w:rsidP="007C76DB">
      <w:pPr>
        <w:pStyle w:val="Default"/>
        <w:rPr>
          <w:color w:val="auto"/>
          <w:sz w:val="16"/>
          <w:szCs w:val="16"/>
        </w:rPr>
      </w:pPr>
      <w:r>
        <w:rPr>
          <w:color w:val="auto"/>
          <w:sz w:val="23"/>
          <w:szCs w:val="23"/>
        </w:rPr>
        <w:t>V další fázi dochází k označování dokumentů, které původci došly a podléhají evidenci. Označují se při příjmu i po vyřízení. Každý takový dokument musí být opatřen podacím razítkem v pravém horním rohu nebo v záhlaví. Pokud je to neproveditelné, může se razítko otisknout na jiné volné místo na dokumentu či na volný papír, který se s dokumentem spojí. Zásilky, které se neotevírají, se otisknou na obálku. Razítko bývá obvykle červené barvy a nesmí překrývat text. Podací razítko má obsahovat úřední název původce, datum a čas doručení, číslo jednací, počet listů, počet listů příloh. U elektronické spisové služby se může využívat prvotní identifikátor dokumentu, což je alfanumerický kód ve formě čárového kódu. Užití tohoto identifikátoru je nutno vyvinout tak, aby nikdy nemohlo dojít k záměně dokumentů, a nesmí se shodovat s číslem jednacím.</w:t>
      </w:r>
      <w:r>
        <w:rPr>
          <w:color w:val="auto"/>
          <w:sz w:val="16"/>
          <w:szCs w:val="16"/>
        </w:rPr>
        <w:t xml:space="preserve">9 </w:t>
      </w:r>
    </w:p>
    <w:p w:rsidR="007C76DB" w:rsidRDefault="007C76DB" w:rsidP="007C76DB">
      <w:pPr>
        <w:pStyle w:val="Default"/>
        <w:rPr>
          <w:color w:val="auto"/>
          <w:sz w:val="16"/>
          <w:szCs w:val="16"/>
        </w:rPr>
      </w:pPr>
      <w:r>
        <w:rPr>
          <w:rFonts w:ascii="Calibri" w:hAnsi="Calibri" w:cs="Calibri"/>
          <w:sz w:val="13"/>
          <w:szCs w:val="13"/>
        </w:rPr>
        <w:t xml:space="preserve">9 </w:t>
      </w:r>
      <w:r>
        <w:rPr>
          <w:sz w:val="20"/>
          <w:szCs w:val="20"/>
        </w:rPr>
        <w:t xml:space="preserve">BITTNER, Ivan – BOSÁKOVÁ, Dagmar – KUNTOVÁ Olga. </w:t>
      </w:r>
      <w:r>
        <w:rPr>
          <w:i/>
          <w:iCs/>
          <w:sz w:val="20"/>
          <w:szCs w:val="20"/>
        </w:rPr>
        <w:t>Spisová a archivní služba ve státní správě, samosprávě a v podnikatelské sféře</w:t>
      </w:r>
      <w:r>
        <w:rPr>
          <w:sz w:val="20"/>
          <w:szCs w:val="20"/>
        </w:rPr>
        <w:t xml:space="preserve">, 3. vydání. Linde: Praha, 2005. s. 32-38. ISBN: 80-7201-549-4. </w:t>
      </w:r>
    </w:p>
    <w:p w:rsidR="007C76DB" w:rsidRDefault="007C76DB" w:rsidP="007C76DB">
      <w:pPr>
        <w:pStyle w:val="Default"/>
        <w:rPr>
          <w:color w:val="auto"/>
          <w:sz w:val="23"/>
          <w:szCs w:val="23"/>
        </w:rPr>
      </w:pPr>
      <w:r>
        <w:rPr>
          <w:color w:val="auto"/>
          <w:sz w:val="23"/>
          <w:szCs w:val="23"/>
        </w:rPr>
        <w:t xml:space="preserve">Při výkonu spisové služby v elektronické podobě se jako základní evidenční pomůcka používá elektronický systém spisové služby, při výkonu listinné formy spisové služby se jedná o podací deník. Systém spisové služby a výčet užívaných evidenčních dokumentů uvede veřejnoprávní původce ve spisovém řádu. Pokud používá při evidenci zkratek, musí uvést jejich seznam s vysvětlivkami. Podací deník je očíslovaná kniha, která nese název svého veřejnoprávního původce, je zde dále uvedeno časové období, pro které je užíván, počet listů. Veřejnoprávní původce je povinen takovou knihu chránit proti ztrátě, odcizení, pozměňování a ničení údajů v ní. Musí zaručit čitelnost a přehlednost údajů, a pokud dojde k chybě a škrtu, je nutné, aby byl původní text i nadále čitelný a je potřeba zmínit, kdo a kdy provedl nějakou opravu. </w:t>
      </w:r>
    </w:p>
    <w:p w:rsidR="007C76DB" w:rsidRDefault="007C76DB" w:rsidP="007C76DB">
      <w:pPr>
        <w:pStyle w:val="Default"/>
        <w:rPr>
          <w:rFonts w:ascii="Calibri" w:hAnsi="Calibri" w:cs="Calibri"/>
          <w:color w:val="auto"/>
          <w:sz w:val="22"/>
          <w:szCs w:val="22"/>
        </w:rPr>
      </w:pPr>
      <w:r>
        <w:rPr>
          <w:color w:val="auto"/>
          <w:sz w:val="23"/>
          <w:szCs w:val="23"/>
        </w:rPr>
        <w:t xml:space="preserve">O dokumentu v podacím deníku jsou vedeny tyto údaje: pořadové číslo, datum doručení popř. čas, údaje o odesílateli, identifikace, je-li jí dokument označen, počet listů dokumentu a příloh, stručný obsah dokumentu, označení útvaru původce, jemuž byl dokument určen, popř. jméno konkrétní osoby, způsob vyřízení, údaje o příjemci, spisový znak a skartační režim. U elektronické spisové služby ještě navíc uvádí jednoznačný identifikátor dokumentu, informace o formě dokumentu (analogový, digitální). Do evidence dokumentů původce uvádí poznámku v případě, že došlo ke ztrátě, či poškození listinného nebo elektronického dokumentu a současně uvede i evidenční číslo dokumentu, jímž byla škoda řešena. </w:t>
      </w:r>
      <w:r>
        <w:rPr>
          <w:rFonts w:ascii="Calibri" w:hAnsi="Calibri" w:cs="Calibri"/>
          <w:color w:val="auto"/>
          <w:sz w:val="22"/>
          <w:szCs w:val="22"/>
        </w:rPr>
        <w:t xml:space="preserve">14 </w:t>
      </w:r>
    </w:p>
    <w:p w:rsidR="007C76DB" w:rsidRDefault="007C76DB" w:rsidP="007C76DB">
      <w:pPr>
        <w:pStyle w:val="Default"/>
        <w:rPr>
          <w:color w:val="auto"/>
        </w:rPr>
      </w:pPr>
    </w:p>
    <w:p w:rsidR="007C76DB" w:rsidRDefault="007C76DB" w:rsidP="007C76DB">
      <w:pPr>
        <w:pStyle w:val="Default"/>
        <w:pageBreakBefore/>
        <w:rPr>
          <w:color w:val="auto"/>
          <w:sz w:val="23"/>
          <w:szCs w:val="23"/>
        </w:rPr>
      </w:pPr>
      <w:r>
        <w:rPr>
          <w:color w:val="auto"/>
          <w:sz w:val="23"/>
          <w:szCs w:val="23"/>
        </w:rPr>
        <w:lastRenderedPageBreak/>
        <w:t xml:space="preserve">Zaevidovanému dokumentu se přiřazuje číslo jednací. Toto číslo obsahuje zkratku původce, pořadové číslo a označení časového období, popř. pořadové číslo v zápisu do sběrného archu. Utvořit spis lze buď spojováním dokumentu, nebo pomocí sběrného archu. </w:t>
      </w:r>
    </w:p>
    <w:p w:rsidR="007C76DB" w:rsidRDefault="007C76DB" w:rsidP="007C76DB">
      <w:pPr>
        <w:pStyle w:val="Default"/>
        <w:rPr>
          <w:color w:val="auto"/>
          <w:sz w:val="23"/>
          <w:szCs w:val="23"/>
        </w:rPr>
      </w:pPr>
      <w:r>
        <w:rPr>
          <w:color w:val="auto"/>
          <w:sz w:val="23"/>
          <w:szCs w:val="23"/>
        </w:rPr>
        <w:t xml:space="preserve">Rozdělování dokumentů mezi jednotlivé organizační útvary původce probíhá v podatelně. Oběh dokumentů musí být sledovatelný a musí být jasné, které konkrétní fyzické osoby, a v jakém čase s dokumenty manipulovaly. </w:t>
      </w:r>
    </w:p>
    <w:p w:rsidR="007C76DB" w:rsidRDefault="007C76DB" w:rsidP="007C76DB">
      <w:pPr>
        <w:pStyle w:val="Default"/>
        <w:rPr>
          <w:color w:val="auto"/>
          <w:sz w:val="16"/>
          <w:szCs w:val="16"/>
        </w:rPr>
      </w:pPr>
      <w:r>
        <w:rPr>
          <w:color w:val="auto"/>
          <w:sz w:val="23"/>
          <w:szCs w:val="23"/>
        </w:rPr>
        <w:t>Vyřídit dokument je možno: dokumentem, postoupením, vzetím na vědomí, záznamem na dokumentu a dalšími způsoby uvedenými ve spisovém řádu původce. Nejpozději při vyřízení dokumentu nebo spisu mu veřejnoprávní původce přiřadí spisový znak a skartační režim, podle platného a účinného spisového a skartačního plánu.</w:t>
      </w:r>
      <w:r>
        <w:rPr>
          <w:color w:val="auto"/>
          <w:sz w:val="16"/>
          <w:szCs w:val="16"/>
        </w:rPr>
        <w:t xml:space="preserve">10 </w:t>
      </w:r>
      <w:r>
        <w:rPr>
          <w:i/>
          <w:iCs/>
          <w:color w:val="auto"/>
          <w:sz w:val="23"/>
          <w:szCs w:val="23"/>
        </w:rPr>
        <w:t>„Pro vyřizování platí zásada, že každou věc je třeba vyřizovat samostatně a v souladu s pokyny obecně závazných předpisů, instrukcí či nařízení nebo nadřízeného pracovníka“.</w:t>
      </w:r>
      <w:r>
        <w:rPr>
          <w:color w:val="auto"/>
          <w:sz w:val="16"/>
          <w:szCs w:val="16"/>
        </w:rPr>
        <w:t xml:space="preserve">11 </w:t>
      </w:r>
    </w:p>
    <w:p w:rsidR="007C76DB" w:rsidRDefault="007C76DB" w:rsidP="007C76DB">
      <w:pPr>
        <w:pStyle w:val="Default"/>
        <w:rPr>
          <w:sz w:val="20"/>
          <w:szCs w:val="20"/>
        </w:rPr>
      </w:pPr>
      <w:r>
        <w:rPr>
          <w:sz w:val="13"/>
          <w:szCs w:val="13"/>
        </w:rPr>
        <w:t xml:space="preserve">10 </w:t>
      </w:r>
      <w:r>
        <w:rPr>
          <w:sz w:val="20"/>
          <w:szCs w:val="20"/>
        </w:rPr>
        <w:t xml:space="preserve">§8 - §11 vyhlášky 259/2012 Sb., o podrobnostech výkonu spisové služby. </w:t>
      </w:r>
    </w:p>
    <w:p w:rsidR="007C76DB" w:rsidRDefault="007C76DB" w:rsidP="007C76DB">
      <w:pPr>
        <w:pStyle w:val="Default"/>
        <w:rPr>
          <w:color w:val="auto"/>
          <w:sz w:val="16"/>
          <w:szCs w:val="16"/>
        </w:rPr>
      </w:pPr>
      <w:r>
        <w:rPr>
          <w:rFonts w:ascii="Calibri" w:hAnsi="Calibri" w:cs="Calibri"/>
          <w:sz w:val="13"/>
          <w:szCs w:val="13"/>
        </w:rPr>
        <w:t xml:space="preserve">11 </w:t>
      </w:r>
      <w:r>
        <w:rPr>
          <w:sz w:val="20"/>
          <w:szCs w:val="20"/>
        </w:rPr>
        <w:t xml:space="preserve">BITTNER, Ivan – BOSÁKOVÁ, Dagmar – KUNTOVÁ Olga. </w:t>
      </w:r>
      <w:r>
        <w:rPr>
          <w:i/>
          <w:iCs/>
          <w:sz w:val="20"/>
          <w:szCs w:val="20"/>
        </w:rPr>
        <w:t>Spisová a archivní služba ve státní správě, samosprávě a v podnikatelské sféře</w:t>
      </w:r>
      <w:r>
        <w:rPr>
          <w:sz w:val="20"/>
          <w:szCs w:val="20"/>
        </w:rPr>
        <w:t xml:space="preserve">, 3. vydání. Linde: Praha, 2005. s. 63. ISBN: 80-7201-549-4. </w:t>
      </w:r>
    </w:p>
    <w:p w:rsidR="007C76DB" w:rsidRDefault="007C76DB" w:rsidP="007C76DB">
      <w:pPr>
        <w:pStyle w:val="Default"/>
        <w:rPr>
          <w:color w:val="auto"/>
          <w:sz w:val="23"/>
          <w:szCs w:val="23"/>
        </w:rPr>
      </w:pPr>
      <w:r>
        <w:rPr>
          <w:color w:val="auto"/>
          <w:sz w:val="23"/>
          <w:szCs w:val="23"/>
        </w:rPr>
        <w:t xml:space="preserve">Dokument vyhotovený původcem má obsahovat záhlaví, v němž je název a adresa původce, číslo jednací dokumentu nebo evidenční číslo. Dále na dokumentu určeném k odeslání původce vyznačí datum podpisu dokumentu, počet listů a příloh, jména a příjmení konkrétních osob pověřených podpisem dokumentu. Veřejnoprávní původce adresátovi posílá prvopis nebo druhopis, popř. jejich stejnopisy. Podepisovat dokumenty a používat úřední razítka mohou pouze fyzické osoby, které sám původce určí. Stanoví podmínky pro podepisování dokumentů i pro užívání elektronického podpisu, i pro užití uznávané elektronické značky, časového razítka a úředních razítek ve spisovém řádu. Veřejnoprávní původce vede evidenci razítek a personálu, který je může používat a datum od kdy, popř. do kdy jsou oprávněni k tomuto užívání. Také vede záznam o ztrátách úředních razítek, pokud k takové ztrátě dojde, musí uvědomit Ministerstvo vnitra, které pak tuto ztrátu dalším orgánů státní správy a samosprávy oznámí pomocí věstníku. </w:t>
      </w:r>
    </w:p>
    <w:p w:rsidR="007C76DB" w:rsidRDefault="007C76DB" w:rsidP="007C76DB">
      <w:pPr>
        <w:pStyle w:val="Default"/>
        <w:rPr>
          <w:color w:val="auto"/>
          <w:sz w:val="23"/>
          <w:szCs w:val="23"/>
        </w:rPr>
      </w:pPr>
      <w:r>
        <w:rPr>
          <w:color w:val="auto"/>
          <w:sz w:val="23"/>
          <w:szCs w:val="23"/>
        </w:rPr>
        <w:t xml:space="preserve">Dokumenty původce odesílá přes výpravnu, která dokumenty opatří všemi náležitostmi potřebnými pro odesílání. Výpravna musí být vybavena zařízením pro odesílání datových zpráv. Původce musí před odesláním zkontrolovat, zda se v datové zprávě nevyskytuje škodlivý kód. </w:t>
      </w:r>
    </w:p>
    <w:p w:rsidR="007C76DB" w:rsidRDefault="007C76DB" w:rsidP="007C76DB">
      <w:pPr>
        <w:pStyle w:val="Default"/>
        <w:rPr>
          <w:rFonts w:ascii="Calibri" w:hAnsi="Calibri" w:cs="Calibri"/>
          <w:color w:val="auto"/>
          <w:sz w:val="22"/>
          <w:szCs w:val="22"/>
        </w:rPr>
      </w:pPr>
      <w:r>
        <w:rPr>
          <w:color w:val="auto"/>
          <w:sz w:val="23"/>
          <w:szCs w:val="23"/>
        </w:rPr>
        <w:t xml:space="preserve">Vyřízené spisy ukládá dle spisového a skartačního plánu původce do spisovny. Před takovýmto uložením dochází ke kontrole dokumentu či spisu. Kontroluje se, zda jsou v úplnosti a obsahují všechny náležitosti, zejména označení analogového dokumentu podacím </w:t>
      </w:r>
      <w:r>
        <w:rPr>
          <w:rFonts w:ascii="Calibri" w:hAnsi="Calibri" w:cs="Calibri"/>
          <w:color w:val="auto"/>
          <w:sz w:val="22"/>
          <w:szCs w:val="22"/>
        </w:rPr>
        <w:t xml:space="preserve">15 </w:t>
      </w:r>
    </w:p>
    <w:p w:rsidR="007C76DB" w:rsidRDefault="007C76DB" w:rsidP="007C76DB">
      <w:pPr>
        <w:pStyle w:val="Default"/>
        <w:rPr>
          <w:color w:val="auto"/>
        </w:rPr>
      </w:pPr>
    </w:p>
    <w:p w:rsidR="007C76DB" w:rsidRDefault="007C76DB" w:rsidP="007C76DB">
      <w:pPr>
        <w:pStyle w:val="Default"/>
        <w:pageBreakBefore/>
        <w:rPr>
          <w:color w:val="auto"/>
          <w:sz w:val="16"/>
          <w:szCs w:val="16"/>
        </w:rPr>
      </w:pPr>
      <w:r>
        <w:rPr>
          <w:color w:val="auto"/>
          <w:sz w:val="23"/>
          <w:szCs w:val="23"/>
        </w:rPr>
        <w:lastRenderedPageBreak/>
        <w:t>razítkem a jeho vyplnění, označení dokumentu jednoznačným identifikátorem, rozsah dokumentu, uvedení spisového znaku a skartačního režimu, zápis v evidenci, uložení dokumentů v obalech, které je zabezpečují proti mechanické újmě a správné uložení na přenosných datových nosičích.</w:t>
      </w:r>
      <w:r>
        <w:rPr>
          <w:color w:val="auto"/>
          <w:sz w:val="16"/>
          <w:szCs w:val="16"/>
        </w:rPr>
        <w:t xml:space="preserve">12 </w:t>
      </w:r>
    </w:p>
    <w:p w:rsidR="007C76DB" w:rsidRDefault="007C76DB" w:rsidP="007C76DB">
      <w:pPr>
        <w:pStyle w:val="Default"/>
        <w:rPr>
          <w:sz w:val="20"/>
          <w:szCs w:val="20"/>
        </w:rPr>
      </w:pPr>
      <w:r>
        <w:rPr>
          <w:sz w:val="13"/>
          <w:szCs w:val="13"/>
        </w:rPr>
        <w:t xml:space="preserve">12 </w:t>
      </w:r>
      <w:r>
        <w:rPr>
          <w:sz w:val="20"/>
          <w:szCs w:val="20"/>
        </w:rPr>
        <w:t xml:space="preserve">§16 - §19 vyhlášky 259/2012 Sb., o podrobnostech výkonu spisové služby. </w:t>
      </w:r>
    </w:p>
    <w:p w:rsidR="007C76DB" w:rsidRDefault="007C76DB" w:rsidP="007C76DB">
      <w:pPr>
        <w:pStyle w:val="Default"/>
        <w:rPr>
          <w:sz w:val="20"/>
          <w:szCs w:val="20"/>
        </w:rPr>
      </w:pPr>
      <w:r>
        <w:rPr>
          <w:sz w:val="13"/>
          <w:szCs w:val="13"/>
        </w:rPr>
        <w:t xml:space="preserve">13 </w:t>
      </w:r>
      <w:r>
        <w:rPr>
          <w:sz w:val="20"/>
          <w:szCs w:val="20"/>
        </w:rPr>
        <w:t xml:space="preserve">ŠTOURAČOVÁ, Jiřina. </w:t>
      </w:r>
      <w:r>
        <w:rPr>
          <w:i/>
          <w:iCs/>
          <w:sz w:val="20"/>
          <w:szCs w:val="20"/>
        </w:rPr>
        <w:t>Úvod do archivnictví</w:t>
      </w:r>
      <w:r>
        <w:rPr>
          <w:sz w:val="20"/>
          <w:szCs w:val="20"/>
        </w:rPr>
        <w:t xml:space="preserve">. Brno: Masarykova univerzita v Brně, 2002. s. 109. ISBN: 80-201-2216-7. </w:t>
      </w:r>
    </w:p>
    <w:p w:rsidR="007C76DB" w:rsidRDefault="007C76DB" w:rsidP="007C76DB">
      <w:pPr>
        <w:pStyle w:val="Default"/>
        <w:pageBreakBefore/>
        <w:rPr>
          <w:color w:val="auto"/>
          <w:sz w:val="16"/>
          <w:szCs w:val="16"/>
        </w:rPr>
      </w:pPr>
      <w:r>
        <w:rPr>
          <w:sz w:val="13"/>
          <w:szCs w:val="13"/>
        </w:rPr>
        <w:lastRenderedPageBreak/>
        <w:t xml:space="preserve">14 </w:t>
      </w:r>
      <w:r>
        <w:rPr>
          <w:sz w:val="20"/>
          <w:szCs w:val="20"/>
        </w:rPr>
        <w:t xml:space="preserve">BROM, Bohumír. </w:t>
      </w:r>
      <w:r>
        <w:rPr>
          <w:i/>
          <w:iCs/>
          <w:sz w:val="20"/>
          <w:szCs w:val="20"/>
        </w:rPr>
        <w:t xml:space="preserve">Spisová a archivní služba ve veřejném a soukromém sektoru: Praktická příručka pro správu dokumentů. </w:t>
      </w:r>
      <w:r>
        <w:rPr>
          <w:sz w:val="20"/>
          <w:szCs w:val="20"/>
        </w:rPr>
        <w:t xml:space="preserve">Praha: Linde, 2013. s. 37- 40. ISBN: 978-80-7201-913-7. </w:t>
      </w:r>
    </w:p>
    <w:p w:rsidR="007C76DB" w:rsidRDefault="007C76DB" w:rsidP="007C76DB">
      <w:pPr>
        <w:pStyle w:val="Default"/>
        <w:rPr>
          <w:color w:val="auto"/>
          <w:sz w:val="23"/>
          <w:szCs w:val="23"/>
        </w:rPr>
      </w:pPr>
      <w:r>
        <w:rPr>
          <w:color w:val="auto"/>
          <w:sz w:val="23"/>
          <w:szCs w:val="23"/>
        </w:rPr>
        <w:t xml:space="preserve">Spisová služba tedy znamená přirozený oběh dokumentů zahájený přijetím písemnosti určitou institucí a ukončený jejím odesláním a uložením. Počet písemností zpracovávaných institucemi narůstá, a proto je potřeba tvořit přehledná a přesná pravidla pro jejich celkový oběh a zejména pro ukládání. Písemnosti bývají často vyhledávány při řešení podobného případu v minulosti, hledání práva a v neposlední řadě pro historické bádání. </w:t>
      </w:r>
    </w:p>
    <w:p w:rsidR="007C76DB" w:rsidRDefault="007C76DB" w:rsidP="007C76DB">
      <w:pPr>
        <w:pStyle w:val="Default"/>
        <w:rPr>
          <w:color w:val="auto"/>
          <w:sz w:val="23"/>
          <w:szCs w:val="23"/>
        </w:rPr>
      </w:pPr>
      <w:r>
        <w:rPr>
          <w:color w:val="auto"/>
          <w:sz w:val="23"/>
          <w:szCs w:val="23"/>
        </w:rPr>
        <w:t xml:space="preserve">Dobře vedená spisová služba se odráží v následné schopnosti původců manipulovat s danými dokumenty a dodržovat zákonem dané povinnosti. Její důsledné vedení prospívá jak pracovníkům dané instituce ze strany vnitřní, tak žadatelům, kteří potřebují své záležitosti flexibilně řešit, ze strany vnější. </w:t>
      </w:r>
    </w:p>
    <w:p w:rsidR="007C76DB" w:rsidRDefault="007C76DB" w:rsidP="007C76DB">
      <w:pPr>
        <w:pStyle w:val="Default"/>
        <w:rPr>
          <w:color w:val="auto"/>
          <w:sz w:val="16"/>
          <w:szCs w:val="16"/>
        </w:rPr>
      </w:pPr>
      <w:r>
        <w:rPr>
          <w:color w:val="auto"/>
          <w:sz w:val="23"/>
          <w:szCs w:val="23"/>
        </w:rPr>
        <w:t>V každé historické etapě byl vztah k písemnostem jiný, čemuž odpovídá i odlišný systém péče o ně. Záleželo často na tom, zda bylo právě období války či míru a v návaznosti na to, zda byla daná země v rozkvětu, či v úpadku.</w:t>
      </w:r>
      <w:r>
        <w:rPr>
          <w:color w:val="auto"/>
          <w:sz w:val="16"/>
          <w:szCs w:val="16"/>
        </w:rPr>
        <w:t xml:space="preserve">13 </w:t>
      </w:r>
    </w:p>
    <w:p w:rsidR="007C76DB" w:rsidRDefault="007C76DB" w:rsidP="007C76DB">
      <w:pPr>
        <w:pStyle w:val="Default"/>
        <w:rPr>
          <w:color w:val="auto"/>
          <w:sz w:val="16"/>
          <w:szCs w:val="16"/>
        </w:rPr>
      </w:pPr>
      <w:r>
        <w:rPr>
          <w:color w:val="auto"/>
          <w:sz w:val="23"/>
          <w:szCs w:val="23"/>
        </w:rPr>
        <w:t>Zákonem č. 499/2004 Sb., o archivnictví a spisové službě jsou určeny dva základní typy vedení spisové služby, a to v elektronické a listinné podobě. Po novelizaci z roku 2009 se uplatňují dva druhy spisové služby, které se posuzují podle rozsahu nařízených povinností. Jedná se o vedení spisové služby v plném či omezeném rozsahu. Tyto nařízené povinnosti též vychází z již zmíněného zákona. Spisovou službu v omezeném rozsahu pak vedou určení původci, uvedení v §63 čl. 2 zákona č. 499/2004 a archivnictví a spisové službě.</w:t>
      </w:r>
      <w:r>
        <w:rPr>
          <w:color w:val="auto"/>
          <w:sz w:val="16"/>
          <w:szCs w:val="16"/>
        </w:rPr>
        <w:t xml:space="preserve">14 </w:t>
      </w:r>
    </w:p>
    <w:p w:rsidR="007C76DB" w:rsidRDefault="007C76DB" w:rsidP="007C76DB">
      <w:pPr>
        <w:pStyle w:val="Default"/>
        <w:rPr>
          <w:rFonts w:ascii="Calibri" w:hAnsi="Calibri" w:cs="Calibri"/>
          <w:color w:val="auto"/>
          <w:sz w:val="22"/>
          <w:szCs w:val="22"/>
        </w:rPr>
      </w:pPr>
      <w:r>
        <w:rPr>
          <w:color w:val="auto"/>
          <w:sz w:val="23"/>
          <w:szCs w:val="23"/>
        </w:rPr>
        <w:t xml:space="preserve">Forma výkonu spisové služby je buď písemná, kdy se vedení spisové služby provádí manuálně, ručně. Při existenci jednoho podacího deníku můžeme hovořit o centralizované spisové službě. V případě dislokace útvarů původce, kdy nelze zajistit vedení jednoho podacího deníku, a jsou vedeny v útvarech samostatné podací deníky, hovoříme o decentralizované spisové službě. </w:t>
      </w:r>
      <w:r>
        <w:rPr>
          <w:rFonts w:ascii="Calibri" w:hAnsi="Calibri" w:cs="Calibri"/>
          <w:color w:val="auto"/>
          <w:sz w:val="22"/>
          <w:szCs w:val="22"/>
        </w:rPr>
        <w:t xml:space="preserve">16 </w:t>
      </w:r>
    </w:p>
    <w:p w:rsidR="007C76DB" w:rsidRDefault="007C76DB" w:rsidP="007C76DB">
      <w:pPr>
        <w:pStyle w:val="Default"/>
        <w:rPr>
          <w:color w:val="auto"/>
        </w:rPr>
      </w:pPr>
    </w:p>
    <w:p w:rsidR="007C76DB" w:rsidRDefault="007C76DB" w:rsidP="007C76DB">
      <w:pPr>
        <w:pStyle w:val="Default"/>
        <w:pageBreakBefore/>
        <w:rPr>
          <w:color w:val="auto"/>
          <w:sz w:val="16"/>
          <w:szCs w:val="16"/>
        </w:rPr>
      </w:pPr>
      <w:r>
        <w:rPr>
          <w:color w:val="auto"/>
          <w:sz w:val="23"/>
          <w:szCs w:val="23"/>
        </w:rPr>
        <w:lastRenderedPageBreak/>
        <w:t>Elektronicky vedená spisová služba se provádí za pomoci výpočetní techniky, jíž se vedou jak písemné, tak elektronické dokumenty. Je možné elektronicky vést pouze část spisové služby a zbytek písemně.</w:t>
      </w:r>
      <w:r>
        <w:rPr>
          <w:color w:val="auto"/>
          <w:sz w:val="16"/>
          <w:szCs w:val="16"/>
        </w:rPr>
        <w:t xml:space="preserve">15 </w:t>
      </w:r>
    </w:p>
    <w:p w:rsidR="007C76DB" w:rsidRDefault="007C76DB" w:rsidP="007C76DB">
      <w:pPr>
        <w:pStyle w:val="Default"/>
        <w:rPr>
          <w:sz w:val="20"/>
          <w:szCs w:val="20"/>
        </w:rPr>
      </w:pPr>
      <w:r>
        <w:rPr>
          <w:rFonts w:ascii="Calibri" w:hAnsi="Calibri" w:cs="Calibri"/>
          <w:sz w:val="13"/>
          <w:szCs w:val="13"/>
        </w:rPr>
        <w:t xml:space="preserve">15 </w:t>
      </w:r>
      <w:r>
        <w:rPr>
          <w:sz w:val="20"/>
          <w:szCs w:val="20"/>
        </w:rPr>
        <w:t xml:space="preserve">BITTNER, Ivan – BOSÁKOVÁ, Dagmar – KUNTOVÁ Olga. </w:t>
      </w:r>
      <w:r>
        <w:rPr>
          <w:i/>
          <w:iCs/>
          <w:sz w:val="20"/>
          <w:szCs w:val="20"/>
        </w:rPr>
        <w:t>Spisová a archivní služba ve státní správě, samosprávě a v podnikatelské sféře</w:t>
      </w:r>
      <w:r>
        <w:rPr>
          <w:sz w:val="20"/>
          <w:szCs w:val="20"/>
        </w:rPr>
        <w:t xml:space="preserve">, 3. vydání. Linde: Praha, 2005. s. 15. ISBN: 80-7201-549-4. </w:t>
      </w:r>
    </w:p>
    <w:p w:rsidR="007C76DB" w:rsidRDefault="007C76DB" w:rsidP="007C76DB">
      <w:pPr>
        <w:pStyle w:val="Default"/>
        <w:rPr>
          <w:sz w:val="20"/>
          <w:szCs w:val="20"/>
        </w:rPr>
      </w:pPr>
      <w:r>
        <w:rPr>
          <w:rFonts w:ascii="Calibri" w:hAnsi="Calibri" w:cs="Calibri"/>
          <w:sz w:val="13"/>
          <w:szCs w:val="13"/>
        </w:rPr>
        <w:t xml:space="preserve">16 </w:t>
      </w:r>
      <w:r>
        <w:rPr>
          <w:sz w:val="20"/>
          <w:szCs w:val="20"/>
        </w:rPr>
        <w:t xml:space="preserve">Tamtéž, s. 103-104. </w:t>
      </w:r>
    </w:p>
    <w:p w:rsidR="007C76DB" w:rsidRDefault="007C76DB" w:rsidP="007C76DB">
      <w:pPr>
        <w:pStyle w:val="Default"/>
        <w:rPr>
          <w:sz w:val="20"/>
          <w:szCs w:val="20"/>
        </w:rPr>
      </w:pPr>
      <w:r>
        <w:rPr>
          <w:rFonts w:ascii="Calibri" w:hAnsi="Calibri" w:cs="Calibri"/>
          <w:sz w:val="13"/>
          <w:szCs w:val="13"/>
        </w:rPr>
        <w:t>17</w:t>
      </w:r>
      <w:r>
        <w:rPr>
          <w:sz w:val="20"/>
          <w:szCs w:val="20"/>
        </w:rPr>
        <w:t xml:space="preserve">Tamtéž,. s. 105-106. </w:t>
      </w:r>
    </w:p>
    <w:p w:rsidR="007C76DB" w:rsidRDefault="007C76DB" w:rsidP="007C76DB">
      <w:pPr>
        <w:pStyle w:val="Default"/>
        <w:rPr>
          <w:sz w:val="20"/>
          <w:szCs w:val="20"/>
        </w:rPr>
      </w:pPr>
      <w:r>
        <w:rPr>
          <w:sz w:val="13"/>
          <w:szCs w:val="13"/>
        </w:rPr>
        <w:t xml:space="preserve">18 </w:t>
      </w:r>
      <w:r>
        <w:rPr>
          <w:sz w:val="20"/>
          <w:szCs w:val="20"/>
        </w:rPr>
        <w:t xml:space="preserve">BROM, Bohumír. </w:t>
      </w:r>
      <w:r>
        <w:rPr>
          <w:i/>
          <w:iCs/>
          <w:sz w:val="20"/>
          <w:szCs w:val="20"/>
        </w:rPr>
        <w:t xml:space="preserve">Spisová a archivní služba ve veřejném a soukromém sektoru: Praktická příručka pro správu dokumentů. </w:t>
      </w:r>
      <w:r>
        <w:rPr>
          <w:sz w:val="20"/>
          <w:szCs w:val="20"/>
        </w:rPr>
        <w:t xml:space="preserve">Praha: Linde, 2013. s. 42. ISBN: 978-80-7201-913-7. </w:t>
      </w:r>
    </w:p>
    <w:p w:rsidR="007C76DB" w:rsidRDefault="007C76DB" w:rsidP="007C76DB">
      <w:pPr>
        <w:pStyle w:val="Default"/>
        <w:pageBreakBefore/>
        <w:rPr>
          <w:color w:val="auto"/>
          <w:sz w:val="16"/>
          <w:szCs w:val="16"/>
        </w:rPr>
      </w:pPr>
      <w:r>
        <w:rPr>
          <w:sz w:val="13"/>
          <w:szCs w:val="13"/>
        </w:rPr>
        <w:lastRenderedPageBreak/>
        <w:t>19</w:t>
      </w:r>
      <w:r>
        <w:rPr>
          <w:sz w:val="20"/>
          <w:szCs w:val="20"/>
        </w:rPr>
        <w:t xml:space="preserve">§2, písmeno p, zákona č. 499/2004 Sb., o archivnictví a spisové službě a o změně některých zákonů. </w:t>
      </w:r>
    </w:p>
    <w:p w:rsidR="007C76DB" w:rsidRDefault="007C76DB" w:rsidP="007C76DB">
      <w:pPr>
        <w:pStyle w:val="Default"/>
        <w:rPr>
          <w:color w:val="auto"/>
          <w:sz w:val="16"/>
          <w:szCs w:val="16"/>
        </w:rPr>
      </w:pPr>
      <w:r>
        <w:rPr>
          <w:color w:val="auto"/>
          <w:sz w:val="23"/>
          <w:szCs w:val="23"/>
        </w:rPr>
        <w:t>Vzhledem k tomu, že spisová služba je průběžně vykonávaná činnost, kterou nelze oddělit od celkového chodu původce, vyžaduje řízení a kontrolu. Původci si zpravidla určí vedoucího zaměstnance, který tyto činnosti vykonává, často bývá celkovou kontrolní činností pověřen útvar, v němž je začleněna ústřední spisovna. Vnější kontrolu spisové služby provádí Ministerstvo vnitra, Národní archiv nebo Státní oblastní archivy podle své územní působnosti. Vzhledem k tomu, že původci uchovávají dokumenty s osobními údaji, a někteří dokonce utajovaný materiál mohou být kontrolovány i jinými úřady státní správy, jimž tyto případy spadají do kompetencí.</w:t>
      </w:r>
      <w:r>
        <w:rPr>
          <w:color w:val="auto"/>
          <w:sz w:val="16"/>
          <w:szCs w:val="16"/>
        </w:rPr>
        <w:t xml:space="preserve">16 </w:t>
      </w:r>
    </w:p>
    <w:p w:rsidR="007C76DB" w:rsidRDefault="007C76DB" w:rsidP="007C76DB">
      <w:pPr>
        <w:pStyle w:val="Default"/>
        <w:rPr>
          <w:color w:val="auto"/>
          <w:sz w:val="16"/>
          <w:szCs w:val="16"/>
        </w:rPr>
      </w:pPr>
      <w:r>
        <w:rPr>
          <w:color w:val="auto"/>
          <w:sz w:val="23"/>
          <w:szCs w:val="23"/>
        </w:rPr>
        <w:t>Pokud pracovník spisové služby neplní svoje povinnosti, je mu uložen trest v rámci instituce, dle zákoníku práce. Pokud svoje povinnosti neplní původce, ukládá mu sankci archivní inspektor pověřený provedením kontroly. Proviněním může být např. zničení dokumentů, aniž by proběhlo skartační řízení, nevedení spisové služby nebo nevydání spisového řádu, i přes to, že má veřejnoprávní původce v tomto dle zákona povinnost, či porušení ochrany osobních údajů, nebo zveřejnění utajovaného materiálu. Za takovéto prohřešky bývá určenému původci vyměřen zpravidla peněžitý trest.</w:t>
      </w:r>
      <w:r>
        <w:rPr>
          <w:color w:val="auto"/>
          <w:sz w:val="16"/>
          <w:szCs w:val="16"/>
        </w:rPr>
        <w:t xml:space="preserve">17 </w:t>
      </w:r>
    </w:p>
    <w:p w:rsidR="007C76DB" w:rsidRDefault="007C76DB" w:rsidP="007C76DB">
      <w:pPr>
        <w:pStyle w:val="Default"/>
        <w:rPr>
          <w:color w:val="auto"/>
          <w:sz w:val="23"/>
          <w:szCs w:val="23"/>
        </w:rPr>
      </w:pPr>
      <w:r>
        <w:rPr>
          <w:b/>
          <w:bCs/>
          <w:color w:val="auto"/>
          <w:sz w:val="23"/>
          <w:szCs w:val="23"/>
        </w:rPr>
        <w:t xml:space="preserve">Spisový řád </w:t>
      </w:r>
    </w:p>
    <w:p w:rsidR="007C76DB" w:rsidRDefault="007C76DB" w:rsidP="007C76DB">
      <w:pPr>
        <w:pStyle w:val="Default"/>
        <w:rPr>
          <w:color w:val="auto"/>
          <w:sz w:val="16"/>
          <w:szCs w:val="16"/>
        </w:rPr>
      </w:pPr>
      <w:r>
        <w:rPr>
          <w:color w:val="auto"/>
          <w:sz w:val="23"/>
          <w:szCs w:val="23"/>
        </w:rPr>
        <w:t>Pro odborné provádění správy dokumentů je příhodné, aby měl původce vnitřní předpis, kterým by sledoval životní cyklus dokumentů, popř. spisů, s nimiž pracuje. Měly by zde být uvedeny kompetence a povinnosti pracovníků, kteří jsou za správu dokumentů odpovědni. Takovýmto vnitřním předpisem se rozumí spisový řád. Veřejnoprávním původcům zákon ukládá povinnost vést spisový řád. Soukromoprávní původci tuto povinnost nemají, i přesto velmi často touto vnitřní normou disponují.</w:t>
      </w:r>
      <w:r>
        <w:rPr>
          <w:color w:val="auto"/>
          <w:sz w:val="16"/>
          <w:szCs w:val="16"/>
        </w:rPr>
        <w:t xml:space="preserve">18 </w:t>
      </w:r>
    </w:p>
    <w:p w:rsidR="007C76DB" w:rsidRDefault="007C76DB" w:rsidP="007C76DB">
      <w:pPr>
        <w:pStyle w:val="Default"/>
        <w:rPr>
          <w:rFonts w:ascii="Calibri" w:hAnsi="Calibri" w:cs="Calibri"/>
          <w:color w:val="auto"/>
          <w:sz w:val="22"/>
          <w:szCs w:val="22"/>
        </w:rPr>
      </w:pPr>
      <w:r>
        <w:rPr>
          <w:color w:val="auto"/>
          <w:sz w:val="23"/>
          <w:szCs w:val="23"/>
        </w:rPr>
        <w:t>Spisový řád je „</w:t>
      </w:r>
      <w:r>
        <w:rPr>
          <w:i/>
          <w:iCs/>
          <w:color w:val="auto"/>
          <w:sz w:val="23"/>
          <w:szCs w:val="23"/>
        </w:rPr>
        <w:t xml:space="preserve">vnitřní předpis stanovící základní pravidla pro manipulaci s dokumenty a skartační řízení.“ </w:t>
      </w:r>
      <w:r>
        <w:rPr>
          <w:i/>
          <w:iCs/>
          <w:color w:val="auto"/>
          <w:sz w:val="16"/>
          <w:szCs w:val="16"/>
        </w:rPr>
        <w:t xml:space="preserve">19 </w:t>
      </w:r>
      <w:r>
        <w:rPr>
          <w:rFonts w:ascii="Calibri" w:hAnsi="Calibri" w:cs="Calibri"/>
          <w:color w:val="auto"/>
          <w:sz w:val="22"/>
          <w:szCs w:val="22"/>
        </w:rPr>
        <w:t xml:space="preserve">17 </w:t>
      </w:r>
    </w:p>
    <w:p w:rsidR="007C76DB" w:rsidRDefault="007C76DB" w:rsidP="007C76DB">
      <w:pPr>
        <w:pStyle w:val="Default"/>
        <w:rPr>
          <w:color w:val="auto"/>
        </w:rPr>
      </w:pPr>
    </w:p>
    <w:p w:rsidR="007C76DB" w:rsidRDefault="007C76DB" w:rsidP="007C76DB">
      <w:pPr>
        <w:pStyle w:val="Default"/>
        <w:pageBreakBefore/>
        <w:rPr>
          <w:color w:val="auto"/>
          <w:sz w:val="16"/>
          <w:szCs w:val="16"/>
        </w:rPr>
      </w:pPr>
      <w:r>
        <w:rPr>
          <w:color w:val="auto"/>
          <w:sz w:val="23"/>
          <w:szCs w:val="23"/>
        </w:rPr>
        <w:lastRenderedPageBreak/>
        <w:t>Neoddělitelnou a povinnou součástí spisového řádu je spisový a skartační plán. Spisový plán je hierarchické uspořádání věcných skupin spisů, dokumentů a komponent.</w:t>
      </w:r>
      <w:r>
        <w:rPr>
          <w:color w:val="auto"/>
          <w:sz w:val="16"/>
          <w:szCs w:val="16"/>
        </w:rPr>
        <w:t xml:space="preserve">20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color w:val="auto"/>
        </w:rPr>
        <w:sectPr w:rsidR="007C76DB">
          <w:pgSz w:w="11906" w:h="17338"/>
          <w:pgMar w:top="1845" w:right="575" w:bottom="658" w:left="1187" w:header="708" w:footer="708" w:gutter="0"/>
          <w:cols w:space="708"/>
          <w:noEndnote/>
        </w:sectPr>
      </w:pPr>
    </w:p>
    <w:p w:rsidR="007C76DB" w:rsidRDefault="007C76DB" w:rsidP="007C76DB">
      <w:pPr>
        <w:pStyle w:val="Default"/>
        <w:rPr>
          <w:sz w:val="14"/>
          <w:szCs w:val="14"/>
        </w:rPr>
      </w:pPr>
      <w:r>
        <w:rPr>
          <w:sz w:val="14"/>
          <w:szCs w:val="14"/>
        </w:rPr>
        <w:lastRenderedPageBreak/>
        <w:t xml:space="preserve">Spis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Spis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Spis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Spis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Spis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Spis </w:t>
      </w:r>
    </w:p>
    <w:p w:rsidR="007C76DB" w:rsidRDefault="007C76DB" w:rsidP="007C76DB">
      <w:pPr>
        <w:pStyle w:val="Default"/>
        <w:rPr>
          <w:sz w:val="16"/>
          <w:szCs w:val="16"/>
        </w:rPr>
      </w:pPr>
      <w:r>
        <w:rPr>
          <w:sz w:val="16"/>
          <w:szCs w:val="16"/>
        </w:rPr>
        <w:t xml:space="preserve">Dokument </w:t>
      </w:r>
    </w:p>
    <w:p w:rsidR="007C76DB" w:rsidRDefault="007C76DB" w:rsidP="007C76DB">
      <w:pPr>
        <w:pStyle w:val="Default"/>
        <w:rPr>
          <w:sz w:val="16"/>
          <w:szCs w:val="16"/>
        </w:rPr>
      </w:pPr>
      <w:r>
        <w:rPr>
          <w:sz w:val="16"/>
          <w:szCs w:val="16"/>
        </w:rPr>
        <w:t xml:space="preserve">Komp. </w:t>
      </w:r>
    </w:p>
    <w:p w:rsidR="007C76DB" w:rsidRDefault="007C76DB" w:rsidP="007C76DB">
      <w:pPr>
        <w:pStyle w:val="Default"/>
        <w:rPr>
          <w:sz w:val="14"/>
          <w:szCs w:val="14"/>
        </w:rPr>
      </w:pPr>
      <w:r>
        <w:rPr>
          <w:sz w:val="14"/>
          <w:szCs w:val="14"/>
        </w:rPr>
        <w:t xml:space="preserve">Věcná skupina </w:t>
      </w:r>
    </w:p>
    <w:p w:rsidR="007C76DB" w:rsidRDefault="007C76DB" w:rsidP="007C76DB">
      <w:pPr>
        <w:pStyle w:val="Default"/>
        <w:rPr>
          <w:sz w:val="14"/>
          <w:szCs w:val="14"/>
        </w:rPr>
      </w:pPr>
      <w:r>
        <w:rPr>
          <w:sz w:val="14"/>
          <w:szCs w:val="14"/>
        </w:rPr>
        <w:t xml:space="preserve">Typ. spis </w:t>
      </w:r>
    </w:p>
    <w:p w:rsidR="007C76DB" w:rsidRDefault="007C76DB" w:rsidP="007C76DB">
      <w:pPr>
        <w:pStyle w:val="Default"/>
        <w:rPr>
          <w:sz w:val="14"/>
          <w:szCs w:val="14"/>
        </w:rPr>
      </w:pPr>
      <w:r>
        <w:rPr>
          <w:sz w:val="14"/>
          <w:szCs w:val="14"/>
        </w:rPr>
        <w:lastRenderedPageBreak/>
        <w:t xml:space="preserve">Součást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Součást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14"/>
          <w:szCs w:val="14"/>
        </w:rPr>
      </w:pPr>
      <w:r>
        <w:rPr>
          <w:sz w:val="14"/>
          <w:szCs w:val="14"/>
        </w:rPr>
        <w:t xml:space="preserve">Součást </w:t>
      </w:r>
    </w:p>
    <w:p w:rsidR="007C76DB" w:rsidRDefault="007C76DB" w:rsidP="007C76DB">
      <w:pPr>
        <w:pStyle w:val="Default"/>
        <w:rPr>
          <w:sz w:val="14"/>
          <w:szCs w:val="14"/>
        </w:rPr>
      </w:pPr>
      <w:r>
        <w:rPr>
          <w:sz w:val="14"/>
          <w:szCs w:val="14"/>
        </w:rPr>
        <w:t xml:space="preserve">Dokument </w:t>
      </w:r>
    </w:p>
    <w:p w:rsidR="007C76DB" w:rsidRDefault="007C76DB" w:rsidP="007C76DB">
      <w:pPr>
        <w:pStyle w:val="Default"/>
        <w:rPr>
          <w:sz w:val="14"/>
          <w:szCs w:val="14"/>
        </w:rPr>
      </w:pPr>
      <w:r>
        <w:rPr>
          <w:sz w:val="14"/>
          <w:szCs w:val="14"/>
        </w:rPr>
        <w:t xml:space="preserve">Komp. </w:t>
      </w:r>
    </w:p>
    <w:p w:rsidR="007C76DB" w:rsidRDefault="007C76DB" w:rsidP="007C76DB">
      <w:pPr>
        <w:pStyle w:val="Default"/>
        <w:rPr>
          <w:sz w:val="20"/>
          <w:szCs w:val="20"/>
        </w:rPr>
      </w:pPr>
      <w:r>
        <w:rPr>
          <w:sz w:val="13"/>
          <w:szCs w:val="13"/>
        </w:rPr>
        <w:t xml:space="preserve">20 </w:t>
      </w:r>
      <w:r>
        <w:rPr>
          <w:sz w:val="20"/>
          <w:szCs w:val="20"/>
        </w:rPr>
        <w:t xml:space="preserve">BROM, Bohumír. </w:t>
      </w:r>
      <w:r>
        <w:rPr>
          <w:i/>
          <w:iCs/>
          <w:sz w:val="20"/>
          <w:szCs w:val="20"/>
        </w:rPr>
        <w:t>Spisová a archivní služba ve veřejném a soukromém sektoru: Praktická příručka pro správu dokumentů</w:t>
      </w:r>
      <w:r>
        <w:rPr>
          <w:sz w:val="20"/>
          <w:szCs w:val="20"/>
        </w:rPr>
        <w:lastRenderedPageBreak/>
        <w:t xml:space="preserve">. Praha: Linde, 2013. s. 42. ISBN: 978-80-7201-913-7. </w:t>
      </w:r>
    </w:p>
    <w:p w:rsidR="007C76DB" w:rsidRDefault="007C76DB" w:rsidP="007C76DB">
      <w:pPr>
        <w:pStyle w:val="Default"/>
        <w:rPr>
          <w:color w:val="auto"/>
        </w:rPr>
        <w:sectPr w:rsidR="007C76DB">
          <w:type w:val="continuous"/>
          <w:pgSz w:w="11906" w:h="17338"/>
          <w:pgMar w:top="1845" w:right="575" w:bottom="658" w:left="1187" w:header="708" w:footer="708" w:gutter="0"/>
          <w:cols w:num="5" w:space="708" w:equalWidth="0">
            <w:col w:w="272" w:space="331"/>
            <w:col w:w="272" w:space="331"/>
            <w:col w:w="272" w:space="331"/>
            <w:col w:w="272" w:space="331"/>
            <w:col w:w="543"/>
          </w:cols>
          <w:noEndnote/>
        </w:sectPr>
      </w:pPr>
    </w:p>
    <w:p w:rsidR="007C76DB" w:rsidRDefault="007C76DB" w:rsidP="007C76DB">
      <w:pPr>
        <w:pStyle w:val="Default"/>
        <w:rPr>
          <w:rFonts w:ascii="Calibri" w:hAnsi="Calibri" w:cs="Calibri"/>
          <w:sz w:val="13"/>
          <w:szCs w:val="13"/>
        </w:rPr>
      </w:pPr>
      <w:r>
        <w:rPr>
          <w:rFonts w:ascii="Calibri" w:hAnsi="Calibri" w:cs="Calibri"/>
          <w:sz w:val="13"/>
          <w:szCs w:val="13"/>
        </w:rPr>
        <w:lastRenderedPageBreak/>
        <w:t xml:space="preserve">21 Tamtéž, s. 42, Schéma č. 1. Vzorové schéma spisového plánu. </w:t>
      </w:r>
    </w:p>
    <w:p w:rsidR="007C76DB" w:rsidRDefault="007C76DB" w:rsidP="007C76DB">
      <w:pPr>
        <w:pStyle w:val="Default"/>
        <w:rPr>
          <w:sz w:val="13"/>
          <w:szCs w:val="13"/>
        </w:rPr>
      </w:pPr>
      <w:r>
        <w:rPr>
          <w:sz w:val="13"/>
          <w:szCs w:val="13"/>
        </w:rPr>
        <w:t xml:space="preserve">22§2 písmeno q zákona č. 499/2004 Sb., o archivnictví a spisové službě a o změně některých zákonů. </w:t>
      </w:r>
    </w:p>
    <w:p w:rsidR="007C76DB" w:rsidRDefault="007C76DB" w:rsidP="007C76DB">
      <w:pPr>
        <w:pStyle w:val="Default"/>
        <w:pageBreakBefore/>
        <w:rPr>
          <w:color w:val="auto"/>
          <w:sz w:val="16"/>
          <w:szCs w:val="16"/>
        </w:rPr>
      </w:pPr>
      <w:r>
        <w:rPr>
          <w:rFonts w:ascii="Calibri" w:hAnsi="Calibri" w:cs="Calibri"/>
          <w:sz w:val="13"/>
          <w:szCs w:val="13"/>
        </w:rPr>
        <w:lastRenderedPageBreak/>
        <w:t xml:space="preserve">23 </w:t>
      </w:r>
      <w:r>
        <w:rPr>
          <w:sz w:val="20"/>
          <w:szCs w:val="20"/>
        </w:rPr>
        <w:t xml:space="preserve">BITTNER, Ivan – BOSÁKOVÁ, Dagmar – KUNTOVÁ Olga. </w:t>
      </w:r>
      <w:r>
        <w:rPr>
          <w:i/>
          <w:iCs/>
          <w:sz w:val="20"/>
          <w:szCs w:val="20"/>
        </w:rPr>
        <w:t>Spisová a archivní služba ve státní správě, samosprávě a v podnikatelské sféře</w:t>
      </w:r>
      <w:r>
        <w:rPr>
          <w:sz w:val="20"/>
          <w:szCs w:val="20"/>
        </w:rPr>
        <w:t xml:space="preserve">, 3. vydání. Linde: Praha, 2005. s. 89. ISBN: 80-7201-549-4. </w:t>
      </w:r>
    </w:p>
    <w:p w:rsidR="007C76DB" w:rsidRDefault="007C76DB" w:rsidP="007C76DB">
      <w:pPr>
        <w:pStyle w:val="Default"/>
        <w:rPr>
          <w:color w:val="auto"/>
          <w:sz w:val="20"/>
          <w:szCs w:val="20"/>
        </w:rPr>
      </w:pPr>
      <w:r>
        <w:rPr>
          <w:color w:val="auto"/>
          <w:sz w:val="20"/>
          <w:szCs w:val="20"/>
        </w:rPr>
        <w:t xml:space="preserve">Schéma č. 1. Vzorové schéma spisového plánu.21 </w:t>
      </w:r>
    </w:p>
    <w:p w:rsidR="007C76DB" w:rsidRDefault="007C76DB" w:rsidP="007C76DB">
      <w:pPr>
        <w:pStyle w:val="Default"/>
        <w:rPr>
          <w:color w:val="auto"/>
          <w:sz w:val="16"/>
          <w:szCs w:val="16"/>
        </w:rPr>
      </w:pPr>
      <w:r>
        <w:rPr>
          <w:color w:val="auto"/>
          <w:sz w:val="23"/>
          <w:szCs w:val="23"/>
        </w:rPr>
        <w:t>Skartační plán primárně pracuje se třemi základními údaji, jimiž jsou spisový znak, skartační znak a skartační lhůta. Spisový znak je označení, „</w:t>
      </w:r>
      <w:r>
        <w:rPr>
          <w:i/>
          <w:iCs/>
          <w:color w:val="auto"/>
          <w:sz w:val="23"/>
          <w:szCs w:val="23"/>
        </w:rPr>
        <w:t>které zařazuje dokumenty do věcných skupin pro účely jejich budoucího vyhledávání, ukládání a vyřazování.</w:t>
      </w:r>
      <w:r>
        <w:rPr>
          <w:i/>
          <w:iCs/>
          <w:color w:val="auto"/>
          <w:sz w:val="16"/>
          <w:szCs w:val="16"/>
        </w:rPr>
        <w:t xml:space="preserve">22 </w:t>
      </w:r>
    </w:p>
    <w:p w:rsidR="007C76DB" w:rsidRDefault="007C76DB" w:rsidP="007C76DB">
      <w:pPr>
        <w:pStyle w:val="Default"/>
        <w:rPr>
          <w:color w:val="auto"/>
          <w:sz w:val="23"/>
          <w:szCs w:val="23"/>
        </w:rPr>
      </w:pPr>
      <w:r>
        <w:rPr>
          <w:color w:val="auto"/>
          <w:sz w:val="23"/>
          <w:szCs w:val="23"/>
        </w:rPr>
        <w:t xml:space="preserve">Spisové znaky bývají zpravidla vytvořeny z číselných sestav, někdy kombinovány </w:t>
      </w:r>
    </w:p>
    <w:p w:rsidR="007C76DB" w:rsidRDefault="007C76DB" w:rsidP="007C76DB">
      <w:pPr>
        <w:pStyle w:val="Default"/>
        <w:rPr>
          <w:rFonts w:ascii="Calibri" w:hAnsi="Calibri" w:cs="Calibri"/>
          <w:color w:val="auto"/>
          <w:sz w:val="22"/>
          <w:szCs w:val="22"/>
        </w:rPr>
      </w:pPr>
      <w:r>
        <w:rPr>
          <w:color w:val="auto"/>
          <w:sz w:val="23"/>
          <w:szCs w:val="23"/>
        </w:rPr>
        <w:t>s abecedními znaky. Výhodné je tzv. desetinné třídění, nebo popřípadě jeho kombinace se znaky abecedy. U desetinného třídění je činnost původce rozdělena do 10 tříd, každá třída do 10 řad a každá řada do 10 podřadí atd. U soukromoprávních původců bývá určený počet tříd někdy problematický, a proto se využívá kombinace písmen a čísel, která dává lepší popisové možnosti.</w:t>
      </w:r>
      <w:r>
        <w:rPr>
          <w:color w:val="auto"/>
          <w:sz w:val="16"/>
          <w:szCs w:val="16"/>
        </w:rPr>
        <w:t xml:space="preserve">23 </w:t>
      </w:r>
      <w:r>
        <w:rPr>
          <w:rFonts w:ascii="Calibri" w:hAnsi="Calibri" w:cs="Calibri"/>
          <w:color w:val="auto"/>
          <w:sz w:val="22"/>
          <w:szCs w:val="22"/>
        </w:rPr>
        <w:t xml:space="preserve">18 </w:t>
      </w:r>
    </w:p>
    <w:tbl>
      <w:tblPr>
        <w:tblW w:w="0" w:type="auto"/>
        <w:tblBorders>
          <w:top w:val="nil"/>
          <w:left w:val="nil"/>
          <w:bottom w:val="nil"/>
          <w:right w:val="nil"/>
        </w:tblBorders>
        <w:tblLayout w:type="fixed"/>
        <w:tblLook w:val="0000" w:firstRow="0" w:lastRow="0" w:firstColumn="0" w:lastColumn="0" w:noHBand="0" w:noVBand="0"/>
      </w:tblPr>
      <w:tblGrid>
        <w:gridCol w:w="2997"/>
        <w:gridCol w:w="2997"/>
        <w:gridCol w:w="2999"/>
      </w:tblGrid>
      <w:tr w:rsidR="007C76DB">
        <w:tblPrEx>
          <w:tblCellMar>
            <w:top w:w="0" w:type="dxa"/>
            <w:bottom w:w="0" w:type="dxa"/>
          </w:tblCellMar>
        </w:tblPrEx>
        <w:trPr>
          <w:trHeight w:val="109"/>
        </w:trPr>
        <w:tc>
          <w:tcPr>
            <w:tcW w:w="8993" w:type="dxa"/>
            <w:gridSpan w:val="3"/>
          </w:tcPr>
          <w:p w:rsidR="007C76DB" w:rsidRDefault="007C76DB">
            <w:pPr>
              <w:pStyle w:val="Default"/>
              <w:rPr>
                <w:sz w:val="23"/>
                <w:szCs w:val="23"/>
              </w:rPr>
            </w:pPr>
            <w:r>
              <w:rPr>
                <w:sz w:val="23"/>
                <w:szCs w:val="23"/>
              </w:rPr>
              <w:t xml:space="preserve">Příklad desetinného třídění </w:t>
            </w:r>
          </w:p>
        </w:tc>
      </w:tr>
      <w:tr w:rsidR="007C76DB">
        <w:tblPrEx>
          <w:tblCellMar>
            <w:top w:w="0" w:type="dxa"/>
            <w:bottom w:w="0" w:type="dxa"/>
          </w:tblCellMar>
        </w:tblPrEx>
        <w:trPr>
          <w:trHeight w:val="109"/>
        </w:trPr>
        <w:tc>
          <w:tcPr>
            <w:tcW w:w="2997" w:type="dxa"/>
          </w:tcPr>
          <w:p w:rsidR="007C76DB" w:rsidRDefault="007C76DB">
            <w:pPr>
              <w:pStyle w:val="Default"/>
              <w:rPr>
                <w:sz w:val="23"/>
                <w:szCs w:val="23"/>
              </w:rPr>
            </w:pPr>
            <w:r>
              <w:rPr>
                <w:i/>
                <w:iCs/>
                <w:sz w:val="23"/>
                <w:szCs w:val="23"/>
              </w:rPr>
              <w:t xml:space="preserve">Členění </w:t>
            </w:r>
          </w:p>
        </w:tc>
        <w:tc>
          <w:tcPr>
            <w:tcW w:w="2997" w:type="dxa"/>
          </w:tcPr>
          <w:p w:rsidR="007C76DB" w:rsidRDefault="007C76DB">
            <w:pPr>
              <w:pStyle w:val="Default"/>
              <w:rPr>
                <w:sz w:val="23"/>
                <w:szCs w:val="23"/>
              </w:rPr>
            </w:pPr>
            <w:r>
              <w:rPr>
                <w:i/>
                <w:iCs/>
                <w:sz w:val="23"/>
                <w:szCs w:val="23"/>
              </w:rPr>
              <w:t xml:space="preserve">Znak </w:t>
            </w:r>
          </w:p>
        </w:tc>
        <w:tc>
          <w:tcPr>
            <w:tcW w:w="2997" w:type="dxa"/>
          </w:tcPr>
          <w:p w:rsidR="007C76DB" w:rsidRDefault="007C76DB">
            <w:pPr>
              <w:pStyle w:val="Default"/>
              <w:rPr>
                <w:sz w:val="23"/>
                <w:szCs w:val="23"/>
              </w:rPr>
            </w:pPr>
            <w:r>
              <w:rPr>
                <w:i/>
                <w:iCs/>
                <w:sz w:val="23"/>
                <w:szCs w:val="23"/>
              </w:rPr>
              <w:t xml:space="preserve">Příklad </w:t>
            </w:r>
          </w:p>
        </w:tc>
      </w:tr>
      <w:tr w:rsidR="007C76DB">
        <w:tblPrEx>
          <w:tblCellMar>
            <w:top w:w="0" w:type="dxa"/>
            <w:bottom w:w="0" w:type="dxa"/>
          </w:tblCellMar>
        </w:tblPrEx>
        <w:trPr>
          <w:trHeight w:val="109"/>
        </w:trPr>
        <w:tc>
          <w:tcPr>
            <w:tcW w:w="2997" w:type="dxa"/>
          </w:tcPr>
          <w:p w:rsidR="007C76DB" w:rsidRDefault="007C76DB">
            <w:pPr>
              <w:pStyle w:val="Default"/>
              <w:rPr>
                <w:sz w:val="23"/>
                <w:szCs w:val="23"/>
              </w:rPr>
            </w:pPr>
            <w:r>
              <w:rPr>
                <w:sz w:val="23"/>
                <w:szCs w:val="23"/>
              </w:rPr>
              <w:t xml:space="preserve">Třída </w:t>
            </w:r>
          </w:p>
        </w:tc>
        <w:tc>
          <w:tcPr>
            <w:tcW w:w="2997" w:type="dxa"/>
          </w:tcPr>
          <w:p w:rsidR="007C76DB" w:rsidRDefault="007C76DB">
            <w:pPr>
              <w:pStyle w:val="Default"/>
              <w:rPr>
                <w:sz w:val="23"/>
                <w:szCs w:val="23"/>
              </w:rPr>
            </w:pPr>
            <w:r>
              <w:rPr>
                <w:sz w:val="23"/>
                <w:szCs w:val="23"/>
              </w:rPr>
              <w:t xml:space="preserve">0 </w:t>
            </w:r>
          </w:p>
        </w:tc>
        <w:tc>
          <w:tcPr>
            <w:tcW w:w="2997" w:type="dxa"/>
          </w:tcPr>
          <w:p w:rsidR="007C76DB" w:rsidRDefault="007C76DB">
            <w:pPr>
              <w:pStyle w:val="Default"/>
              <w:rPr>
                <w:sz w:val="23"/>
                <w:szCs w:val="23"/>
              </w:rPr>
            </w:pPr>
            <w:r>
              <w:rPr>
                <w:sz w:val="23"/>
                <w:szCs w:val="23"/>
              </w:rPr>
              <w:t xml:space="preserve">Řízení organizace </w:t>
            </w:r>
          </w:p>
        </w:tc>
      </w:tr>
      <w:tr w:rsidR="007C76DB">
        <w:tblPrEx>
          <w:tblCellMar>
            <w:top w:w="0" w:type="dxa"/>
            <w:bottom w:w="0" w:type="dxa"/>
          </w:tblCellMar>
        </w:tblPrEx>
        <w:trPr>
          <w:trHeight w:val="109"/>
        </w:trPr>
        <w:tc>
          <w:tcPr>
            <w:tcW w:w="2997" w:type="dxa"/>
          </w:tcPr>
          <w:p w:rsidR="007C76DB" w:rsidRDefault="007C76DB">
            <w:pPr>
              <w:pStyle w:val="Default"/>
              <w:rPr>
                <w:sz w:val="23"/>
                <w:szCs w:val="23"/>
              </w:rPr>
            </w:pPr>
            <w:r>
              <w:rPr>
                <w:sz w:val="23"/>
                <w:szCs w:val="23"/>
              </w:rPr>
              <w:t xml:space="preserve">Řada </w:t>
            </w:r>
          </w:p>
        </w:tc>
        <w:tc>
          <w:tcPr>
            <w:tcW w:w="2997" w:type="dxa"/>
          </w:tcPr>
          <w:p w:rsidR="007C76DB" w:rsidRDefault="007C76DB">
            <w:pPr>
              <w:pStyle w:val="Default"/>
              <w:rPr>
                <w:sz w:val="23"/>
                <w:szCs w:val="23"/>
              </w:rPr>
            </w:pPr>
            <w:r>
              <w:rPr>
                <w:sz w:val="23"/>
                <w:szCs w:val="23"/>
              </w:rPr>
              <w:t xml:space="preserve">02 </w:t>
            </w:r>
          </w:p>
        </w:tc>
        <w:tc>
          <w:tcPr>
            <w:tcW w:w="2997" w:type="dxa"/>
          </w:tcPr>
          <w:p w:rsidR="007C76DB" w:rsidRDefault="007C76DB">
            <w:pPr>
              <w:pStyle w:val="Default"/>
              <w:rPr>
                <w:sz w:val="23"/>
                <w:szCs w:val="23"/>
              </w:rPr>
            </w:pPr>
            <w:r>
              <w:rPr>
                <w:sz w:val="23"/>
                <w:szCs w:val="23"/>
              </w:rPr>
              <w:t xml:space="preserve">Organizace podniku </w:t>
            </w:r>
          </w:p>
        </w:tc>
      </w:tr>
      <w:tr w:rsidR="007C76DB">
        <w:tblPrEx>
          <w:tblCellMar>
            <w:top w:w="0" w:type="dxa"/>
            <w:bottom w:w="0" w:type="dxa"/>
          </w:tblCellMar>
        </w:tblPrEx>
        <w:trPr>
          <w:trHeight w:val="109"/>
        </w:trPr>
        <w:tc>
          <w:tcPr>
            <w:tcW w:w="2997" w:type="dxa"/>
          </w:tcPr>
          <w:p w:rsidR="007C76DB" w:rsidRDefault="007C76DB">
            <w:pPr>
              <w:pStyle w:val="Default"/>
              <w:rPr>
                <w:sz w:val="23"/>
                <w:szCs w:val="23"/>
              </w:rPr>
            </w:pPr>
            <w:r>
              <w:rPr>
                <w:sz w:val="23"/>
                <w:szCs w:val="23"/>
              </w:rPr>
              <w:t xml:space="preserve">Podřadí </w:t>
            </w:r>
          </w:p>
        </w:tc>
        <w:tc>
          <w:tcPr>
            <w:tcW w:w="2997" w:type="dxa"/>
          </w:tcPr>
          <w:p w:rsidR="007C76DB" w:rsidRDefault="007C76DB">
            <w:pPr>
              <w:pStyle w:val="Default"/>
              <w:rPr>
                <w:sz w:val="23"/>
                <w:szCs w:val="23"/>
              </w:rPr>
            </w:pPr>
            <w:r>
              <w:rPr>
                <w:sz w:val="23"/>
                <w:szCs w:val="23"/>
              </w:rPr>
              <w:t xml:space="preserve">026 </w:t>
            </w:r>
          </w:p>
        </w:tc>
        <w:tc>
          <w:tcPr>
            <w:tcW w:w="2997" w:type="dxa"/>
          </w:tcPr>
          <w:p w:rsidR="007C76DB" w:rsidRDefault="007C76DB">
            <w:pPr>
              <w:pStyle w:val="Default"/>
              <w:rPr>
                <w:sz w:val="23"/>
                <w:szCs w:val="23"/>
              </w:rPr>
            </w:pPr>
            <w:r>
              <w:rPr>
                <w:sz w:val="23"/>
                <w:szCs w:val="23"/>
              </w:rPr>
              <w:t xml:space="preserve">Organizace normy </w:t>
            </w:r>
          </w:p>
        </w:tc>
      </w:tr>
      <w:tr w:rsidR="007C76DB">
        <w:tblPrEx>
          <w:tblCellMar>
            <w:top w:w="0" w:type="dxa"/>
            <w:bottom w:w="0" w:type="dxa"/>
          </w:tblCellMar>
        </w:tblPrEx>
        <w:trPr>
          <w:trHeight w:val="109"/>
        </w:trPr>
        <w:tc>
          <w:tcPr>
            <w:tcW w:w="2997" w:type="dxa"/>
          </w:tcPr>
          <w:p w:rsidR="007C76DB" w:rsidRDefault="007C76DB">
            <w:pPr>
              <w:pStyle w:val="Default"/>
              <w:rPr>
                <w:sz w:val="23"/>
                <w:szCs w:val="23"/>
              </w:rPr>
            </w:pPr>
            <w:r>
              <w:rPr>
                <w:sz w:val="23"/>
                <w:szCs w:val="23"/>
              </w:rPr>
              <w:t xml:space="preserve">Skupina </w:t>
            </w:r>
          </w:p>
        </w:tc>
        <w:tc>
          <w:tcPr>
            <w:tcW w:w="2997" w:type="dxa"/>
          </w:tcPr>
          <w:p w:rsidR="007C76DB" w:rsidRDefault="007C76DB">
            <w:pPr>
              <w:pStyle w:val="Default"/>
              <w:rPr>
                <w:sz w:val="23"/>
                <w:szCs w:val="23"/>
              </w:rPr>
            </w:pPr>
            <w:r>
              <w:rPr>
                <w:sz w:val="23"/>
                <w:szCs w:val="23"/>
              </w:rPr>
              <w:t xml:space="preserve">026.1 </w:t>
            </w:r>
          </w:p>
        </w:tc>
        <w:tc>
          <w:tcPr>
            <w:tcW w:w="2997" w:type="dxa"/>
          </w:tcPr>
          <w:p w:rsidR="007C76DB" w:rsidRDefault="007C76DB">
            <w:pPr>
              <w:pStyle w:val="Default"/>
              <w:rPr>
                <w:sz w:val="23"/>
                <w:szCs w:val="23"/>
              </w:rPr>
            </w:pPr>
            <w:r>
              <w:rPr>
                <w:sz w:val="23"/>
                <w:szCs w:val="23"/>
              </w:rPr>
              <w:t xml:space="preserve">Organizace normy podnikové </w:t>
            </w:r>
          </w:p>
        </w:tc>
      </w:tr>
      <w:tr w:rsidR="007C76DB">
        <w:tblPrEx>
          <w:tblCellMar>
            <w:top w:w="0" w:type="dxa"/>
            <w:bottom w:w="0" w:type="dxa"/>
          </w:tblCellMar>
        </w:tblPrEx>
        <w:trPr>
          <w:trHeight w:val="109"/>
        </w:trPr>
        <w:tc>
          <w:tcPr>
            <w:tcW w:w="2997" w:type="dxa"/>
          </w:tcPr>
          <w:p w:rsidR="007C76DB" w:rsidRDefault="007C76DB">
            <w:pPr>
              <w:pStyle w:val="Default"/>
              <w:rPr>
                <w:sz w:val="23"/>
                <w:szCs w:val="23"/>
              </w:rPr>
            </w:pPr>
            <w:r>
              <w:rPr>
                <w:sz w:val="23"/>
                <w:szCs w:val="23"/>
              </w:rPr>
              <w:t xml:space="preserve">Podskupina </w:t>
            </w:r>
          </w:p>
        </w:tc>
        <w:tc>
          <w:tcPr>
            <w:tcW w:w="2997" w:type="dxa"/>
          </w:tcPr>
          <w:p w:rsidR="007C76DB" w:rsidRDefault="007C76DB">
            <w:pPr>
              <w:pStyle w:val="Default"/>
              <w:rPr>
                <w:sz w:val="23"/>
                <w:szCs w:val="23"/>
              </w:rPr>
            </w:pPr>
            <w:r>
              <w:rPr>
                <w:sz w:val="23"/>
                <w:szCs w:val="23"/>
              </w:rPr>
              <w:t xml:space="preserve">026.1.1 </w:t>
            </w:r>
          </w:p>
        </w:tc>
        <w:tc>
          <w:tcPr>
            <w:tcW w:w="2997" w:type="dxa"/>
          </w:tcPr>
          <w:p w:rsidR="007C76DB" w:rsidRDefault="007C76DB">
            <w:pPr>
              <w:pStyle w:val="Default"/>
              <w:rPr>
                <w:sz w:val="23"/>
                <w:szCs w:val="23"/>
              </w:rPr>
            </w:pPr>
            <w:r>
              <w:rPr>
                <w:sz w:val="23"/>
                <w:szCs w:val="23"/>
              </w:rPr>
              <w:t xml:space="preserve">Příkazy vedení podniku </w:t>
            </w:r>
          </w:p>
        </w:tc>
      </w:tr>
    </w:tbl>
    <w:p w:rsidR="003C4E47" w:rsidRDefault="003C4E47">
      <w:bookmarkStart w:id="0" w:name="_GoBack"/>
      <w:bookmarkEnd w:id="0"/>
    </w:p>
    <w:sectPr w:rsidR="003C4E4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EE"/>
    <w:family w:val="swiss"/>
    <w:pitch w:val="variable"/>
    <w:sig w:usb0="E00002FF" w:usb1="4000ACFF" w:usb2="00000001" w:usb3="00000000" w:csb0="0000019F" w:csb1="00000000"/>
  </w:font>
  <w:font w:name="Times New Roman">
    <w:altName w:val="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020DFE"/>
    <w:multiLevelType w:val="hybridMultilevel"/>
    <w:tmpl w:val="85F95A9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B7128B86"/>
    <w:multiLevelType w:val="hybridMultilevel"/>
    <w:tmpl w:val="010A581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EEC326DE"/>
    <w:multiLevelType w:val="hybridMultilevel"/>
    <w:tmpl w:val="054A268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F9CC5135"/>
    <w:multiLevelType w:val="hybridMultilevel"/>
    <w:tmpl w:val="878F556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1AEE5D7F"/>
    <w:multiLevelType w:val="hybridMultilevel"/>
    <w:tmpl w:val="3EA873F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1F296735"/>
    <w:multiLevelType w:val="hybridMultilevel"/>
    <w:tmpl w:val="DA05D86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297045CC"/>
    <w:multiLevelType w:val="hybridMultilevel"/>
    <w:tmpl w:val="A145821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2E2C1EE3"/>
    <w:multiLevelType w:val="hybridMultilevel"/>
    <w:tmpl w:val="DA891E0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5"/>
  </w:num>
  <w:num w:numId="3">
    <w:abstractNumId w:val="1"/>
  </w:num>
  <w:num w:numId="4">
    <w:abstractNumId w:val="6"/>
  </w:num>
  <w:num w:numId="5">
    <w:abstractNumId w:val="3"/>
  </w:num>
  <w:num w:numId="6">
    <w:abstractNumId w:val="4"/>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6DB"/>
    <w:rsid w:val="003C4E47"/>
    <w:rsid w:val="007C76D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7C76D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7C76D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20</Pages>
  <Words>3946</Words>
  <Characters>23284</Characters>
  <Application>Microsoft Office Word</Application>
  <DocSecurity>0</DocSecurity>
  <Lines>194</Lines>
  <Paragraphs>54</Paragraphs>
  <ScaleCrop>false</ScaleCrop>
  <Company>Univerzita Pardubice</Company>
  <LinksUpToDate>false</LinksUpToDate>
  <CharactersWithSpaces>27176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1</cp:revision>
  <dcterms:created xsi:type="dcterms:W3CDTF">2015-07-03T08:57:00Z</dcterms:created>
  <dcterms:modified xsi:type="dcterms:W3CDTF">2015-07-03T08:58:00Z</dcterms:modified>
</cp:coreProperties>
</file>