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47A6" w:rsidRPr="001A36F2" w:rsidRDefault="001A36F2" w:rsidP="001A36F2">
      <w:pPr>
        <w:spacing w:after="200" w:line="360" w:lineRule="auto"/>
        <w:jc w:val="center"/>
        <w:rPr>
          <w:rFonts w:eastAsiaTheme="minorHAnsi"/>
          <w:b/>
          <w:sz w:val="28"/>
          <w:szCs w:val="28"/>
          <w:lang w:eastAsia="en-US"/>
        </w:rPr>
      </w:pPr>
      <w:r w:rsidRPr="001A36F2">
        <w:rPr>
          <w:rFonts w:eastAsiaTheme="minorHAnsi"/>
          <w:b/>
          <w:sz w:val="28"/>
          <w:szCs w:val="28"/>
          <w:lang w:eastAsia="en-US"/>
        </w:rPr>
        <w:t>Kvalita života nemocných s Crohnovou chorobou a intervence nelékařského zdravotnického pracovníka - přehledový článek</w:t>
      </w:r>
    </w:p>
    <w:p w:rsidR="00AA1EE8" w:rsidRPr="00653FF9" w:rsidRDefault="001A36F2" w:rsidP="00AA76D4">
      <w:pPr>
        <w:pStyle w:val="Jmeno"/>
        <w:jc w:val="left"/>
        <w:rPr>
          <w:rFonts w:ascii="Times New Roman" w:hAnsi="Times New Roman" w:cs="Times New Roman"/>
        </w:rPr>
      </w:pPr>
      <w:r>
        <w:rPr>
          <w:rFonts w:ascii="Times New Roman" w:hAnsi="Times New Roman" w:cs="Times New Roman"/>
          <w:sz w:val="24"/>
          <w:szCs w:val="24"/>
        </w:rPr>
        <w:t xml:space="preserve">Hana Ochtinská, Libor </w:t>
      </w:r>
      <w:proofErr w:type="spellStart"/>
      <w:r>
        <w:rPr>
          <w:rFonts w:ascii="Times New Roman" w:hAnsi="Times New Roman" w:cs="Times New Roman"/>
          <w:sz w:val="24"/>
          <w:szCs w:val="24"/>
        </w:rPr>
        <w:t>Gabalec</w:t>
      </w:r>
      <w:proofErr w:type="spellEnd"/>
      <w:r>
        <w:rPr>
          <w:rFonts w:ascii="Times New Roman" w:hAnsi="Times New Roman" w:cs="Times New Roman"/>
          <w:sz w:val="24"/>
          <w:szCs w:val="24"/>
        </w:rPr>
        <w:t>, Jan Bureš</w:t>
      </w:r>
    </w:p>
    <w:p w:rsidR="001A36F2" w:rsidRDefault="001A36F2" w:rsidP="00AA76D4">
      <w:pPr>
        <w:pStyle w:val="Pracovit"/>
      </w:pPr>
      <w:proofErr w:type="spellStart"/>
      <w:r>
        <w:t>Fakulta</w:t>
      </w:r>
      <w:proofErr w:type="spellEnd"/>
      <w:r>
        <w:t xml:space="preserve"> </w:t>
      </w:r>
      <w:proofErr w:type="spellStart"/>
      <w:r>
        <w:t>zdravotnických</w:t>
      </w:r>
      <w:proofErr w:type="spellEnd"/>
      <w:r>
        <w:t xml:space="preserve"> </w:t>
      </w:r>
      <w:proofErr w:type="spellStart"/>
      <w:r>
        <w:t>studií</w:t>
      </w:r>
      <w:proofErr w:type="spellEnd"/>
      <w:r>
        <w:t xml:space="preserve">, </w:t>
      </w:r>
      <w:proofErr w:type="spellStart"/>
      <w:r>
        <w:t>Univerzita</w:t>
      </w:r>
      <w:proofErr w:type="spellEnd"/>
      <w:r>
        <w:t xml:space="preserve"> Pardubice, </w:t>
      </w:r>
    </w:p>
    <w:p w:rsidR="001A36F2" w:rsidRDefault="00CC5671" w:rsidP="00AA76D4">
      <w:pPr>
        <w:pStyle w:val="Pracovit"/>
      </w:pPr>
      <w:proofErr w:type="spellStart"/>
      <w:r>
        <w:t>Interní</w:t>
      </w:r>
      <w:proofErr w:type="spellEnd"/>
      <w:r>
        <w:t xml:space="preserve"> </w:t>
      </w:r>
      <w:proofErr w:type="spellStart"/>
      <w:r>
        <w:t>oddělení</w:t>
      </w:r>
      <w:proofErr w:type="spellEnd"/>
      <w:r>
        <w:t xml:space="preserve"> </w:t>
      </w:r>
      <w:r w:rsidR="001A36F2">
        <w:t xml:space="preserve">– </w:t>
      </w:r>
      <w:proofErr w:type="spellStart"/>
      <w:r w:rsidR="003758A8">
        <w:t>gastroenterologie</w:t>
      </w:r>
      <w:proofErr w:type="spellEnd"/>
      <w:r w:rsidR="001A36F2">
        <w:t xml:space="preserve">, </w:t>
      </w:r>
      <w:proofErr w:type="spellStart"/>
      <w:r w:rsidR="001A36F2">
        <w:t>Orlickoústecká</w:t>
      </w:r>
      <w:proofErr w:type="spellEnd"/>
      <w:r w:rsidR="001A36F2">
        <w:t xml:space="preserve"> </w:t>
      </w:r>
      <w:proofErr w:type="spellStart"/>
      <w:r w:rsidR="001A36F2">
        <w:t>nemocnice</w:t>
      </w:r>
      <w:proofErr w:type="spellEnd"/>
      <w:r w:rsidR="001A36F2">
        <w:t xml:space="preserve">, </w:t>
      </w:r>
    </w:p>
    <w:p w:rsidR="00AA1EE8" w:rsidRPr="00AA76D4" w:rsidRDefault="001A36F2" w:rsidP="00AA76D4">
      <w:pPr>
        <w:pStyle w:val="Pracovit"/>
      </w:pPr>
      <w:r>
        <w:t xml:space="preserve">FN Hradec </w:t>
      </w:r>
      <w:proofErr w:type="spellStart"/>
      <w:r>
        <w:t>Králové</w:t>
      </w:r>
      <w:proofErr w:type="spellEnd"/>
      <w:r>
        <w:t xml:space="preserve">, II. </w:t>
      </w:r>
      <w:proofErr w:type="spellStart"/>
      <w:r>
        <w:t>Interní</w:t>
      </w:r>
      <w:proofErr w:type="spellEnd"/>
      <w:r>
        <w:t xml:space="preserve"> </w:t>
      </w:r>
      <w:proofErr w:type="spellStart"/>
      <w:r>
        <w:t>gastroenterologická</w:t>
      </w:r>
      <w:proofErr w:type="spellEnd"/>
      <w:r>
        <w:t xml:space="preserve"> </w:t>
      </w:r>
      <w:proofErr w:type="spellStart"/>
      <w:r>
        <w:t>klinika</w:t>
      </w:r>
      <w:proofErr w:type="spellEnd"/>
    </w:p>
    <w:p w:rsidR="00AB47A6" w:rsidRPr="00E56C4E" w:rsidRDefault="00AB47A6" w:rsidP="009E66FF">
      <w:pPr>
        <w:pStyle w:val="Zkladntext"/>
      </w:pPr>
    </w:p>
    <w:p w:rsidR="00A165F1" w:rsidRPr="00EB18D7" w:rsidRDefault="00AA1EE8" w:rsidP="00EB18D7">
      <w:pPr>
        <w:pStyle w:val="Zkladntext"/>
        <w:spacing w:before="240"/>
        <w:rPr>
          <w:b/>
          <w:bCs/>
          <w:i/>
          <w:iCs/>
          <w:sz w:val="24"/>
        </w:rPr>
      </w:pPr>
      <w:proofErr w:type="spellStart"/>
      <w:r w:rsidRPr="00EB18D7">
        <w:rPr>
          <w:b/>
          <w:bCs/>
          <w:i/>
          <w:iCs/>
          <w:sz w:val="24"/>
        </w:rPr>
        <w:t>Abstrakt</w:t>
      </w:r>
      <w:proofErr w:type="spellEnd"/>
    </w:p>
    <w:p w:rsidR="001A36F2" w:rsidRPr="001A36F2" w:rsidRDefault="001A36F2" w:rsidP="001A36F2">
      <w:pPr>
        <w:spacing w:after="200" w:line="360" w:lineRule="auto"/>
        <w:jc w:val="both"/>
        <w:rPr>
          <w:rFonts w:eastAsiaTheme="minorHAnsi"/>
          <w:lang w:eastAsia="en-US"/>
        </w:rPr>
      </w:pPr>
      <w:r w:rsidRPr="001A36F2">
        <w:rPr>
          <w:rFonts w:eastAsiaTheme="minorHAnsi"/>
          <w:lang w:eastAsia="en-US"/>
        </w:rPr>
        <w:t xml:space="preserve">Úvod: Crohnova choroba je chronické zánětlivé onemocnění gastrointestinálního traktu. Projevy tohoto onemocnění se liší dle lokalizace. Podle symptomatologie se volí taková léčba a ošetřovatelská péče, která se snaží zvýšit kvalitu života všemi dostupnými prostředky. </w:t>
      </w:r>
    </w:p>
    <w:p w:rsidR="001A36F2" w:rsidRPr="001A36F2" w:rsidRDefault="001A36F2" w:rsidP="001A36F2">
      <w:pPr>
        <w:spacing w:after="200" w:line="360" w:lineRule="auto"/>
        <w:jc w:val="both"/>
        <w:rPr>
          <w:rFonts w:eastAsiaTheme="minorHAnsi"/>
          <w:lang w:eastAsia="en-US"/>
        </w:rPr>
      </w:pPr>
      <w:r w:rsidRPr="001A36F2">
        <w:rPr>
          <w:rFonts w:eastAsiaTheme="minorHAnsi"/>
          <w:lang w:eastAsia="en-US"/>
        </w:rPr>
        <w:t xml:space="preserve">Cíl: Předkládaný příspěvek se snaží zmapovat problematiku Crohnovy choroby a zaměřit se na vhodné ošetřovatelské intervence pro zlepšení kvality života pacientů. </w:t>
      </w:r>
    </w:p>
    <w:p w:rsidR="001A36F2" w:rsidRPr="001A36F2" w:rsidRDefault="001A36F2" w:rsidP="001A36F2">
      <w:pPr>
        <w:spacing w:after="200" w:line="360" w:lineRule="auto"/>
        <w:jc w:val="both"/>
        <w:rPr>
          <w:rFonts w:eastAsiaTheme="minorHAnsi"/>
          <w:lang w:eastAsia="en-US"/>
        </w:rPr>
      </w:pPr>
      <w:r w:rsidRPr="001A36F2">
        <w:rPr>
          <w:rFonts w:eastAsiaTheme="minorHAnsi"/>
          <w:lang w:eastAsia="en-US"/>
        </w:rPr>
        <w:t xml:space="preserve">Metodika: Jedná se o přehledový článek. Informace byly získávány kvalitativní obsahovou analýzou z českých a zahraničních odborných publikací, z článků odborných periodik. Pro vyhledávání byla použita klíčová slova: Crohnova choroba, kvalita života, ošetřovatelské péče. </w:t>
      </w:r>
    </w:p>
    <w:p w:rsidR="00AB47A6" w:rsidRPr="00A20F90" w:rsidRDefault="001A36F2" w:rsidP="00A20F90">
      <w:pPr>
        <w:spacing w:after="200" w:line="360" w:lineRule="auto"/>
        <w:jc w:val="both"/>
        <w:rPr>
          <w:rFonts w:eastAsiaTheme="minorHAnsi"/>
          <w:lang w:eastAsia="en-US"/>
        </w:rPr>
      </w:pPr>
      <w:r w:rsidRPr="001A36F2">
        <w:rPr>
          <w:rFonts w:eastAsiaTheme="minorHAnsi"/>
          <w:lang w:eastAsia="en-US"/>
        </w:rPr>
        <w:t>Závěr: Z analýzy dostupných zdrojů vyplývá důležitost hodnocení kvality života u pacientů s Crohnovou chorobou, získané informace jsou nám dále nápomocny pro komplexní péči o tyto pacienty.</w:t>
      </w:r>
    </w:p>
    <w:p w:rsidR="009E66FF" w:rsidRPr="009E66FF" w:rsidRDefault="00AA1EE8" w:rsidP="00EB18D7">
      <w:pPr>
        <w:pStyle w:val="Zkladntext"/>
        <w:spacing w:before="240"/>
        <w:rPr>
          <w:b/>
          <w:bCs/>
          <w:i/>
          <w:iCs/>
          <w:sz w:val="24"/>
          <w:szCs w:val="24"/>
        </w:rPr>
      </w:pPr>
      <w:proofErr w:type="spellStart"/>
      <w:r w:rsidRPr="009E66FF">
        <w:rPr>
          <w:b/>
          <w:bCs/>
          <w:i/>
          <w:iCs/>
          <w:sz w:val="24"/>
          <w:szCs w:val="24"/>
        </w:rPr>
        <w:t>Klíčová</w:t>
      </w:r>
      <w:proofErr w:type="spellEnd"/>
      <w:r w:rsidRPr="009E66FF">
        <w:rPr>
          <w:b/>
          <w:bCs/>
          <w:i/>
          <w:iCs/>
          <w:sz w:val="24"/>
          <w:szCs w:val="24"/>
        </w:rPr>
        <w:t xml:space="preserve"> </w:t>
      </w:r>
      <w:proofErr w:type="spellStart"/>
      <w:r w:rsidRPr="009E66FF">
        <w:rPr>
          <w:b/>
          <w:bCs/>
          <w:i/>
          <w:iCs/>
          <w:sz w:val="24"/>
          <w:szCs w:val="24"/>
        </w:rPr>
        <w:t>slova</w:t>
      </w:r>
      <w:proofErr w:type="spellEnd"/>
    </w:p>
    <w:p w:rsidR="00530D16" w:rsidRDefault="001A36F2" w:rsidP="00530D16">
      <w:pPr>
        <w:pStyle w:val="Zkladntext"/>
        <w:rPr>
          <w:sz w:val="24"/>
          <w:szCs w:val="24"/>
        </w:rPr>
      </w:pPr>
      <w:proofErr w:type="spellStart"/>
      <w:r>
        <w:rPr>
          <w:sz w:val="24"/>
          <w:szCs w:val="24"/>
        </w:rPr>
        <w:t>Crohnova</w:t>
      </w:r>
      <w:proofErr w:type="spellEnd"/>
      <w:r>
        <w:rPr>
          <w:sz w:val="24"/>
          <w:szCs w:val="24"/>
        </w:rPr>
        <w:t xml:space="preserve"> </w:t>
      </w:r>
      <w:proofErr w:type="spellStart"/>
      <w:r>
        <w:rPr>
          <w:sz w:val="24"/>
          <w:szCs w:val="24"/>
        </w:rPr>
        <w:t>choroba</w:t>
      </w:r>
      <w:proofErr w:type="spellEnd"/>
      <w:r w:rsidR="00BF3E84">
        <w:rPr>
          <w:sz w:val="24"/>
          <w:szCs w:val="24"/>
        </w:rPr>
        <w:t>;</w:t>
      </w:r>
      <w:r>
        <w:rPr>
          <w:sz w:val="24"/>
          <w:szCs w:val="24"/>
        </w:rPr>
        <w:t xml:space="preserve"> </w:t>
      </w:r>
      <w:proofErr w:type="spellStart"/>
      <w:r>
        <w:rPr>
          <w:sz w:val="24"/>
          <w:szCs w:val="24"/>
        </w:rPr>
        <w:t>kvalita</w:t>
      </w:r>
      <w:proofErr w:type="spellEnd"/>
      <w:r>
        <w:rPr>
          <w:sz w:val="24"/>
          <w:szCs w:val="24"/>
        </w:rPr>
        <w:t xml:space="preserve"> </w:t>
      </w:r>
      <w:proofErr w:type="spellStart"/>
      <w:r>
        <w:rPr>
          <w:sz w:val="24"/>
          <w:szCs w:val="24"/>
        </w:rPr>
        <w:t>života</w:t>
      </w:r>
      <w:proofErr w:type="spellEnd"/>
      <w:r w:rsidR="00BF3E84">
        <w:rPr>
          <w:sz w:val="24"/>
          <w:szCs w:val="24"/>
        </w:rPr>
        <w:t>;</w:t>
      </w:r>
      <w:r>
        <w:rPr>
          <w:sz w:val="24"/>
          <w:szCs w:val="24"/>
        </w:rPr>
        <w:t xml:space="preserve"> </w:t>
      </w:r>
      <w:proofErr w:type="spellStart"/>
      <w:r>
        <w:rPr>
          <w:sz w:val="24"/>
          <w:szCs w:val="24"/>
        </w:rPr>
        <w:t>ošetřovatelské</w:t>
      </w:r>
      <w:proofErr w:type="spellEnd"/>
      <w:r>
        <w:rPr>
          <w:sz w:val="24"/>
          <w:szCs w:val="24"/>
        </w:rPr>
        <w:t xml:space="preserve"> </w:t>
      </w:r>
      <w:proofErr w:type="spellStart"/>
      <w:r>
        <w:rPr>
          <w:sz w:val="24"/>
          <w:szCs w:val="24"/>
        </w:rPr>
        <w:t>péče</w:t>
      </w:r>
      <w:proofErr w:type="spellEnd"/>
      <w:r w:rsidR="00530D16">
        <w:rPr>
          <w:sz w:val="24"/>
          <w:szCs w:val="24"/>
        </w:rPr>
        <w:t>.</w:t>
      </w:r>
    </w:p>
    <w:p w:rsidR="00A20F90" w:rsidRDefault="00A20F90" w:rsidP="00530D16">
      <w:pPr>
        <w:pStyle w:val="Zkladntext"/>
        <w:rPr>
          <w:sz w:val="24"/>
          <w:szCs w:val="24"/>
        </w:rPr>
      </w:pPr>
    </w:p>
    <w:p w:rsidR="00AA1EE8" w:rsidRPr="00530D16" w:rsidRDefault="00530D16" w:rsidP="00530D16">
      <w:pPr>
        <w:pStyle w:val="Zkladntext"/>
        <w:rPr>
          <w:i/>
        </w:rPr>
      </w:pPr>
      <w:proofErr w:type="spellStart"/>
      <w:r w:rsidRPr="00530D16">
        <w:rPr>
          <w:rFonts w:eastAsiaTheme="minorHAnsi"/>
          <w:b/>
          <w:lang w:eastAsia="en-US"/>
        </w:rPr>
        <w:lastRenderedPageBreak/>
        <w:t>Úvod</w:t>
      </w:r>
      <w:proofErr w:type="spellEnd"/>
    </w:p>
    <w:p w:rsidR="00530D16" w:rsidRPr="00530D16" w:rsidRDefault="00530D16" w:rsidP="00530D16">
      <w:pPr>
        <w:spacing w:after="200" w:line="360" w:lineRule="auto"/>
        <w:jc w:val="both"/>
        <w:rPr>
          <w:rFonts w:eastAsiaTheme="minorHAnsi"/>
          <w:lang w:eastAsia="en-US"/>
        </w:rPr>
      </w:pPr>
      <w:r w:rsidRPr="00530D16">
        <w:rPr>
          <w:rFonts w:eastAsiaTheme="minorHAnsi"/>
          <w:lang w:eastAsia="en-US"/>
        </w:rPr>
        <w:t xml:space="preserve">Crohnova choroba je chronické zánětlivé onemocnění, které může postihnout kteroukoli část gastrointestinálního traktu. Rozdělení výskytu v dané lokalizaci je zhruba po třetinách, kdy třetina postihuje pouze tlusté střevo, třetina pouze tenké střevo, třetina jak tenké, tak tlusté střevo </w:t>
      </w:r>
      <w:r w:rsidRPr="00530D16">
        <w:rPr>
          <w:rFonts w:eastAsiaTheme="minorHAnsi" w:cstheme="minorBidi"/>
          <w:szCs w:val="22"/>
          <w:lang w:eastAsia="en-US"/>
        </w:rPr>
        <w:t>(</w:t>
      </w:r>
      <w:r w:rsidRPr="002A70FC">
        <w:rPr>
          <w:rFonts w:eastAsiaTheme="minorHAnsi" w:cstheme="minorBidi"/>
          <w:szCs w:val="22"/>
          <w:lang w:eastAsia="en-US"/>
        </w:rPr>
        <w:t>Bureš a kol., 2014</w:t>
      </w:r>
      <w:r w:rsidR="002A70FC" w:rsidRPr="002A70FC">
        <w:rPr>
          <w:rFonts w:eastAsiaTheme="minorHAnsi" w:cstheme="minorBidi"/>
          <w:szCs w:val="22"/>
          <w:lang w:eastAsia="en-US"/>
        </w:rPr>
        <w:t>, s. 402</w:t>
      </w:r>
      <w:r w:rsidRPr="002A70FC">
        <w:rPr>
          <w:rFonts w:eastAsiaTheme="minorHAnsi" w:cstheme="minorBidi"/>
          <w:szCs w:val="22"/>
          <w:lang w:eastAsia="en-US"/>
        </w:rPr>
        <w:t xml:space="preserve">). </w:t>
      </w:r>
      <w:r w:rsidRPr="00530D16">
        <w:rPr>
          <w:rFonts w:eastAsiaTheme="minorHAnsi"/>
          <w:lang w:eastAsia="en-US"/>
        </w:rPr>
        <w:t>V anglické literatuře je pro toto onemocnění často používán termín „</w:t>
      </w:r>
      <w:proofErr w:type="spellStart"/>
      <w:r w:rsidRPr="00530D16">
        <w:rPr>
          <w:rFonts w:eastAsiaTheme="minorHAnsi"/>
          <w:lang w:eastAsia="en-US"/>
        </w:rPr>
        <w:t>inflammatory</w:t>
      </w:r>
      <w:proofErr w:type="spellEnd"/>
      <w:r w:rsidRPr="00530D16">
        <w:rPr>
          <w:rFonts w:eastAsiaTheme="minorHAnsi"/>
          <w:lang w:eastAsia="en-US"/>
        </w:rPr>
        <w:t xml:space="preserve"> </w:t>
      </w:r>
      <w:proofErr w:type="spellStart"/>
      <w:r w:rsidRPr="00530D16">
        <w:rPr>
          <w:rFonts w:eastAsiaTheme="minorHAnsi"/>
          <w:lang w:eastAsia="en-US"/>
        </w:rPr>
        <w:t>bowel</w:t>
      </w:r>
      <w:proofErr w:type="spellEnd"/>
      <w:r w:rsidRPr="00530D16">
        <w:rPr>
          <w:rFonts w:eastAsiaTheme="minorHAnsi"/>
          <w:lang w:eastAsia="en-US"/>
        </w:rPr>
        <w:t xml:space="preserve"> </w:t>
      </w:r>
      <w:proofErr w:type="spellStart"/>
      <w:r w:rsidRPr="00530D16">
        <w:rPr>
          <w:rFonts w:eastAsiaTheme="minorHAnsi"/>
          <w:lang w:eastAsia="en-US"/>
        </w:rPr>
        <w:t>disease</w:t>
      </w:r>
      <w:proofErr w:type="spellEnd"/>
      <w:r w:rsidRPr="00530D16">
        <w:rPr>
          <w:rFonts w:eastAsiaTheme="minorHAnsi"/>
          <w:lang w:eastAsia="en-US"/>
        </w:rPr>
        <w:t xml:space="preserve">“. Do tohoto označení je zařazována také Ulcerózní kolitida </w:t>
      </w:r>
      <w:r w:rsidRPr="00530D16">
        <w:rPr>
          <w:rFonts w:eastAsiaTheme="minorHAnsi" w:cstheme="minorBidi"/>
          <w:szCs w:val="22"/>
          <w:lang w:eastAsia="en-US"/>
        </w:rPr>
        <w:t>(</w:t>
      </w:r>
      <w:proofErr w:type="spellStart"/>
      <w:r w:rsidRPr="00530D16">
        <w:rPr>
          <w:rFonts w:eastAsiaTheme="minorHAnsi" w:cstheme="minorBidi"/>
          <w:szCs w:val="22"/>
          <w:lang w:eastAsia="en-US"/>
        </w:rPr>
        <w:t>Huvar</w:t>
      </w:r>
      <w:proofErr w:type="spellEnd"/>
      <w:r w:rsidRPr="00530D16">
        <w:rPr>
          <w:rFonts w:eastAsiaTheme="minorHAnsi" w:cstheme="minorBidi"/>
          <w:szCs w:val="22"/>
          <w:lang w:eastAsia="en-US"/>
        </w:rPr>
        <w:t>, 2007</w:t>
      </w:r>
      <w:r w:rsidR="0067415D">
        <w:rPr>
          <w:rFonts w:eastAsiaTheme="minorHAnsi" w:cstheme="minorBidi"/>
          <w:szCs w:val="22"/>
          <w:lang w:eastAsia="en-US"/>
        </w:rPr>
        <w:t>, s. 506</w:t>
      </w:r>
      <w:r w:rsidRPr="00530D16">
        <w:rPr>
          <w:rFonts w:eastAsiaTheme="minorHAnsi" w:cstheme="minorBidi"/>
          <w:szCs w:val="22"/>
          <w:lang w:eastAsia="en-US"/>
        </w:rPr>
        <w:t>)</w:t>
      </w:r>
      <w:r w:rsidRPr="00530D16">
        <w:rPr>
          <w:rFonts w:eastAsiaTheme="minorHAnsi"/>
          <w:lang w:eastAsia="en-US"/>
        </w:rPr>
        <w:t>. Onemocnění Crohnova choroba je nejčastěji diagnostikováno v reproduktivním období života jedince, ale není výjimkou nález onemocnění v dětském věku. Vyskytuje se u mužů i u žen</w:t>
      </w:r>
      <w:r w:rsidRPr="00530D16">
        <w:rPr>
          <w:rFonts w:eastAsiaTheme="minorHAnsi" w:cstheme="minorBidi"/>
          <w:szCs w:val="22"/>
          <w:lang w:eastAsia="en-US"/>
        </w:rPr>
        <w:t xml:space="preserve"> (Koželuhová a kol., 2016</w:t>
      </w:r>
      <w:r w:rsidR="0067415D">
        <w:rPr>
          <w:rFonts w:eastAsiaTheme="minorHAnsi" w:cstheme="minorBidi"/>
          <w:szCs w:val="22"/>
          <w:lang w:eastAsia="en-US"/>
        </w:rPr>
        <w:t>, s. 218</w:t>
      </w:r>
      <w:r w:rsidRPr="00530D16">
        <w:rPr>
          <w:rFonts w:eastAsiaTheme="minorHAnsi" w:cstheme="minorBidi"/>
          <w:szCs w:val="22"/>
          <w:lang w:eastAsia="en-US"/>
        </w:rPr>
        <w:t>). U nemocných trpících touto chorobou je významně ovlivněna kvalita života v biopsychosociálním pohledu</w:t>
      </w:r>
      <w:r w:rsidRPr="00530D16">
        <w:rPr>
          <w:rFonts w:eastAsiaTheme="minorHAnsi"/>
          <w:lang w:eastAsia="en-US"/>
        </w:rPr>
        <w:t xml:space="preserve">. Cílem nejen ošetřovatelské péče je pomoci lidem zlepšit, udržet, zvládat zdravotní potíže </w:t>
      </w:r>
      <w:r w:rsidR="00855A2E">
        <w:rPr>
          <w:rFonts w:eastAsiaTheme="minorHAnsi"/>
          <w:lang w:eastAsia="en-US"/>
        </w:rPr>
        <w:br/>
      </w:r>
      <w:r w:rsidRPr="00530D16">
        <w:rPr>
          <w:rFonts w:eastAsiaTheme="minorHAnsi"/>
          <w:lang w:eastAsia="en-US"/>
        </w:rPr>
        <w:t>a dosáhnout co nejlepší kvality života (Plevová, 2011</w:t>
      </w:r>
      <w:r w:rsidR="0067415D">
        <w:rPr>
          <w:rFonts w:eastAsiaTheme="minorHAnsi"/>
          <w:lang w:eastAsia="en-US"/>
        </w:rPr>
        <w:t>, s. 58-59</w:t>
      </w:r>
      <w:r w:rsidRPr="00530D16">
        <w:rPr>
          <w:rFonts w:eastAsiaTheme="minorHAnsi"/>
          <w:lang w:eastAsia="en-US"/>
        </w:rPr>
        <w:t>).</w:t>
      </w:r>
      <w:r w:rsidRPr="00530D16">
        <w:rPr>
          <w:rFonts w:asciiTheme="minorHAnsi" w:eastAsiaTheme="minorHAnsi" w:hAnsiTheme="minorHAnsi" w:cstheme="minorBidi"/>
          <w:sz w:val="22"/>
          <w:szCs w:val="22"/>
          <w:lang w:eastAsia="en-US"/>
        </w:rPr>
        <w:t xml:space="preserve">  </w:t>
      </w:r>
    </w:p>
    <w:p w:rsidR="00177757" w:rsidRPr="00E56C4E" w:rsidRDefault="00177757" w:rsidP="008E7ABF">
      <w:pPr>
        <w:pStyle w:val="Zkladntext"/>
      </w:pPr>
    </w:p>
    <w:p w:rsidR="00AA1EE8" w:rsidRPr="00530D16" w:rsidRDefault="00530D16" w:rsidP="00530D16">
      <w:pPr>
        <w:spacing w:after="200" w:line="360" w:lineRule="auto"/>
        <w:jc w:val="both"/>
        <w:rPr>
          <w:rFonts w:eastAsiaTheme="minorHAnsi"/>
          <w:lang w:eastAsia="en-US"/>
        </w:rPr>
      </w:pPr>
      <w:r w:rsidRPr="00530D16">
        <w:rPr>
          <w:rFonts w:eastAsiaTheme="minorHAnsi"/>
          <w:b/>
          <w:lang w:eastAsia="en-US"/>
        </w:rPr>
        <w:t>Historie Crohnovy choroby</w:t>
      </w:r>
    </w:p>
    <w:p w:rsidR="00530D16" w:rsidRPr="00530D16" w:rsidRDefault="00530D16" w:rsidP="00530D16">
      <w:pPr>
        <w:spacing w:after="240" w:line="360" w:lineRule="auto"/>
        <w:jc w:val="both"/>
      </w:pPr>
      <w:r w:rsidRPr="00530D16">
        <w:t>Historie Crohnovy choroby jako samostatného onemocnění se datuje k roku 1932.</w:t>
      </w:r>
      <w:r w:rsidRPr="00530D16">
        <w:rPr>
          <w:color w:val="FF0000"/>
        </w:rPr>
        <w:t xml:space="preserve"> </w:t>
      </w:r>
      <w:r w:rsidRPr="00530D16">
        <w:t>Již ve staré lékařské literatuře jsou ale k nalezení záznamy o nemocných, které charakterizují tuto nemoc. V české literatuře, profesor Thomayer ve svém spise ,,</w:t>
      </w:r>
      <w:proofErr w:type="spellStart"/>
      <w:r w:rsidRPr="00530D16">
        <w:t>Pathologie</w:t>
      </w:r>
      <w:proofErr w:type="spellEnd"/>
      <w:r w:rsidRPr="00530D16">
        <w:t xml:space="preserve"> a </w:t>
      </w:r>
      <w:proofErr w:type="spellStart"/>
      <w:r w:rsidRPr="00530D16">
        <w:t>therapie</w:t>
      </w:r>
      <w:proofErr w:type="spellEnd"/>
      <w:r w:rsidRPr="00530D16">
        <w:t xml:space="preserve"> nemocí vnitřních“ z roku 1893, popisuje případy nemocných s „</w:t>
      </w:r>
      <w:proofErr w:type="spellStart"/>
      <w:r w:rsidRPr="00530D16">
        <w:t>počasným</w:t>
      </w:r>
      <w:proofErr w:type="spellEnd"/>
      <w:r w:rsidRPr="00530D16">
        <w:t xml:space="preserve"> </w:t>
      </w:r>
      <w:proofErr w:type="spellStart"/>
      <w:r w:rsidRPr="00530D16">
        <w:t>katharem</w:t>
      </w:r>
      <w:proofErr w:type="spellEnd"/>
      <w:r w:rsidRPr="00530D16">
        <w:t xml:space="preserve"> střevním“, které připomínají ,,Crohna“. (Červenková, 2009</w:t>
      </w:r>
      <w:r w:rsidR="0067415D">
        <w:t>, s. 10-11</w:t>
      </w:r>
      <w:r w:rsidRPr="00530D16">
        <w:t>).</w:t>
      </w:r>
      <w:r w:rsidRPr="00530D16">
        <w:rPr>
          <w:color w:val="000000" w:themeColor="text1"/>
        </w:rPr>
        <w:t xml:space="preserve"> O poznání nemoci se zasloužil také český profesor </w:t>
      </w:r>
      <w:proofErr w:type="spellStart"/>
      <w:r w:rsidRPr="00530D16">
        <w:rPr>
          <w:color w:val="000000" w:themeColor="text1"/>
        </w:rPr>
        <w:t>Mařatka</w:t>
      </w:r>
      <w:proofErr w:type="spellEnd"/>
      <w:r w:rsidRPr="00530D16">
        <w:rPr>
          <w:color w:val="000000" w:themeColor="text1"/>
        </w:rPr>
        <w:t xml:space="preserve"> se svými žáky. Název dostala po americkém gastroenterologovi </w:t>
      </w:r>
      <w:proofErr w:type="spellStart"/>
      <w:r w:rsidRPr="00530D16">
        <w:rPr>
          <w:color w:val="000000" w:themeColor="text1"/>
        </w:rPr>
        <w:t>Burillu</w:t>
      </w:r>
      <w:proofErr w:type="spellEnd"/>
      <w:r w:rsidRPr="00530D16">
        <w:rPr>
          <w:color w:val="000000" w:themeColor="text1"/>
        </w:rPr>
        <w:t xml:space="preserve"> Bernardu Crohnovi, </w:t>
      </w:r>
      <w:r w:rsidRPr="00530D16">
        <w:rPr>
          <w:rFonts w:eastAsiaTheme="minorHAnsi"/>
          <w:color w:val="000000" w:themeColor="text1"/>
          <w:lang w:eastAsia="en-US"/>
        </w:rPr>
        <w:t xml:space="preserve">který tuto nemoc popsal společně ještě s L. </w:t>
      </w:r>
      <w:proofErr w:type="spellStart"/>
      <w:r w:rsidRPr="00530D16">
        <w:rPr>
          <w:rFonts w:eastAsiaTheme="minorHAnsi"/>
          <w:color w:val="000000" w:themeColor="text1"/>
          <w:lang w:eastAsia="en-US"/>
        </w:rPr>
        <w:t>Ginzburgem</w:t>
      </w:r>
      <w:proofErr w:type="spellEnd"/>
      <w:r w:rsidRPr="00530D16">
        <w:rPr>
          <w:rFonts w:eastAsiaTheme="minorHAnsi"/>
          <w:color w:val="000000" w:themeColor="text1"/>
          <w:lang w:eastAsia="en-US"/>
        </w:rPr>
        <w:t xml:space="preserve"> a G. Oppenheimerem </w:t>
      </w:r>
      <w:r w:rsidRPr="00530D16">
        <w:rPr>
          <w:rFonts w:eastAsiaTheme="minorHAnsi" w:cstheme="minorBidi"/>
          <w:color w:val="000000" w:themeColor="text1"/>
          <w:szCs w:val="22"/>
          <w:lang w:eastAsia="en-US"/>
        </w:rPr>
        <w:t>(Kohout a kol., 2004</w:t>
      </w:r>
      <w:r w:rsidR="0067415D">
        <w:rPr>
          <w:rFonts w:eastAsiaTheme="minorHAnsi" w:cstheme="minorBidi"/>
          <w:color w:val="000000" w:themeColor="text1"/>
          <w:szCs w:val="22"/>
          <w:lang w:eastAsia="en-US"/>
        </w:rPr>
        <w:t xml:space="preserve">, </w:t>
      </w:r>
      <w:r w:rsidR="006A3FE1">
        <w:rPr>
          <w:rFonts w:eastAsiaTheme="minorHAnsi" w:cstheme="minorBidi"/>
          <w:color w:val="000000" w:themeColor="text1"/>
          <w:szCs w:val="22"/>
          <w:lang w:eastAsia="en-US"/>
        </w:rPr>
        <w:br/>
      </w:r>
      <w:r w:rsidR="0067415D">
        <w:rPr>
          <w:rFonts w:eastAsiaTheme="minorHAnsi" w:cstheme="minorBidi"/>
          <w:color w:val="000000" w:themeColor="text1"/>
          <w:szCs w:val="22"/>
          <w:lang w:eastAsia="en-US"/>
        </w:rPr>
        <w:t>s. 18-19</w:t>
      </w:r>
      <w:r w:rsidRPr="00530D16">
        <w:rPr>
          <w:rFonts w:eastAsiaTheme="minorHAnsi" w:cstheme="minorBidi"/>
          <w:color w:val="000000" w:themeColor="text1"/>
          <w:szCs w:val="22"/>
          <w:lang w:eastAsia="en-US"/>
        </w:rPr>
        <w:t>)</w:t>
      </w:r>
      <w:r w:rsidRPr="00530D16">
        <w:rPr>
          <w:rFonts w:eastAsiaTheme="minorHAnsi"/>
          <w:color w:val="000000" w:themeColor="text1"/>
          <w:lang w:eastAsia="en-US"/>
        </w:rPr>
        <w:t>.</w:t>
      </w:r>
      <w:r w:rsidRPr="00530D16">
        <w:rPr>
          <w:color w:val="000000" w:themeColor="text1"/>
        </w:rPr>
        <w:t xml:space="preserve"> </w:t>
      </w:r>
    </w:p>
    <w:p w:rsidR="00AA1EE8" w:rsidRPr="00E56C4E" w:rsidRDefault="00AA1EE8" w:rsidP="009E66FF">
      <w:pPr>
        <w:pStyle w:val="Zkladntext"/>
      </w:pPr>
    </w:p>
    <w:p w:rsidR="00124275" w:rsidRPr="00530D16" w:rsidRDefault="00530D16" w:rsidP="00530D16">
      <w:pPr>
        <w:pStyle w:val="DPNormaln"/>
        <w:spacing w:after="240"/>
        <w:ind w:firstLine="0"/>
        <w:rPr>
          <w:b/>
        </w:rPr>
      </w:pPr>
      <w:r w:rsidRPr="00626128">
        <w:rPr>
          <w:b/>
        </w:rPr>
        <w:lastRenderedPageBreak/>
        <w:t>Crohnova choroba</w:t>
      </w:r>
    </w:p>
    <w:p w:rsidR="00530D16" w:rsidRPr="00530D16" w:rsidRDefault="00530D16" w:rsidP="00530D16">
      <w:pPr>
        <w:spacing w:after="200" w:line="360" w:lineRule="auto"/>
        <w:jc w:val="both"/>
        <w:rPr>
          <w:rFonts w:eastAsiaTheme="minorHAnsi"/>
          <w:lang w:eastAsia="en-US"/>
        </w:rPr>
      </w:pPr>
      <w:r w:rsidRPr="00530D16">
        <w:rPr>
          <w:rFonts w:eastAsiaTheme="minorHAnsi" w:cstheme="minorBidi"/>
          <w:szCs w:val="22"/>
          <w:lang w:eastAsia="en-US"/>
        </w:rPr>
        <w:t>Onemocnění se jeví jako ohraničený segmentální zánět, který může postihovat více úseků gastrointestinálního traktu současně. Charakteristické je také postižení celé tloušťky stěny trubice a může zde způsobit různá charakteristická poškození.</w:t>
      </w:r>
      <w:r w:rsidRPr="00530D16">
        <w:rPr>
          <w:rFonts w:eastAsiaTheme="minorHAnsi"/>
          <w:lang w:eastAsia="en-US"/>
        </w:rPr>
        <w:t xml:space="preserve"> Typickými nálezy na střevě jsou aftózní vředy s bělavým středem </w:t>
      </w:r>
      <w:r w:rsidR="00A20F90">
        <w:rPr>
          <w:rFonts w:eastAsiaTheme="minorHAnsi"/>
          <w:lang w:eastAsia="en-US"/>
        </w:rPr>
        <w:br/>
      </w:r>
      <w:r w:rsidRPr="00530D16">
        <w:rPr>
          <w:rFonts w:eastAsiaTheme="minorHAnsi"/>
          <w:lang w:eastAsia="en-US"/>
        </w:rPr>
        <w:t>a zarudlým lemem. Sliznice je prosáklá, zarudlá, s hlubokými fisurami.</w:t>
      </w:r>
      <w:r w:rsidRPr="00530D16">
        <w:rPr>
          <w:rFonts w:eastAsiaTheme="minorHAnsi" w:cstheme="minorBidi"/>
          <w:szCs w:val="22"/>
          <w:lang w:eastAsia="en-US"/>
        </w:rPr>
        <w:t xml:space="preserve"> </w:t>
      </w:r>
      <w:r w:rsidRPr="00530D16">
        <w:rPr>
          <w:rFonts w:eastAsiaTheme="minorHAnsi"/>
          <w:lang w:eastAsia="en-US"/>
        </w:rPr>
        <w:t xml:space="preserve">Při těžkém průběhu onemocnění se také mohou objevovat </w:t>
      </w:r>
      <w:r w:rsidRPr="00530D16">
        <w:rPr>
          <w:rFonts w:eastAsiaTheme="minorHAnsi"/>
          <w:lang w:eastAsia="en-US"/>
        </w:rPr>
        <w:br/>
      </w:r>
      <w:proofErr w:type="spellStart"/>
      <w:r w:rsidRPr="00530D16">
        <w:rPr>
          <w:rFonts w:eastAsiaTheme="minorHAnsi"/>
          <w:lang w:eastAsia="en-US"/>
        </w:rPr>
        <w:t>mimostřevní</w:t>
      </w:r>
      <w:proofErr w:type="spellEnd"/>
      <w:r w:rsidRPr="00530D16">
        <w:rPr>
          <w:rFonts w:eastAsiaTheme="minorHAnsi"/>
          <w:lang w:eastAsia="en-US"/>
        </w:rPr>
        <w:t xml:space="preserve"> projevy (</w:t>
      </w:r>
      <w:r w:rsidRPr="009069B6">
        <w:rPr>
          <w:rFonts w:eastAsiaTheme="minorHAnsi"/>
          <w:lang w:eastAsia="en-US"/>
        </w:rPr>
        <w:t>Navrátil a kol, 2008</w:t>
      </w:r>
      <w:r w:rsidR="009069B6" w:rsidRPr="009069B6">
        <w:rPr>
          <w:rFonts w:eastAsiaTheme="minorHAnsi"/>
          <w:lang w:eastAsia="en-US"/>
        </w:rPr>
        <w:t>, s. 269-270</w:t>
      </w:r>
      <w:r w:rsidRPr="009069B6">
        <w:rPr>
          <w:rFonts w:eastAsiaTheme="minorHAnsi"/>
          <w:lang w:eastAsia="en-US"/>
        </w:rPr>
        <w:t xml:space="preserve">). </w:t>
      </w:r>
      <w:r w:rsidRPr="00530D16">
        <w:rPr>
          <w:rFonts w:eastAsia="TimesNewRomanPSMT"/>
        </w:rPr>
        <w:t>P</w:t>
      </w:r>
      <w:r w:rsidRPr="00530D16">
        <w:t xml:space="preserve">rojevy, které jsou charakteristické pro tuto chorobu, jsou velmi rozdílné. Liší se podle postižené části trávicí trubice a v jaké míře zánět postihl. Na spojení tenkého a tlustého střeva se Crohnova nemoc projevuje bolestmi břicha, průjmy a hubnutím. Bolesti jsou křečovité a dostavují se hlavně po jídle. Stálá bolest může signalizovat nějakou komplikaci. Průjmy jsou vždy a předcházejí jim bolesti břicha. Hubnutí nastává vlivem sníženého příjmu potravy. Postižení tlustého střeva zánětem se projevuje bolestmi břicha, průjmy, někdy až krvavými </w:t>
      </w:r>
      <w:r w:rsidR="006A3FE1">
        <w:br/>
      </w:r>
      <w:r w:rsidRPr="00530D16">
        <w:t xml:space="preserve">a </w:t>
      </w:r>
      <w:proofErr w:type="spellStart"/>
      <w:r w:rsidRPr="00530D16">
        <w:t>mimostřevními</w:t>
      </w:r>
      <w:proofErr w:type="spellEnd"/>
      <w:r w:rsidRPr="00530D16">
        <w:t xml:space="preserve"> projevy, jako například záněty kloubů, očí a kožními změnami. Pokud je zasaženo tenké střevo, nemocný si stěžuje na bolesti břicha, hubnutí, neprospívání, laboratorně bývá zjištěna anémie a</w:t>
      </w:r>
      <w:r w:rsidRPr="00530D16">
        <w:rPr>
          <w:color w:val="FF0000"/>
        </w:rPr>
        <w:t xml:space="preserve"> </w:t>
      </w:r>
      <w:r w:rsidRPr="00530D16">
        <w:t>hrozí neprůchodnost střeva. V oblasti konečníku a řitního otvoru se vyskytují především opakované abscesy, píštěle a vředy. Nejzávažnějšími komplikacemi Crohnovy choroby jsou adenom střeva nebo non-</w:t>
      </w:r>
      <w:proofErr w:type="spellStart"/>
      <w:r w:rsidRPr="00530D16">
        <w:t>Hodgkinův</w:t>
      </w:r>
      <w:proofErr w:type="spellEnd"/>
      <w:r w:rsidRPr="00530D16">
        <w:t xml:space="preserve"> lymfom (Červenková, 2009</w:t>
      </w:r>
      <w:r w:rsidR="0067415D">
        <w:t>, s. 15-29</w:t>
      </w:r>
      <w:r w:rsidRPr="00530D16">
        <w:t>; Vícha, 2013</w:t>
      </w:r>
      <w:r w:rsidR="0067415D">
        <w:t xml:space="preserve">, s. </w:t>
      </w:r>
      <w:r w:rsidR="007D0DCE">
        <w:t>16-17</w:t>
      </w:r>
      <w:r w:rsidRPr="00530D16">
        <w:t>).</w:t>
      </w:r>
    </w:p>
    <w:p w:rsidR="00530D16" w:rsidRPr="00530D16" w:rsidRDefault="00530D16" w:rsidP="00530D16">
      <w:pPr>
        <w:suppressAutoHyphens/>
        <w:spacing w:after="200" w:line="360" w:lineRule="auto"/>
        <w:jc w:val="both"/>
        <w:rPr>
          <w:rFonts w:cs="Calibri"/>
          <w:lang w:eastAsia="ar-SA"/>
        </w:rPr>
      </w:pPr>
      <w:r w:rsidRPr="00530D16">
        <w:rPr>
          <w:rFonts w:cs="Calibri"/>
          <w:lang w:eastAsia="ar-SA"/>
        </w:rPr>
        <w:t xml:space="preserve">Pro rozlišení typu postižení a k hodnocení efektivity i prognózy nemoci </w:t>
      </w:r>
      <w:r w:rsidR="00A20F90">
        <w:rPr>
          <w:rFonts w:cs="Calibri"/>
          <w:lang w:eastAsia="ar-SA"/>
        </w:rPr>
        <w:t xml:space="preserve">se používají různé </w:t>
      </w:r>
      <w:r w:rsidRPr="00530D16">
        <w:rPr>
          <w:rFonts w:cs="Calibri"/>
          <w:lang w:eastAsia="ar-SA"/>
        </w:rPr>
        <w:t xml:space="preserve">klasifikace. V současné době je známá klasifikace Vídeňská </w:t>
      </w:r>
      <w:r w:rsidR="00193AAF">
        <w:rPr>
          <w:rFonts w:cs="Calibri"/>
          <w:lang w:eastAsia="ar-SA"/>
        </w:rPr>
        <w:br/>
      </w:r>
      <w:r w:rsidRPr="00530D16">
        <w:rPr>
          <w:rFonts w:cs="Calibri"/>
          <w:lang w:eastAsia="ar-SA"/>
        </w:rPr>
        <w:t>a novější z roku 2006 je klasifikace Montrealská. V klasifikacích se posuzuje věk při stanovení diagnózy, lokalizace postižení a charakteristika onemocnění. Nemoc probíhá chronicky s obdobím zhoršení (relapsů) a zklidnění (remisí).</w:t>
      </w:r>
      <w:r w:rsidRPr="00530D16">
        <w:rPr>
          <w:rFonts w:ascii="TimesNewRomanPSMT" w:eastAsia="TimesNewRomanPSMT" w:cs="TimesNewRomanPSMT"/>
          <w:lang w:eastAsia="ar-SA"/>
        </w:rPr>
        <w:t xml:space="preserve"> </w:t>
      </w:r>
      <w:r w:rsidRPr="00530D16">
        <w:rPr>
          <w:rFonts w:eastAsia="TimesNewRomanPSMT" w:cs="Calibri"/>
          <w:lang w:eastAsia="ar-SA"/>
        </w:rPr>
        <w:lastRenderedPageBreak/>
        <w:t>Aktivita zahrnuje známky kli</w:t>
      </w:r>
      <w:r w:rsidR="00A20F90">
        <w:rPr>
          <w:rFonts w:eastAsia="TimesNewRomanPSMT" w:cs="Calibri"/>
          <w:lang w:eastAsia="ar-SA"/>
        </w:rPr>
        <w:t xml:space="preserve">nické (průjmy, horečka, anémie, </w:t>
      </w:r>
      <w:r w:rsidRPr="00530D16">
        <w:rPr>
          <w:rFonts w:eastAsia="TimesNewRomanPSMT" w:cs="Calibri"/>
          <w:lang w:eastAsia="ar-SA"/>
        </w:rPr>
        <w:t xml:space="preserve">tachykardie, kožní projevy, …) a známky morfologické. Za účelem hodnocení klinické aktivity nemoci byl vyvinut </w:t>
      </w:r>
      <w:proofErr w:type="spellStart"/>
      <w:r w:rsidRPr="00530D16">
        <w:rPr>
          <w:rFonts w:eastAsia="TimesNewRomanPSMT" w:cs="Calibri"/>
          <w:lang w:eastAsia="ar-SA"/>
        </w:rPr>
        <w:t>Bestův</w:t>
      </w:r>
      <w:proofErr w:type="spellEnd"/>
      <w:r w:rsidRPr="00530D16">
        <w:rPr>
          <w:rFonts w:eastAsia="TimesNewRomanPSMT" w:cs="Calibri"/>
          <w:lang w:eastAsia="ar-SA"/>
        </w:rPr>
        <w:t xml:space="preserve"> index - CDAI </w:t>
      </w:r>
      <w:r w:rsidRPr="00530D16">
        <w:rPr>
          <w:rFonts w:cs="Calibri"/>
          <w:lang w:eastAsia="ar-SA"/>
        </w:rPr>
        <w:t>(</w:t>
      </w:r>
      <w:proofErr w:type="spellStart"/>
      <w:r w:rsidRPr="00530D16">
        <w:rPr>
          <w:rFonts w:cs="Calibri"/>
          <w:lang w:eastAsia="ar-SA"/>
        </w:rPr>
        <w:t>Crohn's</w:t>
      </w:r>
      <w:proofErr w:type="spellEnd"/>
      <w:r w:rsidRPr="00530D16">
        <w:rPr>
          <w:rFonts w:cs="Calibri"/>
          <w:lang w:eastAsia="ar-SA"/>
        </w:rPr>
        <w:t xml:space="preserve"> </w:t>
      </w:r>
      <w:proofErr w:type="spellStart"/>
      <w:r w:rsidRPr="00530D16">
        <w:rPr>
          <w:rFonts w:cs="Calibri"/>
          <w:lang w:eastAsia="ar-SA"/>
        </w:rPr>
        <w:t>Disease</w:t>
      </w:r>
      <w:proofErr w:type="spellEnd"/>
      <w:r w:rsidRPr="00530D16">
        <w:rPr>
          <w:rFonts w:cs="Calibri"/>
          <w:lang w:eastAsia="ar-SA"/>
        </w:rPr>
        <w:t xml:space="preserve"> </w:t>
      </w:r>
      <w:proofErr w:type="spellStart"/>
      <w:r w:rsidRPr="00530D16">
        <w:rPr>
          <w:rFonts w:cs="Calibri"/>
          <w:lang w:eastAsia="ar-SA"/>
        </w:rPr>
        <w:t>Activity</w:t>
      </w:r>
      <w:proofErr w:type="spellEnd"/>
      <w:r w:rsidRPr="00530D16">
        <w:rPr>
          <w:rFonts w:cs="Calibri"/>
          <w:lang w:eastAsia="ar-SA"/>
        </w:rPr>
        <w:t xml:space="preserve"> Index). Problém </w:t>
      </w:r>
      <w:proofErr w:type="spellStart"/>
      <w:r w:rsidRPr="00530D16">
        <w:rPr>
          <w:rFonts w:cs="Calibri"/>
          <w:lang w:eastAsia="ar-SA"/>
        </w:rPr>
        <w:t>Bestova</w:t>
      </w:r>
      <w:proofErr w:type="spellEnd"/>
      <w:r w:rsidRPr="00530D16">
        <w:rPr>
          <w:rFonts w:cs="Calibri"/>
          <w:lang w:eastAsia="ar-SA"/>
        </w:rPr>
        <w:t xml:space="preserve"> indexu, na který již dříve upozorňoval profesor </w:t>
      </w:r>
      <w:proofErr w:type="spellStart"/>
      <w:r w:rsidRPr="00530D16">
        <w:rPr>
          <w:rFonts w:cs="Calibri"/>
          <w:lang w:eastAsia="ar-SA"/>
        </w:rPr>
        <w:t>Mařatka</w:t>
      </w:r>
      <w:proofErr w:type="spellEnd"/>
      <w:r w:rsidRPr="00530D16">
        <w:rPr>
          <w:rFonts w:cs="Calibri"/>
          <w:lang w:eastAsia="ar-SA"/>
        </w:rPr>
        <w:t xml:space="preserve">, bývá v tom, že zahrnuje jak aktivitu, tak i tíži onemocnění. Při hodnocení aktivity se mohou mísit známky klinické, laboratorní </w:t>
      </w:r>
      <w:r w:rsidR="00193AAF">
        <w:rPr>
          <w:rFonts w:cs="Calibri"/>
          <w:lang w:eastAsia="ar-SA"/>
        </w:rPr>
        <w:br/>
      </w:r>
      <w:r w:rsidRPr="00530D16">
        <w:rPr>
          <w:rFonts w:cs="Calibri"/>
          <w:lang w:eastAsia="ar-SA"/>
        </w:rPr>
        <w:t xml:space="preserve">a morfologické. Pro jeho výpočet a následné vyhodnocení stavu v posledním týdnu nám slouží položky: počet průjmovitých stolic a počet epizod bolesti břicha, subjektivní pocit tělesné pohody, přítomnost </w:t>
      </w:r>
      <w:proofErr w:type="spellStart"/>
      <w:r w:rsidRPr="00530D16">
        <w:rPr>
          <w:rFonts w:cs="Calibri"/>
          <w:lang w:eastAsia="ar-SA"/>
        </w:rPr>
        <w:t>mimostřevních</w:t>
      </w:r>
      <w:proofErr w:type="spellEnd"/>
      <w:r w:rsidRPr="00530D16">
        <w:rPr>
          <w:rFonts w:cs="Calibri"/>
          <w:lang w:eastAsia="ar-SA"/>
        </w:rPr>
        <w:t xml:space="preserve"> příznaků, hmatného útvaru v břišní dutině, potřeba </w:t>
      </w:r>
      <w:proofErr w:type="spellStart"/>
      <w:r w:rsidRPr="00530D16">
        <w:rPr>
          <w:rFonts w:cs="Calibri"/>
          <w:lang w:eastAsia="ar-SA"/>
        </w:rPr>
        <w:t>antidiarhoik</w:t>
      </w:r>
      <w:proofErr w:type="spellEnd"/>
      <w:r w:rsidRPr="00530D16">
        <w:rPr>
          <w:rFonts w:cs="Calibri"/>
          <w:lang w:eastAsia="ar-SA"/>
        </w:rPr>
        <w:t xml:space="preserve">, hodnota červeného krevního barviva (hemoglobinu) a procentuální odchylka od standardní hmotnosti. Jednotlivé údaje se násobí již danými koeficienty. Remise je definována jako pokles CDAI pod 150. Těžká Crohnova nemoc je definována jako hodnota CDAI &gt;450. Odpověď na léčbu Crohnovy nemoci je obvykle definována jako pokles CDAI o </w:t>
      </w:r>
      <w:smartTag w:uri="urn:schemas-microsoft-com:office:smarttags" w:element="metricconverter">
        <w:smartTagPr>
          <w:attr w:name="ProductID" w:val="70 a"/>
        </w:smartTagPr>
        <w:r w:rsidRPr="00530D16">
          <w:rPr>
            <w:rFonts w:cs="Calibri"/>
            <w:lang w:eastAsia="ar-SA"/>
          </w:rPr>
          <w:t>70 a</w:t>
        </w:r>
      </w:smartTag>
      <w:r w:rsidRPr="00530D16">
        <w:rPr>
          <w:rFonts w:cs="Calibri"/>
          <w:lang w:eastAsia="ar-SA"/>
        </w:rPr>
        <w:t xml:space="preserve"> více bodů </w:t>
      </w:r>
      <w:bookmarkStart w:id="0" w:name="OLE_LINK1"/>
      <w:bookmarkStart w:id="1" w:name="OLE_LINK2"/>
      <w:r w:rsidRPr="00530D16">
        <w:rPr>
          <w:rFonts w:cs="Calibri"/>
          <w:lang w:eastAsia="ar-SA"/>
        </w:rPr>
        <w:t>(Zbořil, 2012</w:t>
      </w:r>
      <w:r w:rsidR="007D0DCE">
        <w:rPr>
          <w:rFonts w:cs="Calibri"/>
          <w:lang w:eastAsia="ar-SA"/>
        </w:rPr>
        <w:t>, s. 65-67</w:t>
      </w:r>
      <w:r w:rsidRPr="00530D16">
        <w:rPr>
          <w:rFonts w:cs="Calibri"/>
          <w:lang w:eastAsia="ar-SA"/>
        </w:rPr>
        <w:t>; Zbořil, 2016</w:t>
      </w:r>
      <w:r w:rsidR="007D0DCE">
        <w:rPr>
          <w:rFonts w:cs="Calibri"/>
          <w:lang w:eastAsia="ar-SA"/>
        </w:rPr>
        <w:t>, s. 24-25</w:t>
      </w:r>
      <w:r w:rsidRPr="00530D16">
        <w:rPr>
          <w:rFonts w:cs="Calibri"/>
          <w:lang w:eastAsia="ar-SA"/>
        </w:rPr>
        <w:t>).</w:t>
      </w:r>
      <w:bookmarkEnd w:id="0"/>
      <w:bookmarkEnd w:id="1"/>
    </w:p>
    <w:p w:rsidR="00530D16" w:rsidRPr="00530D16" w:rsidRDefault="00530D16" w:rsidP="00530D16">
      <w:pPr>
        <w:autoSpaceDE w:val="0"/>
        <w:autoSpaceDN w:val="0"/>
        <w:adjustRightInd w:val="0"/>
        <w:spacing w:before="240" w:after="0" w:line="360" w:lineRule="auto"/>
        <w:jc w:val="both"/>
      </w:pPr>
      <w:r w:rsidRPr="00530D16">
        <w:t xml:space="preserve">Podle symptomatologie, rozsahu, aktivity, dosavadního průběhu se volí léčba Crohnovy choroby. Bohužel zatím neexistuje taková, která by dokázala zánět zcela vyléčit. Zaměřuje se pouze na jeho potlačení, všemi dostupnými prostředky se snaží zvýšit kvalitu života nemocných a prodloužit období remise. Léčba této nemoci je celoživotní. Chronická léčba onemocnění probíhá ambulantně. Při novém vzplanutí obtíží je obvykle nutná hospitalizace </w:t>
      </w:r>
      <w:r w:rsidRPr="00530D16">
        <w:br/>
        <w:t xml:space="preserve">v nemocnici. Způsob léčby Crohnovy choroby je tedy medikamentózní nebo chirurgický. Mezi medikamentózní léčbu zařazujeme </w:t>
      </w:r>
      <w:proofErr w:type="spellStart"/>
      <w:r w:rsidRPr="00530D16">
        <w:t>aminosalicyláty</w:t>
      </w:r>
      <w:proofErr w:type="spellEnd"/>
      <w:r w:rsidRPr="00530D16">
        <w:t xml:space="preserve">, glukokortikoidy, </w:t>
      </w:r>
      <w:proofErr w:type="spellStart"/>
      <w:r w:rsidRPr="00530D16">
        <w:t>imunosupresiva</w:t>
      </w:r>
      <w:proofErr w:type="spellEnd"/>
      <w:r w:rsidRPr="00530D16">
        <w:t xml:space="preserve">, podpůrnou léčbu pomocí antibiotik, </w:t>
      </w:r>
      <w:proofErr w:type="spellStart"/>
      <w:r w:rsidRPr="00530D16">
        <w:t>probiotik</w:t>
      </w:r>
      <w:proofErr w:type="spellEnd"/>
      <w:r w:rsidRPr="00530D16">
        <w:t xml:space="preserve">, léčebné výživy a neposlední řadě pomocí biologické léčby. Chirurgickou léčbou se řeší komplikace, jako jsou abscesy, píštěle, stenózy </w:t>
      </w:r>
      <w:r w:rsidRPr="009069B6">
        <w:t>(</w:t>
      </w:r>
      <w:proofErr w:type="spellStart"/>
      <w:r w:rsidRPr="009069B6">
        <w:t>Klener</w:t>
      </w:r>
      <w:proofErr w:type="spellEnd"/>
      <w:r w:rsidRPr="009069B6">
        <w:t>, 2011</w:t>
      </w:r>
      <w:r w:rsidR="004A0E72" w:rsidRPr="009069B6">
        <w:t>, s. 411-413</w:t>
      </w:r>
      <w:r w:rsidRPr="009069B6">
        <w:t>).</w:t>
      </w:r>
    </w:p>
    <w:p w:rsidR="00530D16" w:rsidRPr="00530D16" w:rsidRDefault="00530D16" w:rsidP="00530D16">
      <w:pPr>
        <w:spacing w:after="200" w:line="360" w:lineRule="auto"/>
        <w:jc w:val="both"/>
        <w:rPr>
          <w:strike/>
          <w:u w:val="single"/>
        </w:rPr>
      </w:pPr>
      <w:r w:rsidRPr="00530D16">
        <w:lastRenderedPageBreak/>
        <w:t xml:space="preserve">Vstup biologické terapie do léčby idiopatických střevních zánětů zaznamenal kvalitní zlom v polovině 20. století. Podstatou biologické léčby je cílený zásah do biologických procesů probíhajících v organismu. Mezi biologické preparáty idiopatických střevních zánětů patří </w:t>
      </w:r>
      <w:proofErr w:type="spellStart"/>
      <w:r w:rsidRPr="00530D16">
        <w:t>infliximab</w:t>
      </w:r>
      <w:proofErr w:type="spellEnd"/>
      <w:r w:rsidRPr="00530D16">
        <w:t xml:space="preserve">, </w:t>
      </w:r>
      <w:proofErr w:type="spellStart"/>
      <w:r w:rsidRPr="00530D16">
        <w:t>adalimumab</w:t>
      </w:r>
      <w:proofErr w:type="spellEnd"/>
      <w:r w:rsidRPr="00530D16">
        <w:t xml:space="preserve"> zaměřený proti tumor-nekrotizujícím faktoru alfa a </w:t>
      </w:r>
      <w:proofErr w:type="spellStart"/>
      <w:r w:rsidRPr="00530D16">
        <w:t>vedolizumab</w:t>
      </w:r>
      <w:proofErr w:type="spellEnd"/>
      <w:r w:rsidRPr="00530D16">
        <w:t xml:space="preserve"> zaměřený proti adhezním molekulám. V praxi pro léčbu Crohnovy choroby používaný </w:t>
      </w:r>
      <w:proofErr w:type="spellStart"/>
      <w:r w:rsidRPr="00530D16">
        <w:t>infliximab</w:t>
      </w:r>
      <w:proofErr w:type="spellEnd"/>
      <w:r w:rsidRPr="00530D16">
        <w:t xml:space="preserve"> (</w:t>
      </w:r>
      <w:proofErr w:type="spellStart"/>
      <w:r w:rsidRPr="00530D16">
        <w:t>Remicade</w:t>
      </w:r>
      <w:proofErr w:type="spellEnd"/>
      <w:r w:rsidRPr="00530D16">
        <w:t xml:space="preserve">), </w:t>
      </w:r>
      <w:proofErr w:type="spellStart"/>
      <w:r w:rsidRPr="00530D16">
        <w:t>vedolizumab</w:t>
      </w:r>
      <w:proofErr w:type="spellEnd"/>
      <w:r w:rsidRPr="00530D16">
        <w:t xml:space="preserve"> se podává formou intravenózních infuzí, v základní dávce dle váhy pacienta. Začíná se tzv. indukční fází v 0., 2., a 6 týdnu </w:t>
      </w:r>
      <w:r w:rsidR="00193AAF">
        <w:br/>
      </w:r>
      <w:r w:rsidRPr="00530D16">
        <w:t>a pokračuje se udržovací fází každý 8. týden (Zbořil a kol., 2012</w:t>
      </w:r>
      <w:r w:rsidR="007D0DCE">
        <w:t>, s. 73-82</w:t>
      </w:r>
      <w:r w:rsidRPr="00530D16">
        <w:t xml:space="preserve">). Dalším preparátem biologické léčby je </w:t>
      </w:r>
      <w:proofErr w:type="spellStart"/>
      <w:r w:rsidRPr="00530D16">
        <w:t>adalimumab</w:t>
      </w:r>
      <w:proofErr w:type="spellEnd"/>
      <w:r w:rsidRPr="00530D16">
        <w:t xml:space="preserve"> (</w:t>
      </w:r>
      <w:proofErr w:type="spellStart"/>
      <w:r w:rsidRPr="00530D16">
        <w:t>Humira</w:t>
      </w:r>
      <w:proofErr w:type="spellEnd"/>
      <w:r w:rsidRPr="00530D16">
        <w:t>). Podává se formou subkutánní injekce pravidelně po čtrnácti dnech. Začíná se indukční fází v 0. týdnu dávkou 80-160 mg, 2. týdnu dávkou 40-80mg a pokračuje se udržovací fází každých čtrnáct dní dávkou 40mg (Zbořil a kol., 2016</w:t>
      </w:r>
      <w:r w:rsidR="007D0DCE">
        <w:t>, s. 90-95</w:t>
      </w:r>
      <w:r w:rsidRPr="00530D16">
        <w:t>).</w:t>
      </w:r>
    </w:p>
    <w:p w:rsidR="00124275" w:rsidRPr="00E56C4E" w:rsidRDefault="00124275" w:rsidP="009E66FF">
      <w:pPr>
        <w:pStyle w:val="Zkladntext"/>
      </w:pPr>
    </w:p>
    <w:p w:rsidR="00AA1EE8" w:rsidRPr="00530D16" w:rsidRDefault="00530D16" w:rsidP="00530D16">
      <w:pPr>
        <w:spacing w:after="200" w:line="360" w:lineRule="auto"/>
        <w:jc w:val="both"/>
        <w:rPr>
          <w:strike/>
          <w:u w:val="single"/>
        </w:rPr>
      </w:pPr>
      <w:r w:rsidRPr="00530D16">
        <w:rPr>
          <w:b/>
        </w:rPr>
        <w:t xml:space="preserve">Kvalita života u nemocných s Crohnovou chorobou </w:t>
      </w:r>
    </w:p>
    <w:p w:rsidR="00530D16" w:rsidRPr="00530D16" w:rsidRDefault="00530D16" w:rsidP="00530D16">
      <w:pPr>
        <w:suppressAutoHyphens/>
        <w:spacing w:after="240" w:line="360" w:lineRule="auto"/>
        <w:jc w:val="both"/>
        <w:rPr>
          <w:color w:val="000000" w:themeColor="text1"/>
          <w:lang w:eastAsia="ar-SA"/>
        </w:rPr>
      </w:pPr>
      <w:r w:rsidRPr="00530D16">
        <w:rPr>
          <w:lang w:eastAsia="ar-SA"/>
        </w:rPr>
        <w:t xml:space="preserve">Definovat kvalitu života je obtížné. V současné době existuje pro tento pojem </w:t>
      </w:r>
      <w:r w:rsidR="007E4911">
        <w:rPr>
          <w:lang w:eastAsia="ar-SA"/>
        </w:rPr>
        <w:t xml:space="preserve">široká škála </w:t>
      </w:r>
      <w:r w:rsidRPr="00530D16">
        <w:rPr>
          <w:lang w:eastAsia="ar-SA"/>
        </w:rPr>
        <w:t xml:space="preserve">definic, které ho charakterizují z různých úhlů pohledů </w:t>
      </w:r>
      <w:r w:rsidRPr="007E4911">
        <w:rPr>
          <w:lang w:eastAsia="ar-SA"/>
        </w:rPr>
        <w:t>(Heřmanová, 2012</w:t>
      </w:r>
      <w:r w:rsidR="007E4911" w:rsidRPr="007E4911">
        <w:rPr>
          <w:lang w:eastAsia="ar-SA"/>
        </w:rPr>
        <w:t>, s. 32</w:t>
      </w:r>
      <w:r w:rsidRPr="007E4911">
        <w:rPr>
          <w:lang w:eastAsia="ar-SA"/>
        </w:rPr>
        <w:t xml:space="preserve">). </w:t>
      </w:r>
      <w:r w:rsidRPr="00530D16">
        <w:rPr>
          <w:lang w:eastAsia="ar-SA"/>
        </w:rPr>
        <w:t xml:space="preserve">Dle pracovní skupiny </w:t>
      </w:r>
      <w:r w:rsidR="007E4911">
        <w:rPr>
          <w:color w:val="000000" w:themeColor="text1"/>
          <w:lang w:eastAsia="ar-SA"/>
        </w:rPr>
        <w:t>WHO</w:t>
      </w:r>
      <w:r w:rsidRPr="00530D16">
        <w:rPr>
          <w:color w:val="000000" w:themeColor="text1"/>
          <w:lang w:eastAsia="ar-SA"/>
        </w:rPr>
        <w:t xml:space="preserve">, kvalita života </w:t>
      </w:r>
      <w:r w:rsidR="007E4911">
        <w:rPr>
          <w:color w:val="000000" w:themeColor="text1"/>
          <w:lang w:eastAsia="ar-SA"/>
        </w:rPr>
        <w:t>je vyjadřována jak</w:t>
      </w:r>
      <w:r w:rsidR="007E4911" w:rsidRPr="007E4911">
        <w:rPr>
          <w:lang w:eastAsia="ar-SA"/>
        </w:rPr>
        <w:t xml:space="preserve">o vnímání </w:t>
      </w:r>
      <w:r w:rsidR="007E4911">
        <w:rPr>
          <w:color w:val="000000" w:themeColor="text1"/>
          <w:lang w:eastAsia="ar-SA"/>
        </w:rPr>
        <w:t xml:space="preserve">individuálního postavení v životě </w:t>
      </w:r>
      <w:r w:rsidRPr="007E4911">
        <w:rPr>
          <w:color w:val="000000" w:themeColor="text1"/>
          <w:lang w:eastAsia="ar-SA"/>
        </w:rPr>
        <w:t xml:space="preserve">v kontextu kultury </w:t>
      </w:r>
      <w:r w:rsidR="007E4911">
        <w:rPr>
          <w:color w:val="000000" w:themeColor="text1"/>
          <w:lang w:eastAsia="ar-SA"/>
        </w:rPr>
        <w:t xml:space="preserve">a hodnotových systémů, ve kterém jedinec </w:t>
      </w:r>
      <w:r w:rsidRPr="007E4911">
        <w:rPr>
          <w:color w:val="000000" w:themeColor="text1"/>
          <w:lang w:eastAsia="ar-SA"/>
        </w:rPr>
        <w:t>žij</w:t>
      </w:r>
      <w:r w:rsidR="007E4911">
        <w:rPr>
          <w:color w:val="000000" w:themeColor="text1"/>
          <w:lang w:eastAsia="ar-SA"/>
        </w:rPr>
        <w:t>e</w:t>
      </w:r>
      <w:r w:rsidRPr="007E4911">
        <w:rPr>
          <w:color w:val="000000" w:themeColor="text1"/>
          <w:lang w:eastAsia="ar-SA"/>
        </w:rPr>
        <w:t>, ve vztahu ke svým cílům, očekáváním, standardům, zájmům</w:t>
      </w:r>
      <w:r w:rsidR="007E4911">
        <w:rPr>
          <w:color w:val="000000" w:themeColor="text1"/>
          <w:lang w:eastAsia="ar-SA"/>
        </w:rPr>
        <w:t xml:space="preserve"> </w:t>
      </w:r>
      <w:r w:rsidRPr="00530D16">
        <w:rPr>
          <w:color w:val="000000" w:themeColor="text1"/>
          <w:lang w:eastAsia="ar-SA"/>
        </w:rPr>
        <w:t>(</w:t>
      </w:r>
      <w:r w:rsidRPr="007E4911">
        <w:rPr>
          <w:lang w:eastAsia="ar-SA"/>
        </w:rPr>
        <w:t>Salajka, 2006</w:t>
      </w:r>
      <w:r w:rsidR="007E4911" w:rsidRPr="007E4911">
        <w:rPr>
          <w:lang w:eastAsia="ar-SA"/>
        </w:rPr>
        <w:t>, s. 11</w:t>
      </w:r>
      <w:r w:rsidRPr="007E4911">
        <w:rPr>
          <w:lang w:eastAsia="ar-SA"/>
        </w:rPr>
        <w:t xml:space="preserve">). </w:t>
      </w:r>
      <w:r w:rsidRPr="00530D16">
        <w:rPr>
          <w:color w:val="000000" w:themeColor="text1"/>
          <w:lang w:eastAsia="ar-SA"/>
        </w:rPr>
        <w:t xml:space="preserve">V ošetřovatelství je kvalita života vyjádřena také řadou definic, které se od sebe liší. </w:t>
      </w:r>
      <w:proofErr w:type="spellStart"/>
      <w:r w:rsidRPr="00530D16">
        <w:rPr>
          <w:color w:val="000000" w:themeColor="text1"/>
          <w:lang w:eastAsia="ar-SA"/>
        </w:rPr>
        <w:t>Ferransová</w:t>
      </w:r>
      <w:proofErr w:type="spellEnd"/>
      <w:r w:rsidRPr="00530D16">
        <w:rPr>
          <w:color w:val="000000" w:themeColor="text1"/>
          <w:lang w:eastAsia="ar-SA"/>
        </w:rPr>
        <w:t xml:space="preserve">, která vychází z přehledu definic, vymezuje kvalitu života ve významu: </w:t>
      </w:r>
      <w:r w:rsidRPr="00530D16">
        <w:rPr>
          <w:rFonts w:cs="Calibri"/>
          <w:color w:val="000000" w:themeColor="text1"/>
          <w:lang w:eastAsia="ar-SA"/>
        </w:rPr>
        <w:t>schopnost žít normální život, spokojenost a štěstí, dosažení už stanovených cílů, vést aktivní život, dosažení tělesné a mentální kapacity.</w:t>
      </w:r>
      <w:r w:rsidRPr="00530D16">
        <w:rPr>
          <w:color w:val="000000" w:themeColor="text1"/>
          <w:lang w:eastAsia="ar-SA"/>
        </w:rPr>
        <w:t xml:space="preserve"> Hodnocení kvality života jedince v ošetřovatelství se používá nejčastěji k výběru intervencí </w:t>
      </w:r>
      <w:r w:rsidR="006A3FE1">
        <w:rPr>
          <w:color w:val="000000" w:themeColor="text1"/>
          <w:lang w:eastAsia="ar-SA"/>
        </w:rPr>
        <w:br/>
      </w:r>
      <w:r w:rsidRPr="00530D16">
        <w:rPr>
          <w:color w:val="000000" w:themeColor="text1"/>
          <w:lang w:eastAsia="ar-SA"/>
        </w:rPr>
        <w:t xml:space="preserve">a zhodnocení jejich efektivnosti. Cílem je porovnání konkrétní intervence </w:t>
      </w:r>
      <w:r w:rsidRPr="00530D16">
        <w:rPr>
          <w:color w:val="000000" w:themeColor="text1"/>
          <w:lang w:eastAsia="ar-SA"/>
        </w:rPr>
        <w:lastRenderedPageBreak/>
        <w:t xml:space="preserve">realizované u nemocného se standardní péčí a to i s časovým vymezením dle účelu hodnocení. V klinické praxi se s hodnocením často setkáváme </w:t>
      </w:r>
      <w:r w:rsidR="006A3FE1">
        <w:rPr>
          <w:color w:val="000000" w:themeColor="text1"/>
          <w:lang w:eastAsia="ar-SA"/>
        </w:rPr>
        <w:br/>
      </w:r>
      <w:r w:rsidRPr="00530D16">
        <w:rPr>
          <w:color w:val="000000" w:themeColor="text1"/>
          <w:lang w:eastAsia="ar-SA"/>
        </w:rPr>
        <w:t>u nemocných, jejichž onemocnění je chronické, nevyléčitelné, je nutné dodržovat léčbu, mnoho režimových opatření a vyžaduje sledování vývoje nemoci po celý život.</w:t>
      </w:r>
      <w:r w:rsidRPr="00530D16">
        <w:rPr>
          <w:color w:val="000000" w:themeColor="text1"/>
        </w:rPr>
        <w:t xml:space="preserve"> Kvalita života pacientů s chronickými nemocemi je do určité míry ovlivněna fyzickými aspekty, ale též psychickými a sociálními faktory</w:t>
      </w:r>
      <w:r w:rsidRPr="00530D16">
        <w:rPr>
          <w:color w:val="000000" w:themeColor="text1"/>
          <w:lang w:eastAsia="ar-SA"/>
        </w:rPr>
        <w:t xml:space="preserve"> (</w:t>
      </w:r>
      <w:proofErr w:type="spellStart"/>
      <w:r w:rsidRPr="00530D16">
        <w:rPr>
          <w:color w:val="000000" w:themeColor="text1"/>
          <w:lang w:eastAsia="ar-SA"/>
        </w:rPr>
        <w:t>Gurková</w:t>
      </w:r>
      <w:proofErr w:type="spellEnd"/>
      <w:r w:rsidRPr="00530D16">
        <w:rPr>
          <w:color w:val="000000" w:themeColor="text1"/>
          <w:lang w:eastAsia="ar-SA"/>
        </w:rPr>
        <w:t>, 2011</w:t>
      </w:r>
      <w:r w:rsidR="007D0DCE">
        <w:rPr>
          <w:color w:val="000000" w:themeColor="text1"/>
          <w:lang w:eastAsia="ar-SA"/>
        </w:rPr>
        <w:t xml:space="preserve">, s. </w:t>
      </w:r>
      <w:r w:rsidR="008E6D1D">
        <w:rPr>
          <w:color w:val="000000" w:themeColor="text1"/>
          <w:lang w:eastAsia="ar-SA"/>
        </w:rPr>
        <w:t>45-51</w:t>
      </w:r>
      <w:r w:rsidRPr="00530D16">
        <w:rPr>
          <w:color w:val="000000" w:themeColor="text1"/>
          <w:lang w:eastAsia="ar-SA"/>
        </w:rPr>
        <w:t>).</w:t>
      </w:r>
      <w:r w:rsidRPr="00530D16">
        <w:rPr>
          <w:color w:val="000000" w:themeColor="text1"/>
        </w:rPr>
        <w:t xml:space="preserve"> </w:t>
      </w:r>
    </w:p>
    <w:p w:rsidR="00530D16" w:rsidRPr="00530D16" w:rsidRDefault="00530D16" w:rsidP="00530D16">
      <w:pPr>
        <w:spacing w:after="200" w:line="360" w:lineRule="auto"/>
        <w:jc w:val="both"/>
        <w:rPr>
          <w:rFonts w:eastAsiaTheme="minorHAnsi"/>
          <w:color w:val="000000" w:themeColor="text1"/>
          <w:lang w:eastAsia="en-US"/>
        </w:rPr>
      </w:pPr>
      <w:r w:rsidRPr="00530D16">
        <w:rPr>
          <w:color w:val="000000" w:themeColor="text1"/>
        </w:rPr>
        <w:t xml:space="preserve">K hodnocení kvality života jsou v klinické praxi využívány generické dotazníky, např.: </w:t>
      </w:r>
      <w:r w:rsidRPr="00530D16">
        <w:rPr>
          <w:rFonts w:eastAsiaTheme="minorHAnsi" w:cstheme="minorBidi"/>
          <w:color w:val="000000" w:themeColor="text1"/>
          <w:lang w:eastAsia="en-US"/>
        </w:rPr>
        <w:t xml:space="preserve">SF-36, </w:t>
      </w:r>
      <w:r w:rsidRPr="00530D16">
        <w:rPr>
          <w:rFonts w:eastAsiaTheme="minorHAnsi" w:cstheme="minorBidi"/>
          <w:color w:val="000000" w:themeColor="text1"/>
          <w:szCs w:val="22"/>
          <w:lang w:eastAsia="en-US"/>
        </w:rPr>
        <w:t>WHOQOL-100 nebo jeho zkrácená verze WHOQOL-</w:t>
      </w:r>
      <w:r w:rsidRPr="00530D16">
        <w:rPr>
          <w:rFonts w:eastAsiaTheme="minorHAnsi" w:cstheme="minorBidi"/>
          <w:color w:val="000000" w:themeColor="text1"/>
          <w:lang w:eastAsia="en-US"/>
        </w:rPr>
        <w:t xml:space="preserve">BREF, dotazník SIP a  </w:t>
      </w:r>
      <w:proofErr w:type="spellStart"/>
      <w:r w:rsidRPr="00530D16">
        <w:rPr>
          <w:rFonts w:eastAsiaTheme="minorHAnsi" w:cstheme="minorBidi"/>
          <w:color w:val="000000" w:themeColor="text1"/>
          <w:lang w:eastAsia="en-US"/>
        </w:rPr>
        <w:t>EuroQol</w:t>
      </w:r>
      <w:proofErr w:type="spellEnd"/>
      <w:r w:rsidRPr="00530D16">
        <w:rPr>
          <w:rFonts w:eastAsiaTheme="minorHAnsi" w:cstheme="minorBidi"/>
          <w:color w:val="000000" w:themeColor="text1"/>
          <w:lang w:eastAsia="en-US"/>
        </w:rPr>
        <w:t xml:space="preserve"> EQ-5D</w:t>
      </w:r>
      <w:r w:rsidRPr="00530D16">
        <w:rPr>
          <w:color w:val="000000" w:themeColor="text1"/>
        </w:rPr>
        <w:t xml:space="preserve"> a specifické dotazníky např.: </w:t>
      </w:r>
      <w:r w:rsidRPr="00530D16">
        <w:rPr>
          <w:rFonts w:eastAsiaTheme="minorHAnsi" w:cstheme="minorBidi"/>
          <w:color w:val="000000" w:themeColor="text1"/>
          <w:szCs w:val="22"/>
          <w:lang w:eastAsia="en-US"/>
        </w:rPr>
        <w:t xml:space="preserve">IBDQ nebo jeho zkrácená verze SIBDQ, IBDQ-36 a IBDQ - </w:t>
      </w:r>
      <w:proofErr w:type="spellStart"/>
      <w:r w:rsidRPr="00530D16">
        <w:rPr>
          <w:rFonts w:eastAsiaTheme="minorHAnsi" w:cstheme="minorBidi"/>
          <w:color w:val="000000" w:themeColor="text1"/>
          <w:szCs w:val="22"/>
          <w:lang w:eastAsia="en-US"/>
        </w:rPr>
        <w:t>Stoma</w:t>
      </w:r>
      <w:proofErr w:type="spellEnd"/>
      <w:r w:rsidRPr="00530D16">
        <w:rPr>
          <w:rFonts w:eastAsiaTheme="minorHAnsi" w:cstheme="minorBidi"/>
          <w:color w:val="000000" w:themeColor="text1"/>
          <w:szCs w:val="22"/>
          <w:lang w:eastAsia="en-US"/>
        </w:rPr>
        <w:t xml:space="preserve"> (</w:t>
      </w:r>
      <w:proofErr w:type="spellStart"/>
      <w:r w:rsidRPr="00530D16">
        <w:rPr>
          <w:rFonts w:eastAsiaTheme="minorHAnsi" w:cstheme="minorBidi"/>
          <w:color w:val="000000" w:themeColor="text1"/>
          <w:szCs w:val="22"/>
          <w:lang w:eastAsia="en-US"/>
        </w:rPr>
        <w:t>Gabalec</w:t>
      </w:r>
      <w:proofErr w:type="spellEnd"/>
      <w:r w:rsidRPr="00530D16">
        <w:rPr>
          <w:rFonts w:eastAsiaTheme="minorHAnsi" w:cstheme="minorBidi"/>
          <w:color w:val="000000" w:themeColor="text1"/>
          <w:szCs w:val="22"/>
          <w:lang w:eastAsia="en-US"/>
        </w:rPr>
        <w:t>, 2009</w:t>
      </w:r>
      <w:r w:rsidR="008E6D1D">
        <w:rPr>
          <w:rFonts w:eastAsiaTheme="minorHAnsi" w:cstheme="minorBidi"/>
          <w:color w:val="000000" w:themeColor="text1"/>
          <w:szCs w:val="22"/>
          <w:lang w:eastAsia="en-US"/>
        </w:rPr>
        <w:t xml:space="preserve">, </w:t>
      </w:r>
      <w:r w:rsidR="006A3FE1">
        <w:rPr>
          <w:rFonts w:eastAsiaTheme="minorHAnsi" w:cstheme="minorBidi"/>
          <w:color w:val="000000" w:themeColor="text1"/>
          <w:szCs w:val="22"/>
          <w:lang w:eastAsia="en-US"/>
        </w:rPr>
        <w:br/>
      </w:r>
      <w:r w:rsidR="008E6D1D">
        <w:rPr>
          <w:rFonts w:eastAsiaTheme="minorHAnsi" w:cstheme="minorBidi"/>
          <w:color w:val="000000" w:themeColor="text1"/>
          <w:szCs w:val="22"/>
          <w:lang w:eastAsia="en-US"/>
        </w:rPr>
        <w:t>s. 19-20</w:t>
      </w:r>
      <w:r w:rsidRPr="00530D16">
        <w:rPr>
          <w:rFonts w:eastAsiaTheme="minorHAnsi" w:cstheme="minorBidi"/>
          <w:color w:val="000000" w:themeColor="text1"/>
          <w:szCs w:val="22"/>
          <w:lang w:eastAsia="en-US"/>
        </w:rPr>
        <w:t>)</w:t>
      </w:r>
      <w:r w:rsidRPr="00530D16">
        <w:rPr>
          <w:color w:val="000000" w:themeColor="text1"/>
        </w:rPr>
        <w:t xml:space="preserve">. </w:t>
      </w:r>
      <w:r w:rsidRPr="00530D16">
        <w:rPr>
          <w:rFonts w:eastAsiaTheme="minorHAnsi"/>
          <w:color w:val="000000" w:themeColor="text1"/>
          <w:lang w:eastAsia="en-US"/>
        </w:rPr>
        <w:t xml:space="preserve">Generické nástroje se používají k porovnávání kvality života mezi zdravou a nemocnou populací, nebo mezi různými druhy nemocí a specifické nástroje jsou cílené na hodnocení kvality života u konkrétních nemocí </w:t>
      </w:r>
      <w:r w:rsidRPr="00530D16">
        <w:rPr>
          <w:rFonts w:eastAsiaTheme="minorHAnsi" w:cstheme="minorBidi"/>
          <w:color w:val="000000" w:themeColor="text1"/>
          <w:szCs w:val="22"/>
          <w:lang w:eastAsia="en-US"/>
        </w:rPr>
        <w:t>(</w:t>
      </w:r>
      <w:proofErr w:type="spellStart"/>
      <w:r w:rsidRPr="00530D16">
        <w:rPr>
          <w:rFonts w:eastAsiaTheme="minorHAnsi" w:cstheme="minorBidi"/>
          <w:color w:val="000000" w:themeColor="text1"/>
          <w:szCs w:val="22"/>
          <w:lang w:eastAsia="en-US"/>
        </w:rPr>
        <w:t>Gabalec</w:t>
      </w:r>
      <w:proofErr w:type="spellEnd"/>
      <w:r w:rsidRPr="00530D16">
        <w:rPr>
          <w:rFonts w:eastAsiaTheme="minorHAnsi" w:cstheme="minorBidi"/>
          <w:color w:val="000000" w:themeColor="text1"/>
          <w:szCs w:val="22"/>
          <w:lang w:eastAsia="en-US"/>
        </w:rPr>
        <w:t>, 2009</w:t>
      </w:r>
      <w:r w:rsidR="00326677">
        <w:rPr>
          <w:rFonts w:eastAsiaTheme="minorHAnsi" w:cstheme="minorBidi"/>
          <w:color w:val="000000" w:themeColor="text1"/>
          <w:szCs w:val="22"/>
          <w:lang w:eastAsia="en-US"/>
        </w:rPr>
        <w:t>, 21</w:t>
      </w:r>
      <w:r w:rsidR="008E6D1D">
        <w:rPr>
          <w:rFonts w:eastAsiaTheme="minorHAnsi" w:cstheme="minorBidi"/>
          <w:color w:val="000000" w:themeColor="text1"/>
          <w:szCs w:val="22"/>
          <w:lang w:eastAsia="en-US"/>
        </w:rPr>
        <w:t>-22</w:t>
      </w:r>
      <w:r w:rsidRPr="00530D16">
        <w:rPr>
          <w:rFonts w:eastAsiaTheme="minorHAnsi" w:cstheme="minorBidi"/>
          <w:color w:val="000000" w:themeColor="text1"/>
          <w:szCs w:val="22"/>
          <w:lang w:eastAsia="en-US"/>
        </w:rPr>
        <w:t xml:space="preserve">). </w:t>
      </w:r>
    </w:p>
    <w:p w:rsidR="00530D16" w:rsidRPr="00530D16" w:rsidRDefault="00530D16" w:rsidP="00530D16">
      <w:pPr>
        <w:spacing w:after="200" w:line="360" w:lineRule="auto"/>
        <w:jc w:val="both"/>
        <w:rPr>
          <w:rFonts w:eastAsiaTheme="minorHAnsi"/>
          <w:color w:val="000000" w:themeColor="text1"/>
          <w:lang w:eastAsia="en-US"/>
        </w:rPr>
      </w:pPr>
      <w:r w:rsidRPr="00530D16">
        <w:rPr>
          <w:rFonts w:eastAsiaTheme="minorHAnsi"/>
          <w:color w:val="000000" w:themeColor="text1"/>
          <w:lang w:eastAsia="en-US"/>
        </w:rPr>
        <w:t xml:space="preserve">Zajímavou studii zaměřenou na kvalitu života pacientů s Crohnovou chorobou </w:t>
      </w:r>
      <w:r w:rsidR="006A3FE1">
        <w:rPr>
          <w:rFonts w:eastAsiaTheme="minorHAnsi"/>
          <w:color w:val="000000" w:themeColor="text1"/>
          <w:lang w:eastAsia="en-US"/>
        </w:rPr>
        <w:br/>
      </w:r>
      <w:r w:rsidRPr="00530D16">
        <w:rPr>
          <w:rFonts w:eastAsiaTheme="minorHAnsi"/>
          <w:color w:val="000000" w:themeColor="text1"/>
          <w:lang w:eastAsia="en-US"/>
        </w:rPr>
        <w:t xml:space="preserve">a Ulcerózní kolitidou v remisi  provedli u 197 respondentů </w:t>
      </w:r>
      <w:proofErr w:type="spellStart"/>
      <w:r w:rsidRPr="00AE4718">
        <w:rPr>
          <w:rFonts w:eastAsiaTheme="minorHAnsi"/>
          <w:color w:val="000000" w:themeColor="text1"/>
          <w:lang w:eastAsia="en-US"/>
        </w:rPr>
        <w:t>Jaghult</w:t>
      </w:r>
      <w:proofErr w:type="spellEnd"/>
      <w:r w:rsidRPr="00AE4718">
        <w:rPr>
          <w:rFonts w:eastAsiaTheme="minorHAnsi"/>
          <w:color w:val="000000" w:themeColor="text1"/>
          <w:lang w:eastAsia="en-US"/>
        </w:rPr>
        <w:t xml:space="preserve"> et al. (2011). </w:t>
      </w:r>
      <w:r w:rsidRPr="00530D16">
        <w:rPr>
          <w:rFonts w:eastAsiaTheme="minorHAnsi"/>
          <w:color w:val="000000" w:themeColor="text1"/>
          <w:lang w:eastAsia="en-US"/>
        </w:rPr>
        <w:t xml:space="preserve">Výsledky zaznamenaly výrazný vliv na dobu trvání choroby. Ukázalo se, že pacienti s delším trváním nemoci mají lepší kvalitu života než pacienti s kratším trváním nemoci. To je především zřejmé u nemocných s Crohnovou chorobou, které potřebují vyšší podporu v časných stádiích nemoci. </w:t>
      </w:r>
    </w:p>
    <w:p w:rsidR="00530D16" w:rsidRPr="00530D16" w:rsidRDefault="00530D16" w:rsidP="00530D16">
      <w:pPr>
        <w:spacing w:after="200" w:line="360" w:lineRule="auto"/>
        <w:jc w:val="both"/>
        <w:rPr>
          <w:rFonts w:eastAsiaTheme="minorHAnsi"/>
          <w:color w:val="000000" w:themeColor="text1"/>
          <w:lang w:eastAsia="en-US"/>
        </w:rPr>
      </w:pPr>
      <w:r w:rsidRPr="00530D16">
        <w:rPr>
          <w:rFonts w:eastAsiaTheme="minorHAnsi"/>
          <w:color w:val="000000" w:themeColor="text1"/>
          <w:lang w:eastAsia="en-US"/>
        </w:rPr>
        <w:t xml:space="preserve">Průřezovou studii zrealizovali v letech 2000 až 2009 </w:t>
      </w:r>
      <w:proofErr w:type="spellStart"/>
      <w:r w:rsidRPr="00AE4718">
        <w:rPr>
          <w:rFonts w:eastAsiaTheme="minorHAnsi"/>
          <w:color w:val="000000" w:themeColor="text1"/>
          <w:lang w:eastAsia="en-US"/>
        </w:rPr>
        <w:t>Pellino</w:t>
      </w:r>
      <w:proofErr w:type="spellEnd"/>
      <w:r w:rsidRPr="00AE4718">
        <w:rPr>
          <w:rFonts w:eastAsiaTheme="minorHAnsi"/>
          <w:color w:val="000000" w:themeColor="text1"/>
          <w:lang w:eastAsia="en-US"/>
        </w:rPr>
        <w:t xml:space="preserve"> et al. (2015) </w:t>
      </w:r>
      <w:r w:rsidRPr="00530D16">
        <w:rPr>
          <w:rFonts w:eastAsiaTheme="minorHAnsi"/>
          <w:color w:val="000000" w:themeColor="text1"/>
          <w:lang w:eastAsia="en-US"/>
        </w:rPr>
        <w:t>v jižní Itálii. U nemocných s </w:t>
      </w:r>
      <w:proofErr w:type="spellStart"/>
      <w:r w:rsidRPr="00530D16">
        <w:rPr>
          <w:rFonts w:eastAsiaTheme="minorHAnsi"/>
          <w:color w:val="000000" w:themeColor="text1"/>
          <w:lang w:eastAsia="en-US"/>
        </w:rPr>
        <w:t>perianálním</w:t>
      </w:r>
      <w:proofErr w:type="spellEnd"/>
      <w:r w:rsidRPr="00530D16">
        <w:rPr>
          <w:rFonts w:eastAsiaTheme="minorHAnsi"/>
          <w:color w:val="000000" w:themeColor="text1"/>
          <w:lang w:eastAsia="en-US"/>
        </w:rPr>
        <w:t xml:space="preserve"> postižením byla opožděná diagnóza onemocnění, nižší kvalita života, horší odpověď na medikamentózní léčbu </w:t>
      </w:r>
      <w:r w:rsidR="00193AAF">
        <w:rPr>
          <w:rFonts w:eastAsiaTheme="minorHAnsi"/>
          <w:color w:val="000000" w:themeColor="text1"/>
          <w:lang w:eastAsia="en-US"/>
        </w:rPr>
        <w:br/>
      </w:r>
      <w:r w:rsidRPr="00530D16">
        <w:rPr>
          <w:rFonts w:eastAsiaTheme="minorHAnsi"/>
          <w:color w:val="000000" w:themeColor="text1"/>
          <w:lang w:eastAsia="en-US"/>
        </w:rPr>
        <w:t>a vyšší počet chirurgických výkonů.</w:t>
      </w:r>
    </w:p>
    <w:p w:rsidR="00530D16" w:rsidRPr="00530D16" w:rsidRDefault="00530D16" w:rsidP="00530D16">
      <w:pPr>
        <w:spacing w:after="200" w:line="360" w:lineRule="auto"/>
        <w:jc w:val="both"/>
        <w:rPr>
          <w:rFonts w:eastAsiaTheme="minorHAnsi"/>
          <w:color w:val="000000" w:themeColor="text1"/>
          <w:lang w:eastAsia="en-US"/>
        </w:rPr>
      </w:pPr>
      <w:r w:rsidRPr="00530D16">
        <w:rPr>
          <w:rFonts w:eastAsiaTheme="minorHAnsi"/>
          <w:color w:val="000000" w:themeColor="text1"/>
          <w:lang w:eastAsia="en-US"/>
        </w:rPr>
        <w:lastRenderedPageBreak/>
        <w:t xml:space="preserve">Studie </w:t>
      </w:r>
      <w:proofErr w:type="spellStart"/>
      <w:r w:rsidRPr="00AE4718">
        <w:rPr>
          <w:rFonts w:eastAsiaTheme="minorHAnsi"/>
          <w:color w:val="000000" w:themeColor="text1"/>
          <w:lang w:eastAsia="en-US"/>
        </w:rPr>
        <w:t>Sanford</w:t>
      </w:r>
      <w:proofErr w:type="spellEnd"/>
      <w:r w:rsidRPr="00AE4718">
        <w:rPr>
          <w:rFonts w:eastAsiaTheme="minorHAnsi"/>
          <w:color w:val="000000" w:themeColor="text1"/>
          <w:lang w:eastAsia="en-US"/>
        </w:rPr>
        <w:t xml:space="preserve"> et al. (2014) </w:t>
      </w:r>
      <w:r w:rsidRPr="00530D16">
        <w:rPr>
          <w:rFonts w:eastAsiaTheme="minorHAnsi"/>
          <w:color w:val="000000" w:themeColor="text1"/>
          <w:lang w:eastAsia="en-US"/>
        </w:rPr>
        <w:t xml:space="preserve">se zaměřila na aktivitu, závažnost a kvalitu života </w:t>
      </w:r>
      <w:r w:rsidR="00193AAF">
        <w:rPr>
          <w:rFonts w:eastAsiaTheme="minorHAnsi"/>
          <w:color w:val="000000" w:themeColor="text1"/>
          <w:lang w:eastAsia="en-US"/>
        </w:rPr>
        <w:br/>
      </w:r>
      <w:r w:rsidRPr="00530D16">
        <w:rPr>
          <w:rFonts w:eastAsiaTheme="minorHAnsi"/>
          <w:color w:val="000000" w:themeColor="text1"/>
          <w:lang w:eastAsia="en-US"/>
        </w:rPr>
        <w:t xml:space="preserve">u pacientů, kteří užívají </w:t>
      </w:r>
      <w:proofErr w:type="spellStart"/>
      <w:r w:rsidRPr="00530D16">
        <w:rPr>
          <w:rFonts w:eastAsiaTheme="minorHAnsi"/>
          <w:color w:val="000000" w:themeColor="text1"/>
          <w:lang w:eastAsia="en-US"/>
        </w:rPr>
        <w:t>opioidní</w:t>
      </w:r>
      <w:proofErr w:type="spellEnd"/>
      <w:r w:rsidRPr="00530D16">
        <w:rPr>
          <w:rFonts w:eastAsiaTheme="minorHAnsi"/>
          <w:color w:val="000000" w:themeColor="text1"/>
          <w:lang w:eastAsia="en-US"/>
        </w:rPr>
        <w:t xml:space="preserve"> analgetika. Studie se zúčastnilo 38 pacientů s Crohnovou chorobou užívající opiáty a 62 bez této analgetické léčby. Jejich výsledky naznačují, že užívání těchto analgetik může být spojeno s aktivitou </w:t>
      </w:r>
      <w:r w:rsidR="00193AAF">
        <w:rPr>
          <w:rFonts w:eastAsiaTheme="minorHAnsi"/>
          <w:color w:val="000000" w:themeColor="text1"/>
          <w:lang w:eastAsia="en-US"/>
        </w:rPr>
        <w:br/>
      </w:r>
      <w:r w:rsidRPr="00530D16">
        <w:rPr>
          <w:rFonts w:eastAsiaTheme="minorHAnsi"/>
          <w:color w:val="000000" w:themeColor="text1"/>
          <w:lang w:eastAsia="en-US"/>
        </w:rPr>
        <w:t>a závažností choroby. Pacienti na </w:t>
      </w:r>
      <w:proofErr w:type="spellStart"/>
      <w:r w:rsidRPr="00530D16">
        <w:rPr>
          <w:rFonts w:eastAsiaTheme="minorHAnsi"/>
          <w:color w:val="000000" w:themeColor="text1"/>
          <w:lang w:eastAsia="en-US"/>
        </w:rPr>
        <w:t>opioidní</w:t>
      </w:r>
      <w:proofErr w:type="spellEnd"/>
      <w:r w:rsidRPr="00530D16">
        <w:rPr>
          <w:rFonts w:eastAsiaTheme="minorHAnsi"/>
          <w:color w:val="000000" w:themeColor="text1"/>
          <w:lang w:eastAsia="en-US"/>
        </w:rPr>
        <w:t xml:space="preserve"> léčbě v této studii měli vyšší aktivitu nemoci a horší kvalitu života oproti pacientům, kteří byli bez opiátů. </w:t>
      </w:r>
    </w:p>
    <w:p w:rsidR="00530D16" w:rsidRPr="00530D16" w:rsidRDefault="00530D16" w:rsidP="00530D16">
      <w:pPr>
        <w:spacing w:after="200" w:line="360" w:lineRule="auto"/>
        <w:jc w:val="both"/>
        <w:rPr>
          <w:rFonts w:eastAsiaTheme="minorHAnsi"/>
          <w:color w:val="000000" w:themeColor="text1"/>
          <w:lang w:eastAsia="en-US"/>
        </w:rPr>
      </w:pPr>
      <w:r w:rsidRPr="00530D16">
        <w:rPr>
          <w:rFonts w:eastAsiaTheme="minorHAnsi"/>
          <w:color w:val="000000" w:themeColor="text1"/>
          <w:lang w:eastAsia="en-US"/>
        </w:rPr>
        <w:t xml:space="preserve">Další studie </w:t>
      </w:r>
      <w:proofErr w:type="spellStart"/>
      <w:r w:rsidRPr="00AE4718">
        <w:rPr>
          <w:rFonts w:eastAsiaTheme="minorHAnsi"/>
          <w:color w:val="000000" w:themeColor="text1"/>
          <w:lang w:eastAsia="en-US"/>
        </w:rPr>
        <w:t>Sarid</w:t>
      </w:r>
      <w:proofErr w:type="spellEnd"/>
      <w:r w:rsidRPr="00AE4718">
        <w:rPr>
          <w:rFonts w:eastAsiaTheme="minorHAnsi"/>
          <w:color w:val="000000" w:themeColor="text1"/>
          <w:lang w:eastAsia="en-US"/>
        </w:rPr>
        <w:t xml:space="preserve"> et al. (2017) </w:t>
      </w:r>
      <w:r w:rsidRPr="00530D16">
        <w:rPr>
          <w:rFonts w:eastAsiaTheme="minorHAnsi"/>
          <w:color w:val="000000" w:themeColor="text1"/>
          <w:lang w:eastAsia="en-US"/>
        </w:rPr>
        <w:t>zkoumala vliv sociodemografických proměnných a strategií zvládání reakcí na kvalitu života a spokojenosti se životem u 402 pacientů s Crohnovou chorobou, s důrazem na rozdíly mezi muži a ženami a na aktivitu onemocnění. Analýza ukázala, že vyšší ekonomické postavení přímo zvýšilo spokojenost se životem a kv</w:t>
      </w:r>
      <w:r w:rsidR="004518A1">
        <w:rPr>
          <w:rFonts w:eastAsiaTheme="minorHAnsi"/>
          <w:color w:val="000000" w:themeColor="text1"/>
          <w:lang w:eastAsia="en-US"/>
        </w:rPr>
        <w:t xml:space="preserve">alitu života. Osoby, které jsou </w:t>
      </w:r>
      <w:r w:rsidRPr="00530D16">
        <w:rPr>
          <w:rFonts w:eastAsiaTheme="minorHAnsi"/>
          <w:color w:val="000000" w:themeColor="text1"/>
          <w:lang w:eastAsia="en-US"/>
        </w:rPr>
        <w:t>schopné udržet si zaměstnanost pociťovali vyšší spokojenost než nezaměstnaní. Spokojenost se životem byla také snížena v aktivitě onemocnění, a to bez rozdílu pohlaví, strategie zvládání zátěže používají obě pohlaví stejnou měrou.</w:t>
      </w:r>
    </w:p>
    <w:p w:rsidR="00530D16" w:rsidRPr="00530D16" w:rsidRDefault="00530D16" w:rsidP="00530D16">
      <w:pPr>
        <w:spacing w:after="200" w:line="360" w:lineRule="auto"/>
        <w:jc w:val="both"/>
        <w:rPr>
          <w:rFonts w:eastAsiaTheme="minorHAnsi"/>
          <w:color w:val="000000" w:themeColor="text1"/>
          <w:lang w:eastAsia="en-US"/>
        </w:rPr>
      </w:pPr>
      <w:r w:rsidRPr="00530D16">
        <w:rPr>
          <w:rFonts w:eastAsiaTheme="minorHAnsi"/>
          <w:color w:val="000000" w:themeColor="text1"/>
          <w:lang w:eastAsia="en-US"/>
        </w:rPr>
        <w:t xml:space="preserve">Zajímavou studii, které se zúčastnilo 103 pacientů s Crohnovou chorobou, provedli v České republice </w:t>
      </w:r>
      <w:proofErr w:type="spellStart"/>
      <w:r w:rsidRPr="00530D16">
        <w:rPr>
          <w:rFonts w:eastAsiaTheme="minorHAnsi"/>
          <w:color w:val="000000" w:themeColor="text1"/>
          <w:lang w:eastAsia="en-US"/>
        </w:rPr>
        <w:t>Gabalec</w:t>
      </w:r>
      <w:proofErr w:type="spellEnd"/>
      <w:r w:rsidRPr="00530D16">
        <w:rPr>
          <w:rFonts w:eastAsiaTheme="minorHAnsi"/>
          <w:color w:val="000000" w:themeColor="text1"/>
          <w:lang w:eastAsia="en-US"/>
        </w:rPr>
        <w:t xml:space="preserve"> et al. (2009). Ve své práci zjistili, že kvalita života nemocných s Crohnovou chorobou je významně ovlivněna aktivitou nemoci ve všech doménách obecného dotazníku WHOQOL-BREF </w:t>
      </w:r>
      <w:r w:rsidR="00193AAF">
        <w:rPr>
          <w:rFonts w:eastAsiaTheme="minorHAnsi"/>
          <w:color w:val="000000" w:themeColor="text1"/>
          <w:lang w:eastAsia="en-US"/>
        </w:rPr>
        <w:br/>
      </w:r>
      <w:r w:rsidRPr="00530D16">
        <w:rPr>
          <w:rFonts w:eastAsiaTheme="minorHAnsi"/>
          <w:color w:val="000000" w:themeColor="text1"/>
          <w:lang w:eastAsia="en-US"/>
        </w:rPr>
        <w:t xml:space="preserve">a specifického dotazníku IBDQ. Také uvádí, že vliv léčby pomocí </w:t>
      </w:r>
      <w:proofErr w:type="spellStart"/>
      <w:r w:rsidRPr="00530D16">
        <w:rPr>
          <w:rFonts w:eastAsiaTheme="minorHAnsi"/>
          <w:color w:val="000000" w:themeColor="text1"/>
          <w:lang w:eastAsia="en-US"/>
        </w:rPr>
        <w:t>imunosupresiv</w:t>
      </w:r>
      <w:proofErr w:type="spellEnd"/>
      <w:r w:rsidRPr="00530D16">
        <w:rPr>
          <w:rFonts w:eastAsiaTheme="minorHAnsi"/>
          <w:color w:val="000000" w:themeColor="text1"/>
          <w:lang w:eastAsia="en-US"/>
        </w:rPr>
        <w:t xml:space="preserve"> a kortikosteroidů je ovlivněn některými doménami obecného </w:t>
      </w:r>
      <w:r w:rsidR="00193AAF">
        <w:rPr>
          <w:rFonts w:eastAsiaTheme="minorHAnsi"/>
          <w:color w:val="000000" w:themeColor="text1"/>
          <w:lang w:eastAsia="en-US"/>
        </w:rPr>
        <w:br/>
      </w:r>
      <w:r w:rsidRPr="00530D16">
        <w:rPr>
          <w:rFonts w:eastAsiaTheme="minorHAnsi"/>
          <w:color w:val="000000" w:themeColor="text1"/>
          <w:lang w:eastAsia="en-US"/>
        </w:rPr>
        <w:t>a specifického dotazníku a v doméně sociální obecného dotazníku byl prokázán negativní vliv operace na kvalitu života. Dále konstatují, že nebyla prokázána přímá závislost kvality života na věku a nebyl potvrzen vliv fenotypu nemoci podle Montrealské klasifikace. V závěru práce uvádí, že u pacientů v remisi onemocnění kvalita života hodnocená pomocí obecného dotazníku WHOQOL-BREF byla srovnatelná s běžnou populací, v doméně prostředí i lepší.</w:t>
      </w:r>
    </w:p>
    <w:p w:rsidR="00530D16" w:rsidRPr="00530D16" w:rsidRDefault="00530D16" w:rsidP="00530D16">
      <w:pPr>
        <w:spacing w:after="200" w:line="360" w:lineRule="auto"/>
        <w:jc w:val="both"/>
        <w:rPr>
          <w:rFonts w:eastAsiaTheme="minorHAnsi"/>
          <w:color w:val="000000" w:themeColor="text1"/>
          <w:lang w:eastAsia="en-US"/>
        </w:rPr>
      </w:pPr>
      <w:r w:rsidRPr="00530D16">
        <w:rPr>
          <w:rFonts w:eastAsiaTheme="minorHAnsi"/>
          <w:color w:val="000000" w:themeColor="text1"/>
          <w:lang w:eastAsia="en-US"/>
        </w:rPr>
        <w:lastRenderedPageBreak/>
        <w:t>Jak uvádí Rendl a Tothová (2009</w:t>
      </w:r>
      <w:r w:rsidR="00080EFC">
        <w:rPr>
          <w:rFonts w:eastAsiaTheme="minorHAnsi"/>
          <w:color w:val="000000" w:themeColor="text1"/>
          <w:lang w:eastAsia="en-US"/>
        </w:rPr>
        <w:t>, s. 132</w:t>
      </w:r>
      <w:r w:rsidRPr="00530D16">
        <w:rPr>
          <w:rFonts w:eastAsiaTheme="minorHAnsi"/>
          <w:color w:val="000000" w:themeColor="text1"/>
          <w:lang w:eastAsia="en-US"/>
        </w:rPr>
        <w:t xml:space="preserve">), hodnocení kvality života pacientů s Crohnovou chorobou je důležité, neboť nám poskytne informace, které lze použít při práci s těmito pacienty, kterých dle dostupných informací z UZIS (2013) neustále přibývá. Také </w:t>
      </w:r>
      <w:proofErr w:type="spellStart"/>
      <w:r w:rsidRPr="000834D0">
        <w:rPr>
          <w:rFonts w:eastAsiaTheme="minorHAnsi"/>
          <w:lang w:eastAsia="en-US"/>
        </w:rPr>
        <w:t>Olišárová</w:t>
      </w:r>
      <w:proofErr w:type="spellEnd"/>
      <w:r w:rsidRPr="000834D0">
        <w:rPr>
          <w:rFonts w:eastAsiaTheme="minorHAnsi"/>
          <w:lang w:eastAsia="en-US"/>
        </w:rPr>
        <w:t xml:space="preserve"> et al. (2013) </w:t>
      </w:r>
      <w:r w:rsidRPr="00530D16">
        <w:rPr>
          <w:rFonts w:eastAsiaTheme="minorHAnsi"/>
          <w:color w:val="000000" w:themeColor="text1"/>
          <w:lang w:eastAsia="en-US"/>
        </w:rPr>
        <w:t>uvádí, že kontrola kvality života je důležitou součástí komplexního vyhodnocení pacienta, protože může odhalit skryté problémy.</w:t>
      </w:r>
    </w:p>
    <w:p w:rsidR="00530D16" w:rsidRPr="00530D16" w:rsidRDefault="00530D16" w:rsidP="00530D16">
      <w:pPr>
        <w:spacing w:after="200" w:line="360" w:lineRule="auto"/>
        <w:jc w:val="both"/>
        <w:rPr>
          <w:b/>
          <w:color w:val="000000" w:themeColor="text1"/>
        </w:rPr>
      </w:pPr>
      <w:r w:rsidRPr="00530D16">
        <w:rPr>
          <w:b/>
          <w:color w:val="000000" w:themeColor="text1"/>
        </w:rPr>
        <w:t>Nemocný s Crohnovou chorobou a intervence sestry</w:t>
      </w:r>
    </w:p>
    <w:p w:rsidR="00530D16" w:rsidRPr="00530D16" w:rsidRDefault="00530D16" w:rsidP="00530D16">
      <w:pPr>
        <w:spacing w:after="200" w:line="360" w:lineRule="auto"/>
        <w:jc w:val="both"/>
        <w:rPr>
          <w:color w:val="000000" w:themeColor="text1"/>
        </w:rPr>
      </w:pPr>
      <w:r w:rsidRPr="00530D16">
        <w:rPr>
          <w:color w:val="000000" w:themeColor="text1"/>
        </w:rPr>
        <w:t>Nelékařský zdravotnický pracovník (NLZP) pečuje o nemocné s Crohnovou chorobou na lůžkové nebo ambulantní části zdravotnického zařízení. Nejčastěji se s nemocnými setkáváme na interním oddělení, kam jsou přijímáni z důvodu stanovení diagnózy, nebo z důvodu relapsu nemoci. Po odeznění akutních příznaků je nemocný nadále sledován a léčen v gastroenterologických poradnách nebo v centrech pro biologickou léčbu (Šafránková, Nejedlá, 2006</w:t>
      </w:r>
      <w:r w:rsidR="00080EFC">
        <w:rPr>
          <w:color w:val="000000" w:themeColor="text1"/>
        </w:rPr>
        <w:t>, s. 234-235</w:t>
      </w:r>
      <w:r w:rsidRPr="00530D16">
        <w:rPr>
          <w:color w:val="000000" w:themeColor="text1"/>
        </w:rPr>
        <w:t>).</w:t>
      </w:r>
    </w:p>
    <w:p w:rsidR="00530D16" w:rsidRPr="00530D16" w:rsidRDefault="00530D16" w:rsidP="00530D16">
      <w:pPr>
        <w:spacing w:after="200" w:line="360" w:lineRule="auto"/>
        <w:jc w:val="both"/>
        <w:rPr>
          <w:color w:val="000000" w:themeColor="text1"/>
        </w:rPr>
      </w:pPr>
      <w:r w:rsidRPr="00530D16">
        <w:rPr>
          <w:color w:val="000000" w:themeColor="text1"/>
        </w:rPr>
        <w:t xml:space="preserve">Specifika jednotlivých potřeb, problémů u nemocného jsou charakteristická dle průběhu nemoci. Podle toho sestra plánuje a realizuje ošetřovatelskou péči. </w:t>
      </w:r>
      <w:proofErr w:type="spellStart"/>
      <w:r w:rsidRPr="000834D0">
        <w:t>Gurková</w:t>
      </w:r>
      <w:proofErr w:type="spellEnd"/>
      <w:r w:rsidRPr="000834D0">
        <w:t xml:space="preserve">, </w:t>
      </w:r>
      <w:proofErr w:type="spellStart"/>
      <w:r w:rsidRPr="000834D0">
        <w:t>Lilgová</w:t>
      </w:r>
      <w:proofErr w:type="spellEnd"/>
      <w:r w:rsidRPr="000834D0">
        <w:t xml:space="preserve"> </w:t>
      </w:r>
      <w:r w:rsidRPr="00530D16">
        <w:rPr>
          <w:color w:val="000000" w:themeColor="text1"/>
        </w:rPr>
        <w:t>(2009) poukazují na to, že nejvíce pacienti vnímají dopad nemoci ve fyzické oblasti. V akutní fázi věnujeme zvýšenou pozornost vyprazdňování střev. Nemocný může trpět častými průjmy, které ho značně omezí v aktivitách denního života. Pokud to fyzický stav dovolí, nemocný se vyprazdňuje sám, popřípadě NLZP zajistí vhodné pomůcky pro uspokojení této potřeby a soukromí. Je nutné sledovat počet průjmovitých stolic, příměsi ve stolici, kontrolovat stav kůže v okolí konečníku a výskyt bolestí (</w:t>
      </w:r>
      <w:proofErr w:type="spellStart"/>
      <w:r w:rsidRPr="00530D16">
        <w:rPr>
          <w:color w:val="000000" w:themeColor="text1"/>
        </w:rPr>
        <w:t>Vatehová</w:t>
      </w:r>
      <w:proofErr w:type="spellEnd"/>
      <w:r w:rsidRPr="00530D16">
        <w:rPr>
          <w:color w:val="000000" w:themeColor="text1"/>
        </w:rPr>
        <w:t xml:space="preserve">, </w:t>
      </w:r>
      <w:proofErr w:type="spellStart"/>
      <w:r w:rsidRPr="00AE4718">
        <w:rPr>
          <w:color w:val="000000" w:themeColor="text1"/>
        </w:rPr>
        <w:t>Vateha</w:t>
      </w:r>
      <w:proofErr w:type="spellEnd"/>
      <w:r w:rsidRPr="00AE4718">
        <w:rPr>
          <w:color w:val="000000" w:themeColor="text1"/>
        </w:rPr>
        <w:t>, 2013</w:t>
      </w:r>
      <w:r w:rsidR="00AE4718" w:rsidRPr="00AE4718">
        <w:rPr>
          <w:color w:val="000000" w:themeColor="text1"/>
        </w:rPr>
        <w:t>, 58-68</w:t>
      </w:r>
      <w:r w:rsidRPr="00AE4718">
        <w:rPr>
          <w:color w:val="000000" w:themeColor="text1"/>
        </w:rPr>
        <w:t xml:space="preserve">). </w:t>
      </w:r>
      <w:r w:rsidRPr="00530D16">
        <w:rPr>
          <w:color w:val="000000" w:themeColor="text1"/>
        </w:rPr>
        <w:t>Bolesti vznikají následkem zánětu střev a zrychlené peristaltiky. Bolesti bývají křečovitého charakteru, nejčastěji v okolí pupku nebo v pravém podbřišku a nemocného nutí zaujmout úlevovou polohu. Sestra sleduje intenzitu bolesti, co bolest vyvolává nebo snižuje (</w:t>
      </w:r>
      <w:proofErr w:type="spellStart"/>
      <w:r w:rsidRPr="00530D16">
        <w:rPr>
          <w:color w:val="000000" w:themeColor="text1"/>
        </w:rPr>
        <w:t>Vörösová</w:t>
      </w:r>
      <w:proofErr w:type="spellEnd"/>
      <w:r w:rsidRPr="00530D16">
        <w:rPr>
          <w:color w:val="000000" w:themeColor="text1"/>
        </w:rPr>
        <w:t>, 2011</w:t>
      </w:r>
      <w:r w:rsidR="00080EFC">
        <w:rPr>
          <w:color w:val="000000" w:themeColor="text1"/>
        </w:rPr>
        <w:t xml:space="preserve">, </w:t>
      </w:r>
      <w:r w:rsidR="006A3FE1">
        <w:rPr>
          <w:color w:val="000000" w:themeColor="text1"/>
        </w:rPr>
        <w:br/>
      </w:r>
      <w:r w:rsidR="00080EFC">
        <w:rPr>
          <w:color w:val="000000" w:themeColor="text1"/>
        </w:rPr>
        <w:t>s. 106</w:t>
      </w:r>
      <w:r w:rsidRPr="00530D16">
        <w:rPr>
          <w:color w:val="000000" w:themeColor="text1"/>
        </w:rPr>
        <w:t xml:space="preserve">). </w:t>
      </w:r>
    </w:p>
    <w:p w:rsidR="00530D16" w:rsidRPr="00530D16" w:rsidRDefault="00530D16" w:rsidP="00530D16">
      <w:pPr>
        <w:spacing w:after="200" w:line="360" w:lineRule="auto"/>
        <w:jc w:val="both"/>
        <w:rPr>
          <w:color w:val="000000" w:themeColor="text1"/>
        </w:rPr>
      </w:pPr>
      <w:r w:rsidRPr="00530D16">
        <w:rPr>
          <w:color w:val="000000" w:themeColor="text1"/>
        </w:rPr>
        <w:lastRenderedPageBreak/>
        <w:t>U nemocných s Crohnovou chorobou si dále všímáme stavu výživy. U mnoha jedinců je zvýšené riziko podvýživy a malnutrice, proto je n</w:t>
      </w:r>
      <w:r w:rsidRPr="000834D0">
        <w:t xml:space="preserve">utné hodnotit nutriční stav a sledovat hmotnost nemocného </w:t>
      </w:r>
      <w:r w:rsidRPr="009722FF">
        <w:rPr>
          <w:color w:val="000000" w:themeColor="text1"/>
        </w:rPr>
        <w:t>(</w:t>
      </w:r>
      <w:r w:rsidRPr="009722FF">
        <w:rPr>
          <w:rFonts w:eastAsiaTheme="minorHAnsi"/>
          <w:color w:val="000000" w:themeColor="text1"/>
          <w:lang w:eastAsia="en-US"/>
        </w:rPr>
        <w:t>Kubátová, 2014</w:t>
      </w:r>
      <w:r w:rsidR="009722FF" w:rsidRPr="009722FF">
        <w:rPr>
          <w:rFonts w:eastAsiaTheme="minorHAnsi"/>
          <w:color w:val="000000" w:themeColor="text1"/>
          <w:lang w:eastAsia="en-US"/>
        </w:rPr>
        <w:t>, s. 12-14</w:t>
      </w:r>
      <w:r w:rsidRPr="009722FF">
        <w:rPr>
          <w:color w:val="000000" w:themeColor="text1"/>
        </w:rPr>
        <w:t xml:space="preserve">). </w:t>
      </w:r>
      <w:r w:rsidRPr="000834D0">
        <w:t xml:space="preserve">Dle Vrzalové a kol. (2011) </w:t>
      </w:r>
      <w:r w:rsidRPr="00530D16">
        <w:rPr>
          <w:color w:val="000000" w:themeColor="text1"/>
        </w:rPr>
        <w:t>jako prevenci vzniku malnutrice nutriční terapeut na doporučení gastroenterologa sestaví dietu ve spolupráci s nemocným. Ta obsahuje zvýšené množství bílkovin a energie. Ve stádiu relapsu se podává tzv. bezezbytková dieta, při které se vyloučí nerozpustná vláknina. Je preferována lehce stravitelná strava se zvýšeným množstvím bílkovin, minerálů, vitamínů. Při diagnostikované malnutrici, vleklých zánětlivých procesech, je indikována enterální výživa nebo je zaveden periferní žilní katetr pro aplikaci parentální výživy (</w:t>
      </w:r>
      <w:proofErr w:type="spellStart"/>
      <w:r w:rsidRPr="000834D0">
        <w:t>Šachlová</w:t>
      </w:r>
      <w:proofErr w:type="spellEnd"/>
      <w:r w:rsidRPr="000834D0">
        <w:t>, 2011</w:t>
      </w:r>
      <w:r w:rsidR="000834D0" w:rsidRPr="000834D0">
        <w:t>, s. 403</w:t>
      </w:r>
      <w:r w:rsidR="000834D0">
        <w:t>-405</w:t>
      </w:r>
      <w:r w:rsidRPr="000834D0">
        <w:t xml:space="preserve">). </w:t>
      </w:r>
      <w:r w:rsidRPr="00530D16">
        <w:rPr>
          <w:color w:val="000000" w:themeColor="text1"/>
        </w:rPr>
        <w:t>Na základě zkušeností s domácí úplnou enterální výživou Bureš a kol. (1999) uvádí, že tato výživa signifikantně zlepšila subjektivní hodnocení duševního a tělesného zdraví, sociální a osobní aktivity, zvyky, celkovou životní spokojenost a schopnost vést smysluplný život. Ve stádiu remise striktní omezení potravin není nutné. Může se jíst vše, na co je chuť. Nemocného je však nutné upozornit, aby vyloučil jídla, po kterých má pocit nadmutí, plynatosti, bolesti břicha, průjem a dodržoval pitný režim s vyloučením alkoholu, kávy, perlivých nápojů (Holubová a kol 2013</w:t>
      </w:r>
      <w:r w:rsidR="00080EFC">
        <w:rPr>
          <w:color w:val="000000" w:themeColor="text1"/>
        </w:rPr>
        <w:t xml:space="preserve">, </w:t>
      </w:r>
      <w:r w:rsidR="006A3FE1">
        <w:rPr>
          <w:color w:val="000000" w:themeColor="text1"/>
        </w:rPr>
        <w:br/>
      </w:r>
      <w:r w:rsidR="00080EFC">
        <w:rPr>
          <w:color w:val="000000" w:themeColor="text1"/>
        </w:rPr>
        <w:t>s.</w:t>
      </w:r>
      <w:r w:rsidR="00C943D3">
        <w:rPr>
          <w:color w:val="000000" w:themeColor="text1"/>
        </w:rPr>
        <w:t xml:space="preserve"> </w:t>
      </w:r>
      <w:r w:rsidR="00080EFC">
        <w:rPr>
          <w:color w:val="000000" w:themeColor="text1"/>
        </w:rPr>
        <w:t>215-216</w:t>
      </w:r>
      <w:r w:rsidRPr="00530D16">
        <w:rPr>
          <w:color w:val="000000" w:themeColor="text1"/>
        </w:rPr>
        <w:t xml:space="preserve">; </w:t>
      </w:r>
      <w:proofErr w:type="spellStart"/>
      <w:r w:rsidRPr="000834D0">
        <w:t>Šachlová</w:t>
      </w:r>
      <w:proofErr w:type="spellEnd"/>
      <w:r w:rsidRPr="000834D0">
        <w:t>, 2011</w:t>
      </w:r>
      <w:r w:rsidR="000834D0" w:rsidRPr="000834D0">
        <w:t>, s. 403-405</w:t>
      </w:r>
      <w:r w:rsidRPr="000834D0">
        <w:t>).</w:t>
      </w:r>
    </w:p>
    <w:p w:rsidR="00530D16" w:rsidRPr="00530D16" w:rsidRDefault="00530D16" w:rsidP="00530D16">
      <w:pPr>
        <w:autoSpaceDE w:val="0"/>
        <w:autoSpaceDN w:val="0"/>
        <w:adjustRightInd w:val="0"/>
        <w:spacing w:after="0" w:line="360" w:lineRule="auto"/>
        <w:jc w:val="both"/>
        <w:rPr>
          <w:rFonts w:eastAsiaTheme="minorHAnsi"/>
          <w:color w:val="000000" w:themeColor="text1"/>
          <w:lang w:eastAsia="en-US"/>
        </w:rPr>
      </w:pPr>
      <w:r w:rsidRPr="00530D16">
        <w:rPr>
          <w:color w:val="000000" w:themeColor="text1"/>
        </w:rPr>
        <w:t>Dalšími ošetřovatelskými činnostmi je podávání léků. Nemocní užívají mnoho léků, v různých lékových formách, jako jsou tablety, injekce, infuze, ale také čípky nebo klyzmata. Nemocný si je aplikuje sám nebo ve spolupráci se sestrou a vždy dbáme na soukromí a intimitu (Šafránková, Nejedlá, 2006</w:t>
      </w:r>
      <w:r w:rsidR="00080EFC">
        <w:rPr>
          <w:color w:val="000000" w:themeColor="text1"/>
        </w:rPr>
        <w:t>, s. 234-235</w:t>
      </w:r>
      <w:r w:rsidRPr="00530D16">
        <w:rPr>
          <w:color w:val="000000" w:themeColor="text1"/>
        </w:rPr>
        <w:t xml:space="preserve">). U některých nemocných je součástí terapie biologická léčba podávaná formou infuzí, injekcí. </w:t>
      </w:r>
      <w:proofErr w:type="spellStart"/>
      <w:r w:rsidRPr="00530D16">
        <w:rPr>
          <w:color w:val="000000" w:themeColor="text1"/>
        </w:rPr>
        <w:t>Bortlík</w:t>
      </w:r>
      <w:proofErr w:type="spellEnd"/>
      <w:r w:rsidRPr="00530D16">
        <w:rPr>
          <w:color w:val="000000" w:themeColor="text1"/>
        </w:rPr>
        <w:t xml:space="preserve"> a kol. (2016) konstatuje, že léčbu aplikuje v místnostech pro to určených proškolený personál a to se znalostmi, jak pečovat o samotného pacienta, tak o biologické léčbě. Před aplikací infuze lékař ve spolupráci se sestrou zhodnotí aktuální stav nemocného, kontroluje nezbytná provedená </w:t>
      </w:r>
      <w:r w:rsidRPr="00530D16">
        <w:rPr>
          <w:color w:val="000000" w:themeColor="text1"/>
        </w:rPr>
        <w:lastRenderedPageBreak/>
        <w:t xml:space="preserve">vyšetření a sestra dále aplikuje antihistaminika a připraví lék dle ordinace lékaře. Pro podání biologického preparátu je vhodné zajistit klidné pohodlné prostředí s možností podání kyslíku. Po celou dobu aplikace sestra monitoruje fyziologické funkce a sleduje možný výskyt nežádoucích účinků (bušení srdce, dušnost, pocení, zvýšená tělesná teplota, vyrážka, bolest hlavy, pocit na zvracení). Po ukončení infuze nemocný zůstává v klidu a je poučen, aby kontaktoval sestru v případě jakýchkoli obtíží, které se mohou objevit i po několika dnech. Před podáním subkutánních injekcí sestra také provede krátkou anamnézu pro zjištění aktuálního stavu nemocného a aplikuje lék, obvykle 1krát za 14 dní. Po důkladném zaškolení si může aplikovat subkutánní injekci </w:t>
      </w:r>
      <w:r w:rsidR="00193AAF">
        <w:rPr>
          <w:color w:val="000000" w:themeColor="text1"/>
        </w:rPr>
        <w:br/>
      </w:r>
      <w:r w:rsidRPr="00530D16">
        <w:rPr>
          <w:color w:val="000000" w:themeColor="text1"/>
        </w:rPr>
        <w:t>i sám pacient v domácím prostředí (</w:t>
      </w:r>
      <w:proofErr w:type="spellStart"/>
      <w:r w:rsidRPr="00741439">
        <w:rPr>
          <w:color w:val="000000" w:themeColor="text1"/>
        </w:rPr>
        <w:t>Bortlík</w:t>
      </w:r>
      <w:proofErr w:type="spellEnd"/>
      <w:r w:rsidRPr="00741439">
        <w:rPr>
          <w:color w:val="000000" w:themeColor="text1"/>
        </w:rPr>
        <w:t xml:space="preserve"> a kol., 2012</w:t>
      </w:r>
      <w:r w:rsidR="00741439" w:rsidRPr="00741439">
        <w:rPr>
          <w:color w:val="000000" w:themeColor="text1"/>
        </w:rPr>
        <w:t>, s. 17-18</w:t>
      </w:r>
      <w:r w:rsidRPr="00741439">
        <w:rPr>
          <w:color w:val="000000" w:themeColor="text1"/>
        </w:rPr>
        <w:t xml:space="preserve">). </w:t>
      </w:r>
      <w:r w:rsidRPr="00530D16">
        <w:rPr>
          <w:color w:val="000000" w:themeColor="text1"/>
        </w:rPr>
        <w:t xml:space="preserve">V centru pro biologickou léčbu je doporučeno vést evidenci pacientů pro možnost monitorování účinnosti léčby a výskytu nežádoucích </w:t>
      </w:r>
      <w:r w:rsidRPr="00741439">
        <w:rPr>
          <w:color w:val="000000" w:themeColor="text1"/>
        </w:rPr>
        <w:t>účinků (Lukáš a kol., 2013</w:t>
      </w:r>
      <w:r w:rsidR="00741439" w:rsidRPr="00741439">
        <w:rPr>
          <w:color w:val="000000" w:themeColor="text1"/>
        </w:rPr>
        <w:t>, s. 5</w:t>
      </w:r>
      <w:r w:rsidRPr="00741439">
        <w:rPr>
          <w:color w:val="000000" w:themeColor="text1"/>
        </w:rPr>
        <w:t xml:space="preserve">). </w:t>
      </w:r>
      <w:r w:rsidRPr="00530D16">
        <w:rPr>
          <w:color w:val="000000" w:themeColor="text1"/>
        </w:rPr>
        <w:t xml:space="preserve">Existuje celostátní registr CREDIT, </w:t>
      </w:r>
      <w:r w:rsidRPr="00530D16">
        <w:rPr>
          <w:rFonts w:eastAsiaTheme="minorHAnsi"/>
          <w:color w:val="000000" w:themeColor="text1"/>
          <w:lang w:eastAsia="en-US"/>
        </w:rPr>
        <w:t>který zaznamenává údaje o IBD pacien</w:t>
      </w:r>
      <w:r w:rsidRPr="00530D16">
        <w:rPr>
          <w:rFonts w:eastAsiaTheme="minorHAnsi"/>
          <w:color w:val="000000" w:themeColor="text1"/>
          <w:lang w:eastAsia="en-US"/>
        </w:rPr>
        <w:softHyphen/>
        <w:t>tech na biologické léčbě (Pracovní skupina IBD).</w:t>
      </w:r>
    </w:p>
    <w:p w:rsidR="0057113A" w:rsidRDefault="00530D16" w:rsidP="00530D16">
      <w:pPr>
        <w:spacing w:after="200" w:line="360" w:lineRule="auto"/>
        <w:jc w:val="both"/>
        <w:rPr>
          <w:color w:val="000000" w:themeColor="text1"/>
        </w:rPr>
      </w:pPr>
      <w:r w:rsidRPr="00530D16">
        <w:rPr>
          <w:color w:val="000000" w:themeColor="text1"/>
        </w:rPr>
        <w:t xml:space="preserve">Důležité je také sledovat psychiku pacienta. S problémy, jako je strach, úzkost, deprese, beznaděj, se aktivně zabýváme u nemocných s čerstvě diagnostikovanou nemocí nebo u akutního vzplanutí. Člověk hledá odpovědi na otázky, jaký dopad bude mít onemocnění na jeho život, rodinu, přátelství, materiální zajištění, budoucnost. Snažíme se klientovi pomoci s novým stavem se vyrovnat a poskytnout informace (Svitková, Kober, 2014). </w:t>
      </w:r>
      <w:proofErr w:type="spellStart"/>
      <w:r w:rsidRPr="00530D16">
        <w:rPr>
          <w:color w:val="000000" w:themeColor="text1"/>
        </w:rPr>
        <w:t>Obereigner</w:t>
      </w:r>
      <w:proofErr w:type="spellEnd"/>
      <w:r w:rsidRPr="00530D16">
        <w:rPr>
          <w:color w:val="000000" w:themeColor="text1"/>
        </w:rPr>
        <w:t xml:space="preserve">, Kollárová (2008) považují edukaci pacienta a jeho rodiny za důležitý prvek pro zvládnutí nastalé situace pomocí dlouhodobé systematické psychologické </w:t>
      </w:r>
      <w:r>
        <w:rPr>
          <w:color w:val="000000" w:themeColor="text1"/>
        </w:rPr>
        <w:br/>
      </w:r>
      <w:r w:rsidRPr="00530D16">
        <w:rPr>
          <w:color w:val="000000" w:themeColor="text1"/>
        </w:rPr>
        <w:t xml:space="preserve">a psychiatrické péče od dětství do dospělosti. Psychologickou podporu </w:t>
      </w:r>
      <w:r>
        <w:rPr>
          <w:color w:val="000000" w:themeColor="text1"/>
        </w:rPr>
        <w:br/>
      </w:r>
      <w:r w:rsidRPr="00530D16">
        <w:rPr>
          <w:color w:val="000000" w:themeColor="text1"/>
        </w:rPr>
        <w:t xml:space="preserve">a psychoterapii doporučují </w:t>
      </w:r>
      <w:proofErr w:type="spellStart"/>
      <w:r w:rsidRPr="00530D16">
        <w:rPr>
          <w:color w:val="000000" w:themeColor="text1"/>
        </w:rPr>
        <w:t>Iglesias</w:t>
      </w:r>
      <w:proofErr w:type="spellEnd"/>
      <w:r w:rsidRPr="00530D16">
        <w:rPr>
          <w:color w:val="000000" w:themeColor="text1"/>
        </w:rPr>
        <w:t xml:space="preserve"> et al. (2009</w:t>
      </w:r>
      <w:r w:rsidR="00853C95">
        <w:rPr>
          <w:color w:val="000000" w:themeColor="text1"/>
        </w:rPr>
        <w:t>, s. 249</w:t>
      </w:r>
      <w:r w:rsidRPr="00530D16">
        <w:rPr>
          <w:color w:val="000000" w:themeColor="text1"/>
        </w:rPr>
        <w:t xml:space="preserve">) také u léčených nemocných v remisi. V České republice je možnost setkání se stejně nemocnými lidmi, např. formou Občanského sdružení pacientů s idiopatickými střevními záněty (Pfeiferová, 2013). </w:t>
      </w:r>
    </w:p>
    <w:p w:rsidR="00530D16" w:rsidRPr="0057113A" w:rsidRDefault="00530D16" w:rsidP="00530D16">
      <w:pPr>
        <w:spacing w:after="200" w:line="360" w:lineRule="auto"/>
        <w:jc w:val="both"/>
        <w:rPr>
          <w:color w:val="000000" w:themeColor="text1"/>
        </w:rPr>
      </w:pPr>
      <w:r w:rsidRPr="00530D16">
        <w:rPr>
          <w:rFonts w:eastAsiaTheme="minorHAnsi" w:cstheme="minorBidi"/>
          <w:b/>
          <w:color w:val="000000" w:themeColor="text1"/>
          <w:szCs w:val="22"/>
          <w:lang w:eastAsia="en-US"/>
        </w:rPr>
        <w:lastRenderedPageBreak/>
        <w:t>Závěr</w:t>
      </w:r>
    </w:p>
    <w:p w:rsidR="00530D16" w:rsidRPr="00530D16" w:rsidRDefault="00530D16" w:rsidP="00530D16">
      <w:pPr>
        <w:spacing w:after="200" w:line="360" w:lineRule="auto"/>
        <w:jc w:val="both"/>
        <w:rPr>
          <w:rFonts w:eastAsiaTheme="minorHAnsi" w:cstheme="minorBidi"/>
          <w:b/>
          <w:color w:val="000000" w:themeColor="text1"/>
          <w:szCs w:val="22"/>
          <w:lang w:eastAsia="en-US"/>
        </w:rPr>
      </w:pPr>
      <w:r w:rsidRPr="00530D16">
        <w:rPr>
          <w:rFonts w:eastAsiaTheme="minorHAnsi"/>
          <w:color w:val="000000" w:themeColor="text1"/>
          <w:lang w:eastAsia="en-US"/>
        </w:rPr>
        <w:t xml:space="preserve">Crohnova choroba je chronické zánětlivé onemocnění, které se diagnostikuje </w:t>
      </w:r>
      <w:r w:rsidR="00193AAF">
        <w:rPr>
          <w:rFonts w:eastAsiaTheme="minorHAnsi"/>
          <w:color w:val="000000" w:themeColor="text1"/>
          <w:lang w:eastAsia="en-US"/>
        </w:rPr>
        <w:br/>
      </w:r>
      <w:r w:rsidRPr="00530D16">
        <w:rPr>
          <w:rFonts w:eastAsiaTheme="minorHAnsi"/>
          <w:color w:val="000000" w:themeColor="text1"/>
          <w:lang w:eastAsia="en-US"/>
        </w:rPr>
        <w:t xml:space="preserve">u mužů i u žen v reproduktivním období života, nejčastěji mezi 20. </w:t>
      </w:r>
      <w:r w:rsidR="00193AAF">
        <w:rPr>
          <w:rFonts w:eastAsiaTheme="minorHAnsi"/>
          <w:color w:val="000000" w:themeColor="text1"/>
          <w:lang w:eastAsia="en-US"/>
        </w:rPr>
        <w:t xml:space="preserve">a </w:t>
      </w:r>
      <w:r w:rsidRPr="00530D16">
        <w:rPr>
          <w:rFonts w:eastAsiaTheme="minorHAnsi"/>
          <w:color w:val="000000" w:themeColor="text1"/>
          <w:lang w:eastAsia="en-US"/>
        </w:rPr>
        <w:t>30. rokem. Přehledový článek mapuje problematiku kvality života u nemocných s Crohnovou chorobou a poskytování komplexní péče, která by mohla nasměrovat nelékařského zdravotnického pracovníka na uspokojování individuálních potřeb člověka.</w:t>
      </w:r>
    </w:p>
    <w:p w:rsidR="00A165F1" w:rsidRPr="00E56C4E" w:rsidRDefault="00DF7765" w:rsidP="001E4A2B">
      <w:pPr>
        <w:pStyle w:val="Nadpis1"/>
        <w:spacing w:before="480"/>
      </w:pPr>
      <w:proofErr w:type="spellStart"/>
      <w:r>
        <w:t>Použité</w:t>
      </w:r>
      <w:proofErr w:type="spellEnd"/>
      <w:r>
        <w:t xml:space="preserve"> </w:t>
      </w:r>
      <w:proofErr w:type="spellStart"/>
      <w:r>
        <w:t>zdroje</w:t>
      </w:r>
      <w:proofErr w:type="spellEnd"/>
    </w:p>
    <w:p w:rsidR="00A953C0" w:rsidRPr="00A953C0" w:rsidRDefault="00A953C0" w:rsidP="00A953C0">
      <w:pPr>
        <w:autoSpaceDE w:val="0"/>
        <w:spacing w:after="200" w:line="360" w:lineRule="auto"/>
        <w:jc w:val="both"/>
        <w:rPr>
          <w:color w:val="000000" w:themeColor="text1"/>
        </w:rPr>
      </w:pPr>
      <w:r w:rsidRPr="00A953C0">
        <w:rPr>
          <w:color w:val="000000" w:themeColor="text1"/>
        </w:rPr>
        <w:t xml:space="preserve">BUREŠ, J., J. HORÁČEK a J. MALÝ et al. Vnitřní lékařství. 2. </w:t>
      </w:r>
      <w:proofErr w:type="spellStart"/>
      <w:r w:rsidRPr="00A953C0">
        <w:rPr>
          <w:color w:val="000000" w:themeColor="text1"/>
        </w:rPr>
        <w:t>přeprac</w:t>
      </w:r>
      <w:proofErr w:type="spellEnd"/>
      <w:r w:rsidRPr="00A953C0">
        <w:rPr>
          <w:color w:val="000000" w:themeColor="text1"/>
        </w:rPr>
        <w:t xml:space="preserve">. a </w:t>
      </w:r>
      <w:proofErr w:type="spellStart"/>
      <w:r w:rsidRPr="00A953C0">
        <w:rPr>
          <w:color w:val="000000" w:themeColor="text1"/>
        </w:rPr>
        <w:t>rozšíř</w:t>
      </w:r>
      <w:proofErr w:type="spellEnd"/>
      <w:r w:rsidRPr="00A953C0">
        <w:rPr>
          <w:color w:val="000000" w:themeColor="text1"/>
        </w:rPr>
        <w:t xml:space="preserve">. vyd. Praha: </w:t>
      </w:r>
      <w:proofErr w:type="spellStart"/>
      <w:r w:rsidRPr="00A953C0">
        <w:rPr>
          <w:color w:val="000000" w:themeColor="text1"/>
        </w:rPr>
        <w:t>Galén</w:t>
      </w:r>
      <w:proofErr w:type="spellEnd"/>
      <w:r w:rsidRPr="00A953C0">
        <w:rPr>
          <w:color w:val="000000" w:themeColor="text1"/>
        </w:rPr>
        <w:t>, 2014. ISBN 978-80-7492-145-2.</w:t>
      </w:r>
    </w:p>
    <w:p w:rsidR="00A953C0" w:rsidRPr="00A953C0" w:rsidRDefault="00A953C0" w:rsidP="00A953C0">
      <w:pPr>
        <w:spacing w:after="200" w:line="360" w:lineRule="auto"/>
        <w:jc w:val="both"/>
        <w:rPr>
          <w:rFonts w:eastAsiaTheme="minorHAnsi"/>
          <w:color w:val="000000" w:themeColor="text1"/>
          <w:sz w:val="22"/>
          <w:szCs w:val="22"/>
          <w:lang w:eastAsia="en-US"/>
        </w:rPr>
      </w:pPr>
      <w:r w:rsidRPr="00A953C0">
        <w:rPr>
          <w:rFonts w:eastAsia="TimesNewRomanPSMT"/>
          <w:lang w:eastAsia="en-US"/>
        </w:rPr>
        <w:t xml:space="preserve">BUREŠ, J., ŽIVNÝ, P., PECHAROVÁ, H., REJCHRT, S., KOPÁČOVÁ, M. ŠIROKÝ, M., PALIČKA,V. Kvalita života nemocných léčených úplnou domácí enterální výživou. </w:t>
      </w:r>
      <w:r w:rsidRPr="00A953C0">
        <w:rPr>
          <w:rFonts w:eastAsia="TimesNewRomanPSMT"/>
          <w:i/>
          <w:lang w:eastAsia="en-US"/>
        </w:rPr>
        <w:t>Diabetologie-Metabolismus-Endokrinologie-Výživa.</w:t>
      </w:r>
      <w:r w:rsidRPr="00A953C0">
        <w:rPr>
          <w:rFonts w:eastAsia="TimesNewRomanPSMT"/>
          <w:lang w:eastAsia="en-US"/>
        </w:rPr>
        <w:t xml:space="preserve"> 1999, roč. 2 (1), s. 17-21. ISSN 1211-9326.</w:t>
      </w:r>
    </w:p>
    <w:p w:rsidR="00A953C0" w:rsidRPr="00A953C0" w:rsidRDefault="00A953C0" w:rsidP="00A953C0">
      <w:pPr>
        <w:autoSpaceDE w:val="0"/>
        <w:spacing w:after="200" w:line="360" w:lineRule="auto"/>
        <w:jc w:val="both"/>
        <w:rPr>
          <w:color w:val="000000" w:themeColor="text1"/>
        </w:rPr>
      </w:pPr>
      <w:r w:rsidRPr="00A953C0">
        <w:rPr>
          <w:color w:val="000000" w:themeColor="text1"/>
        </w:rPr>
        <w:t>BORTLÍK, Martin</w:t>
      </w:r>
      <w:r w:rsidR="00741439">
        <w:rPr>
          <w:color w:val="000000" w:themeColor="text1"/>
        </w:rPr>
        <w:t xml:space="preserve"> et al</w:t>
      </w:r>
      <w:r w:rsidRPr="00A953C0">
        <w:rPr>
          <w:color w:val="000000" w:themeColor="text1"/>
        </w:rPr>
        <w:t xml:space="preserve">. </w:t>
      </w:r>
      <w:r w:rsidRPr="00A953C0">
        <w:rPr>
          <w:rFonts w:eastAsiaTheme="minorHAnsi"/>
          <w:color w:val="000000" w:themeColor="text1"/>
          <w:lang w:eastAsia="en-US"/>
        </w:rPr>
        <w:t xml:space="preserve">Doporučení pro podávání biologické terapie u idiopatických střevních zánětů: 2. vydání. </w:t>
      </w:r>
      <w:proofErr w:type="spellStart"/>
      <w:r w:rsidRPr="00A953C0">
        <w:rPr>
          <w:rFonts w:eastAsiaTheme="minorHAnsi"/>
          <w:i/>
          <w:color w:val="000000" w:themeColor="text1"/>
          <w:lang w:eastAsia="en-US"/>
        </w:rPr>
        <w:t>Gastrenterologie</w:t>
      </w:r>
      <w:proofErr w:type="spellEnd"/>
      <w:r w:rsidRPr="00A953C0">
        <w:rPr>
          <w:rFonts w:eastAsiaTheme="minorHAnsi"/>
          <w:i/>
          <w:color w:val="000000" w:themeColor="text1"/>
          <w:lang w:eastAsia="en-US"/>
        </w:rPr>
        <w:t xml:space="preserve"> a </w:t>
      </w:r>
      <w:proofErr w:type="spellStart"/>
      <w:r w:rsidRPr="00A953C0">
        <w:rPr>
          <w:rFonts w:eastAsiaTheme="minorHAnsi"/>
          <w:i/>
          <w:color w:val="000000" w:themeColor="text1"/>
          <w:lang w:eastAsia="en-US"/>
        </w:rPr>
        <w:t>hepatologie</w:t>
      </w:r>
      <w:proofErr w:type="spellEnd"/>
      <w:r w:rsidRPr="00A953C0">
        <w:rPr>
          <w:rFonts w:eastAsiaTheme="minorHAnsi"/>
          <w:i/>
          <w:color w:val="000000" w:themeColor="text1"/>
          <w:lang w:eastAsia="en-US"/>
        </w:rPr>
        <w:t>.</w:t>
      </w:r>
      <w:r w:rsidRPr="00A953C0">
        <w:rPr>
          <w:rFonts w:eastAsiaTheme="minorHAnsi"/>
          <w:color w:val="000000" w:themeColor="text1"/>
          <w:lang w:eastAsia="en-US"/>
        </w:rPr>
        <w:t xml:space="preserve"> [online].</w:t>
      </w:r>
      <w:r>
        <w:rPr>
          <w:rFonts w:eastAsiaTheme="minorHAnsi"/>
          <w:color w:val="000000" w:themeColor="text1"/>
          <w:lang w:eastAsia="en-US"/>
        </w:rPr>
        <w:t xml:space="preserve"> </w:t>
      </w:r>
      <w:r w:rsidRPr="00A953C0">
        <w:rPr>
          <w:rFonts w:eastAsiaTheme="minorHAnsi"/>
          <w:color w:val="000000" w:themeColor="text1"/>
          <w:lang w:eastAsia="en-US"/>
        </w:rPr>
        <w:t>2012. č. (66)1. [cit.2017-03-12].</w:t>
      </w:r>
      <w:r>
        <w:rPr>
          <w:rFonts w:eastAsiaTheme="minorHAnsi"/>
          <w:color w:val="000000" w:themeColor="text1"/>
          <w:lang w:eastAsia="en-US"/>
        </w:rPr>
        <w:t xml:space="preserve"> </w:t>
      </w:r>
      <w:r w:rsidRPr="00A953C0">
        <w:rPr>
          <w:rFonts w:eastAsiaTheme="minorHAnsi"/>
          <w:color w:val="000000" w:themeColor="text1"/>
          <w:lang w:eastAsia="en-US"/>
        </w:rPr>
        <w:t>Dostupné</w:t>
      </w:r>
      <w:r>
        <w:rPr>
          <w:rFonts w:eastAsiaTheme="minorHAnsi"/>
          <w:color w:val="000000" w:themeColor="text1"/>
          <w:lang w:eastAsia="en-US"/>
        </w:rPr>
        <w:t xml:space="preserve"> </w:t>
      </w:r>
      <w:r w:rsidRPr="00A953C0">
        <w:rPr>
          <w:rFonts w:eastAsiaTheme="minorHAnsi"/>
          <w:color w:val="000000" w:themeColor="text1"/>
          <w:lang w:eastAsia="en-US"/>
        </w:rPr>
        <w:t>z:</w:t>
      </w:r>
      <w:r>
        <w:rPr>
          <w:rFonts w:eastAsiaTheme="minorHAnsi"/>
          <w:color w:val="000000" w:themeColor="text1"/>
          <w:lang w:eastAsia="en-US"/>
        </w:rPr>
        <w:t xml:space="preserve"> </w:t>
      </w:r>
      <w:r w:rsidRPr="00A953C0">
        <w:rPr>
          <w:rFonts w:eastAsiaTheme="minorHAnsi"/>
          <w:color w:val="000000" w:themeColor="text1"/>
          <w:lang w:eastAsia="en-US"/>
        </w:rPr>
        <w:t>http://www.ibd-skupina.cz/dokumenty/Guidelines_02.pdf.</w:t>
      </w:r>
    </w:p>
    <w:p w:rsidR="00A953C0" w:rsidRPr="00A953C0" w:rsidRDefault="00A953C0" w:rsidP="00A953C0">
      <w:pPr>
        <w:autoSpaceDE w:val="0"/>
        <w:spacing w:after="200" w:line="360" w:lineRule="auto"/>
        <w:jc w:val="both"/>
        <w:rPr>
          <w:color w:val="000000" w:themeColor="text1"/>
        </w:rPr>
      </w:pPr>
      <w:r w:rsidRPr="00A953C0">
        <w:rPr>
          <w:color w:val="000000" w:themeColor="text1"/>
        </w:rPr>
        <w:t>BORTLÍK, Martin</w:t>
      </w:r>
      <w:r w:rsidR="00741439">
        <w:rPr>
          <w:color w:val="000000" w:themeColor="text1"/>
        </w:rPr>
        <w:t xml:space="preserve"> et al</w:t>
      </w:r>
      <w:r w:rsidRPr="00A953C0">
        <w:rPr>
          <w:color w:val="000000" w:themeColor="text1"/>
        </w:rPr>
        <w:t xml:space="preserve">. </w:t>
      </w:r>
      <w:r w:rsidRPr="00A953C0">
        <w:rPr>
          <w:rFonts w:eastAsiaTheme="minorHAnsi"/>
          <w:color w:val="000000" w:themeColor="text1"/>
          <w:lang w:eastAsia="en-US"/>
        </w:rPr>
        <w:t>Doporučení pro podávání biologické terapie u idiopatických střevních zánětů: 3.</w:t>
      </w:r>
      <w:r w:rsidR="00741439">
        <w:rPr>
          <w:rFonts w:eastAsiaTheme="minorHAnsi"/>
          <w:color w:val="000000" w:themeColor="text1"/>
          <w:lang w:eastAsia="en-US"/>
        </w:rPr>
        <w:t xml:space="preserve"> </w:t>
      </w:r>
      <w:r w:rsidRPr="00A953C0">
        <w:rPr>
          <w:rFonts w:eastAsiaTheme="minorHAnsi"/>
          <w:color w:val="000000" w:themeColor="text1"/>
          <w:lang w:eastAsia="en-US"/>
        </w:rPr>
        <w:t xml:space="preserve">vydání. </w:t>
      </w:r>
      <w:proofErr w:type="spellStart"/>
      <w:r w:rsidRPr="00A953C0">
        <w:rPr>
          <w:rFonts w:eastAsiaTheme="minorHAnsi"/>
          <w:i/>
          <w:color w:val="000000" w:themeColor="text1"/>
          <w:lang w:eastAsia="en-US"/>
        </w:rPr>
        <w:t>Gastrenterologie</w:t>
      </w:r>
      <w:proofErr w:type="spellEnd"/>
      <w:r w:rsidRPr="00A953C0">
        <w:rPr>
          <w:rFonts w:eastAsiaTheme="minorHAnsi"/>
          <w:i/>
          <w:color w:val="000000" w:themeColor="text1"/>
          <w:lang w:eastAsia="en-US"/>
        </w:rPr>
        <w:t xml:space="preserve"> a </w:t>
      </w:r>
      <w:proofErr w:type="spellStart"/>
      <w:r w:rsidRPr="00A953C0">
        <w:rPr>
          <w:rFonts w:eastAsiaTheme="minorHAnsi"/>
          <w:i/>
          <w:color w:val="000000" w:themeColor="text1"/>
          <w:lang w:eastAsia="en-US"/>
        </w:rPr>
        <w:t>hepatologie</w:t>
      </w:r>
      <w:proofErr w:type="spellEnd"/>
      <w:r w:rsidRPr="00A953C0">
        <w:rPr>
          <w:rFonts w:eastAsiaTheme="minorHAnsi"/>
          <w:i/>
          <w:color w:val="000000" w:themeColor="text1"/>
          <w:lang w:eastAsia="en-US"/>
        </w:rPr>
        <w:t>.</w:t>
      </w:r>
      <w:r w:rsidRPr="00A953C0">
        <w:rPr>
          <w:rFonts w:eastAsiaTheme="minorHAnsi"/>
          <w:color w:val="000000" w:themeColor="text1"/>
          <w:lang w:eastAsia="en-US"/>
        </w:rPr>
        <w:t xml:space="preserve"> [online].</w:t>
      </w:r>
      <w:r>
        <w:rPr>
          <w:rFonts w:eastAsiaTheme="minorHAnsi"/>
          <w:color w:val="000000" w:themeColor="text1"/>
          <w:lang w:eastAsia="en-US"/>
        </w:rPr>
        <w:t xml:space="preserve"> </w:t>
      </w:r>
      <w:r w:rsidRPr="00A953C0">
        <w:rPr>
          <w:rFonts w:eastAsiaTheme="minorHAnsi"/>
          <w:color w:val="000000" w:themeColor="text1"/>
          <w:lang w:eastAsia="en-US"/>
        </w:rPr>
        <w:t>2016. č. (70)1. [cit.2017-03-12].</w:t>
      </w:r>
      <w:r>
        <w:rPr>
          <w:rFonts w:eastAsiaTheme="minorHAnsi"/>
          <w:color w:val="000000" w:themeColor="text1"/>
          <w:lang w:eastAsia="en-US"/>
        </w:rPr>
        <w:t xml:space="preserve"> </w:t>
      </w:r>
      <w:r w:rsidRPr="00A953C0">
        <w:rPr>
          <w:rFonts w:eastAsiaTheme="minorHAnsi"/>
          <w:color w:val="000000" w:themeColor="text1"/>
          <w:lang w:eastAsia="en-US"/>
        </w:rPr>
        <w:t>Dostupné</w:t>
      </w:r>
      <w:r>
        <w:rPr>
          <w:rFonts w:eastAsiaTheme="minorHAnsi"/>
          <w:color w:val="000000" w:themeColor="text1"/>
          <w:lang w:eastAsia="en-US"/>
        </w:rPr>
        <w:t xml:space="preserve"> </w:t>
      </w:r>
      <w:r w:rsidRPr="00A953C0">
        <w:rPr>
          <w:rFonts w:eastAsiaTheme="minorHAnsi"/>
          <w:color w:val="000000" w:themeColor="text1"/>
          <w:lang w:eastAsia="en-US"/>
        </w:rPr>
        <w:t>z:</w:t>
      </w:r>
      <w:r>
        <w:rPr>
          <w:rFonts w:eastAsiaTheme="minorHAnsi"/>
          <w:color w:val="000000" w:themeColor="text1"/>
          <w:lang w:eastAsia="en-US"/>
        </w:rPr>
        <w:t xml:space="preserve"> </w:t>
      </w:r>
      <w:r w:rsidRPr="00A953C0">
        <w:rPr>
          <w:rFonts w:eastAsiaTheme="minorHAnsi"/>
          <w:color w:val="000000" w:themeColor="text1"/>
          <w:lang w:eastAsia="en-US"/>
        </w:rPr>
        <w:t>http://www.ibd-skupina.cz/dokumenty/Guidelines_02.pdf</w:t>
      </w:r>
      <w:r w:rsidRPr="00A953C0">
        <w:rPr>
          <w:color w:val="000000" w:themeColor="text1"/>
        </w:rPr>
        <w:t>.</w:t>
      </w:r>
    </w:p>
    <w:p w:rsidR="00A953C0" w:rsidRPr="00A953C0" w:rsidRDefault="00A953C0" w:rsidP="00A953C0">
      <w:pPr>
        <w:spacing w:after="200" w:line="360" w:lineRule="auto"/>
        <w:jc w:val="both"/>
        <w:rPr>
          <w:rFonts w:eastAsiaTheme="minorHAnsi"/>
          <w:color w:val="000000" w:themeColor="text1"/>
          <w:lang w:eastAsia="en-US"/>
        </w:rPr>
      </w:pPr>
      <w:r w:rsidRPr="00A953C0">
        <w:rPr>
          <w:rFonts w:eastAsiaTheme="minorHAnsi"/>
          <w:color w:val="000000" w:themeColor="text1"/>
          <w:lang w:eastAsia="en-US"/>
        </w:rPr>
        <w:t xml:space="preserve">ČERVENKOVÁ, Renata. </w:t>
      </w:r>
      <w:r w:rsidRPr="00A953C0">
        <w:rPr>
          <w:rFonts w:eastAsiaTheme="minorHAnsi"/>
          <w:i/>
          <w:iCs/>
          <w:color w:val="000000" w:themeColor="text1"/>
          <w:lang w:eastAsia="en-US"/>
        </w:rPr>
        <w:t xml:space="preserve">Crohnova nemoc a </w:t>
      </w:r>
      <w:proofErr w:type="spellStart"/>
      <w:r w:rsidRPr="00A953C0">
        <w:rPr>
          <w:rFonts w:eastAsiaTheme="minorHAnsi"/>
          <w:i/>
          <w:iCs/>
          <w:color w:val="000000" w:themeColor="text1"/>
          <w:lang w:eastAsia="en-US"/>
        </w:rPr>
        <w:t>uklcerózní</w:t>
      </w:r>
      <w:proofErr w:type="spellEnd"/>
      <w:r w:rsidRPr="00A953C0">
        <w:rPr>
          <w:rFonts w:eastAsiaTheme="minorHAnsi"/>
          <w:i/>
          <w:iCs/>
          <w:color w:val="000000" w:themeColor="text1"/>
          <w:lang w:eastAsia="en-US"/>
        </w:rPr>
        <w:t xml:space="preserve"> kolitida</w:t>
      </w:r>
      <w:r w:rsidRPr="00A953C0">
        <w:rPr>
          <w:rFonts w:eastAsiaTheme="minorHAnsi"/>
          <w:color w:val="000000" w:themeColor="text1"/>
          <w:lang w:eastAsia="en-US"/>
        </w:rPr>
        <w:t xml:space="preserve">. Praha: </w:t>
      </w:r>
      <w:proofErr w:type="spellStart"/>
      <w:r w:rsidRPr="00A953C0">
        <w:rPr>
          <w:rFonts w:eastAsiaTheme="minorHAnsi"/>
          <w:color w:val="000000" w:themeColor="text1"/>
          <w:lang w:eastAsia="en-US"/>
        </w:rPr>
        <w:t>Galen</w:t>
      </w:r>
      <w:proofErr w:type="spellEnd"/>
      <w:r w:rsidRPr="00A953C0">
        <w:rPr>
          <w:rFonts w:eastAsiaTheme="minorHAnsi"/>
          <w:color w:val="000000" w:themeColor="text1"/>
          <w:lang w:eastAsia="en-US"/>
        </w:rPr>
        <w:t>, 2009. ISBN 978-80-7262-600-7.</w:t>
      </w:r>
    </w:p>
    <w:p w:rsidR="00A953C0" w:rsidRPr="00A953C0" w:rsidRDefault="00A953C0" w:rsidP="00A953C0">
      <w:pPr>
        <w:autoSpaceDE w:val="0"/>
        <w:autoSpaceDN w:val="0"/>
        <w:adjustRightInd w:val="0"/>
        <w:spacing w:after="200" w:line="360" w:lineRule="auto"/>
        <w:jc w:val="both"/>
        <w:rPr>
          <w:rFonts w:eastAsiaTheme="minorHAnsi"/>
          <w:color w:val="000000" w:themeColor="text1"/>
          <w:lang w:eastAsia="en-US"/>
        </w:rPr>
      </w:pPr>
      <w:r w:rsidRPr="00A953C0">
        <w:rPr>
          <w:rFonts w:eastAsiaTheme="minorHAnsi"/>
          <w:color w:val="000000" w:themeColor="text1"/>
          <w:lang w:eastAsia="en-US"/>
        </w:rPr>
        <w:lastRenderedPageBreak/>
        <w:t xml:space="preserve">GABALEC, Libor et al. Kvalita života u Crohnovy nemoci. </w:t>
      </w:r>
      <w:r w:rsidRPr="00A953C0">
        <w:rPr>
          <w:rFonts w:eastAsiaTheme="minorHAnsi"/>
          <w:i/>
          <w:iCs/>
          <w:color w:val="000000" w:themeColor="text1"/>
          <w:lang w:eastAsia="en-US"/>
        </w:rPr>
        <w:t>Časopis lékařů českých</w:t>
      </w:r>
      <w:r w:rsidRPr="00A953C0">
        <w:rPr>
          <w:rFonts w:eastAsiaTheme="minorHAnsi"/>
          <w:iCs/>
          <w:color w:val="000000" w:themeColor="text1"/>
          <w:lang w:eastAsia="en-US"/>
        </w:rPr>
        <w:t>.</w:t>
      </w:r>
      <w:r w:rsidRPr="00A953C0">
        <w:rPr>
          <w:rFonts w:eastAsiaTheme="minorHAnsi"/>
          <w:i/>
          <w:iCs/>
          <w:color w:val="000000" w:themeColor="text1"/>
          <w:lang w:eastAsia="en-US"/>
        </w:rPr>
        <w:t xml:space="preserve"> </w:t>
      </w:r>
      <w:r w:rsidRPr="00A953C0">
        <w:rPr>
          <w:rFonts w:eastAsiaTheme="minorHAnsi"/>
          <w:iCs/>
          <w:color w:val="000000" w:themeColor="text1"/>
          <w:lang w:eastAsia="en-US"/>
        </w:rPr>
        <w:t xml:space="preserve">2009. r. </w:t>
      </w:r>
      <w:r w:rsidRPr="00A953C0">
        <w:rPr>
          <w:rFonts w:eastAsiaTheme="minorHAnsi"/>
          <w:bCs/>
          <w:color w:val="000000" w:themeColor="text1"/>
          <w:lang w:eastAsia="en-US"/>
        </w:rPr>
        <w:t xml:space="preserve">148, č. </w:t>
      </w:r>
      <w:r w:rsidRPr="00A953C0">
        <w:rPr>
          <w:rFonts w:eastAsiaTheme="minorHAnsi"/>
          <w:color w:val="000000" w:themeColor="text1"/>
          <w:lang w:eastAsia="en-US"/>
        </w:rPr>
        <w:t>5. s. 201-205. ISSN 0008-7335.</w:t>
      </w:r>
    </w:p>
    <w:p w:rsidR="00A953C0" w:rsidRPr="00A953C0" w:rsidRDefault="00A953C0" w:rsidP="00A953C0">
      <w:pPr>
        <w:autoSpaceDE w:val="0"/>
        <w:spacing w:after="200" w:line="360" w:lineRule="auto"/>
        <w:jc w:val="both"/>
        <w:rPr>
          <w:rFonts w:eastAsiaTheme="minorHAnsi"/>
          <w:color w:val="000000" w:themeColor="text1"/>
          <w:lang w:eastAsia="en-US"/>
        </w:rPr>
      </w:pPr>
      <w:r w:rsidRPr="00A953C0">
        <w:rPr>
          <w:rFonts w:eastAsiaTheme="minorHAnsi"/>
          <w:color w:val="000000" w:themeColor="text1"/>
          <w:lang w:eastAsia="en-US"/>
        </w:rPr>
        <w:t xml:space="preserve">GURKOVÁ, Elena. </w:t>
      </w:r>
      <w:r w:rsidRPr="00A953C0">
        <w:rPr>
          <w:rFonts w:eastAsiaTheme="minorHAnsi"/>
          <w:i/>
          <w:color w:val="000000" w:themeColor="text1"/>
          <w:lang w:eastAsia="en-US"/>
        </w:rPr>
        <w:t>Hodnocení kvality života: Pro klinickou praxi a ošetřovatelský výzkum</w:t>
      </w:r>
      <w:r w:rsidRPr="00A953C0">
        <w:rPr>
          <w:rFonts w:eastAsiaTheme="minorHAnsi"/>
          <w:color w:val="000000" w:themeColor="text1"/>
          <w:lang w:eastAsia="en-US"/>
        </w:rPr>
        <w:t xml:space="preserve">. Praha: </w:t>
      </w:r>
      <w:proofErr w:type="spellStart"/>
      <w:r w:rsidRPr="00A953C0">
        <w:rPr>
          <w:rFonts w:eastAsiaTheme="minorHAnsi"/>
          <w:color w:val="000000" w:themeColor="text1"/>
          <w:lang w:eastAsia="en-US"/>
        </w:rPr>
        <w:t>Grada</w:t>
      </w:r>
      <w:proofErr w:type="spellEnd"/>
      <w:r w:rsidRPr="00A953C0">
        <w:rPr>
          <w:rFonts w:eastAsiaTheme="minorHAnsi"/>
          <w:color w:val="000000" w:themeColor="text1"/>
          <w:lang w:eastAsia="en-US"/>
        </w:rPr>
        <w:t>, 2011. ISBN 978-80-247-3625-9.</w:t>
      </w:r>
    </w:p>
    <w:p w:rsidR="00A953C0" w:rsidRDefault="00A953C0" w:rsidP="00A953C0">
      <w:pPr>
        <w:autoSpaceDE w:val="0"/>
        <w:spacing w:after="200" w:line="360" w:lineRule="auto"/>
        <w:jc w:val="both"/>
        <w:rPr>
          <w:rFonts w:eastAsiaTheme="minorHAnsi"/>
          <w:color w:val="000000" w:themeColor="text1"/>
          <w:lang w:eastAsia="en-US"/>
        </w:rPr>
      </w:pPr>
      <w:r w:rsidRPr="00A953C0">
        <w:rPr>
          <w:rFonts w:eastAsiaTheme="minorHAnsi"/>
          <w:color w:val="000000" w:themeColor="text1"/>
          <w:lang w:eastAsia="en-US"/>
        </w:rPr>
        <w:t xml:space="preserve">GURKOVÁ, Elena a Marcela LILGOVÁ. Determinanty kvality života u </w:t>
      </w:r>
      <w:proofErr w:type="spellStart"/>
      <w:r w:rsidRPr="00A953C0">
        <w:rPr>
          <w:rFonts w:eastAsiaTheme="minorHAnsi"/>
          <w:color w:val="000000" w:themeColor="text1"/>
          <w:lang w:eastAsia="en-US"/>
        </w:rPr>
        <w:t>pacientov</w:t>
      </w:r>
      <w:proofErr w:type="spellEnd"/>
      <w:r w:rsidRPr="00A953C0">
        <w:rPr>
          <w:rFonts w:eastAsiaTheme="minorHAnsi"/>
          <w:color w:val="000000" w:themeColor="text1"/>
          <w:lang w:eastAsia="en-US"/>
        </w:rPr>
        <w:t xml:space="preserve"> s </w:t>
      </w:r>
      <w:proofErr w:type="spellStart"/>
      <w:r w:rsidRPr="00A953C0">
        <w:rPr>
          <w:rFonts w:eastAsiaTheme="minorHAnsi"/>
          <w:color w:val="000000" w:themeColor="text1"/>
          <w:lang w:eastAsia="en-US"/>
        </w:rPr>
        <w:t>nešpecifickým</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zápalom</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čriev</w:t>
      </w:r>
      <w:proofErr w:type="spellEnd"/>
      <w:r w:rsidRPr="00A953C0">
        <w:rPr>
          <w:rFonts w:eastAsiaTheme="minorHAnsi"/>
          <w:color w:val="000000" w:themeColor="text1"/>
          <w:lang w:eastAsia="en-US"/>
        </w:rPr>
        <w:t xml:space="preserve">. </w:t>
      </w:r>
      <w:r w:rsidRPr="00A953C0">
        <w:rPr>
          <w:rFonts w:eastAsiaTheme="minorHAnsi"/>
          <w:i/>
          <w:color w:val="000000" w:themeColor="text1"/>
          <w:lang w:eastAsia="en-US"/>
        </w:rPr>
        <w:t>Kontakt.</w:t>
      </w:r>
      <w:r w:rsidRPr="00A953C0">
        <w:rPr>
          <w:rFonts w:eastAsiaTheme="minorHAnsi"/>
          <w:color w:val="000000" w:themeColor="text1"/>
          <w:lang w:eastAsia="en-US"/>
        </w:rPr>
        <w:t xml:space="preserve"> 2009. č. 2. s. 433-443. ISSN 1212-4117.</w:t>
      </w:r>
    </w:p>
    <w:p w:rsidR="00FF4F98" w:rsidRPr="00A953C0" w:rsidRDefault="00FF4F98" w:rsidP="00A953C0">
      <w:pPr>
        <w:autoSpaceDE w:val="0"/>
        <w:spacing w:after="200" w:line="360" w:lineRule="auto"/>
        <w:jc w:val="both"/>
        <w:rPr>
          <w:rFonts w:eastAsiaTheme="minorHAnsi"/>
          <w:color w:val="000000" w:themeColor="text1"/>
          <w:lang w:eastAsia="en-US"/>
        </w:rPr>
      </w:pPr>
      <w:r>
        <w:rPr>
          <w:rFonts w:eastAsiaTheme="minorHAnsi"/>
          <w:color w:val="000000" w:themeColor="text1"/>
          <w:lang w:eastAsia="en-US"/>
        </w:rPr>
        <w:t>HEŘMANOVÁ, Eva. Koncepty, teorie a měření kvality života. Praha: Sociologické nakladatelství, 2012. ISBN 978-80-7419-106-0.</w:t>
      </w:r>
    </w:p>
    <w:p w:rsidR="00A953C0" w:rsidRPr="00A953C0" w:rsidRDefault="00A953C0" w:rsidP="00A953C0">
      <w:pPr>
        <w:autoSpaceDE w:val="0"/>
        <w:spacing w:after="200" w:line="360" w:lineRule="auto"/>
        <w:jc w:val="both"/>
        <w:rPr>
          <w:rFonts w:eastAsiaTheme="minorHAnsi"/>
          <w:color w:val="000000" w:themeColor="text1"/>
          <w:lang w:eastAsia="en-US"/>
        </w:rPr>
      </w:pPr>
      <w:r w:rsidRPr="00A953C0">
        <w:rPr>
          <w:rFonts w:eastAsiaTheme="minorHAnsi"/>
          <w:color w:val="000000" w:themeColor="text1"/>
          <w:lang w:eastAsia="en-US"/>
        </w:rPr>
        <w:t xml:space="preserve">HOLUBOVÁ, A., H. NOVOTNÁ a J. MAREČKOVÁ et al. </w:t>
      </w:r>
      <w:r w:rsidRPr="00A953C0">
        <w:rPr>
          <w:rFonts w:eastAsiaTheme="minorHAnsi"/>
          <w:i/>
          <w:color w:val="000000" w:themeColor="text1"/>
          <w:lang w:eastAsia="en-US"/>
        </w:rPr>
        <w:t xml:space="preserve">Ošetřovatelská péče v gastroenterologii a </w:t>
      </w:r>
      <w:proofErr w:type="spellStart"/>
      <w:r w:rsidRPr="00A953C0">
        <w:rPr>
          <w:rFonts w:eastAsiaTheme="minorHAnsi"/>
          <w:i/>
          <w:color w:val="000000" w:themeColor="text1"/>
          <w:lang w:eastAsia="en-US"/>
        </w:rPr>
        <w:t>hepatologii</w:t>
      </w:r>
      <w:proofErr w:type="spellEnd"/>
      <w:r w:rsidRPr="00A953C0">
        <w:rPr>
          <w:rFonts w:eastAsiaTheme="minorHAnsi"/>
          <w:i/>
          <w:color w:val="000000" w:themeColor="text1"/>
          <w:lang w:eastAsia="en-US"/>
        </w:rPr>
        <w:t>.</w:t>
      </w:r>
      <w:r w:rsidRPr="00A953C0">
        <w:rPr>
          <w:rFonts w:eastAsiaTheme="minorHAnsi"/>
          <w:color w:val="000000" w:themeColor="text1"/>
          <w:lang w:eastAsia="en-US"/>
        </w:rPr>
        <w:t xml:space="preserve"> Praha: Mladá fronta, 2013. ISBN 978-80-204-2806-6.</w:t>
      </w:r>
    </w:p>
    <w:p w:rsidR="00A953C0" w:rsidRPr="00A953C0" w:rsidRDefault="00A953C0" w:rsidP="00A953C0">
      <w:pPr>
        <w:autoSpaceDE w:val="0"/>
        <w:spacing w:after="200" w:line="360" w:lineRule="auto"/>
        <w:jc w:val="both"/>
        <w:rPr>
          <w:rFonts w:eastAsiaTheme="minorHAnsi"/>
          <w:color w:val="000000" w:themeColor="text1"/>
          <w:lang w:eastAsia="en-US"/>
        </w:rPr>
      </w:pPr>
      <w:r w:rsidRPr="00A953C0">
        <w:rPr>
          <w:rFonts w:eastAsiaTheme="minorHAnsi"/>
          <w:color w:val="000000" w:themeColor="text1"/>
          <w:lang w:eastAsia="en-US"/>
        </w:rPr>
        <w:t>HUVAR, Petr. Idiopatické střevní záněty z pohledu praktického lékaře. Medicína pro praxi. [online]. 2007. č. 4 (12). [cit.2017-03-12]. Dostupné z http://www.medicinapropraxi.cz/</w:t>
      </w:r>
      <w:proofErr w:type="spellStart"/>
      <w:r w:rsidRPr="00A953C0">
        <w:rPr>
          <w:rFonts w:eastAsiaTheme="minorHAnsi"/>
          <w:color w:val="000000" w:themeColor="text1"/>
          <w:lang w:eastAsia="en-US"/>
        </w:rPr>
        <w:t>pdfs</w:t>
      </w:r>
      <w:proofErr w:type="spellEnd"/>
      <w:r w:rsidRPr="00A953C0">
        <w:rPr>
          <w:rFonts w:eastAsiaTheme="minorHAnsi"/>
          <w:color w:val="000000" w:themeColor="text1"/>
          <w:lang w:eastAsia="en-US"/>
        </w:rPr>
        <w:t>/med/2007/12/05.pdf.</w:t>
      </w:r>
    </w:p>
    <w:p w:rsidR="00A953C0" w:rsidRPr="00A953C0" w:rsidRDefault="00A953C0" w:rsidP="00A953C0">
      <w:pPr>
        <w:spacing w:after="200" w:line="360" w:lineRule="auto"/>
        <w:jc w:val="both"/>
        <w:rPr>
          <w:rFonts w:eastAsiaTheme="minorHAnsi"/>
          <w:color w:val="000000" w:themeColor="text1"/>
          <w:lang w:eastAsia="en-US"/>
        </w:rPr>
      </w:pPr>
      <w:r w:rsidRPr="00A953C0">
        <w:rPr>
          <w:rFonts w:eastAsiaTheme="minorHAnsi"/>
          <w:color w:val="000000" w:themeColor="text1"/>
          <w:lang w:eastAsia="en-US"/>
        </w:rPr>
        <w:t xml:space="preserve">IGLESIAS M. et al. </w:t>
      </w:r>
      <w:proofErr w:type="spellStart"/>
      <w:r w:rsidRPr="00A953C0">
        <w:rPr>
          <w:rFonts w:eastAsiaTheme="minorHAnsi"/>
          <w:color w:val="000000" w:themeColor="text1"/>
          <w:lang w:eastAsia="en-US"/>
        </w:rPr>
        <w:t>Psychological</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impact</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of</w:t>
      </w:r>
      <w:proofErr w:type="spellEnd"/>
      <w:r w:rsidRPr="00A953C0">
        <w:rPr>
          <w:rFonts w:eastAsiaTheme="minorHAnsi"/>
          <w:color w:val="000000" w:themeColor="text1"/>
          <w:lang w:eastAsia="en-US"/>
        </w:rPr>
        <w:t xml:space="preserve"> Crohn s </w:t>
      </w:r>
      <w:proofErr w:type="spellStart"/>
      <w:r w:rsidRPr="00A953C0">
        <w:rPr>
          <w:rFonts w:eastAsiaTheme="minorHAnsi"/>
          <w:color w:val="000000" w:themeColor="text1"/>
          <w:lang w:eastAsia="en-US"/>
        </w:rPr>
        <w:t>disease</w:t>
      </w:r>
      <w:proofErr w:type="spellEnd"/>
      <w:r w:rsidRPr="00A953C0">
        <w:rPr>
          <w:rFonts w:eastAsiaTheme="minorHAnsi"/>
          <w:color w:val="000000" w:themeColor="text1"/>
          <w:lang w:eastAsia="en-US"/>
        </w:rPr>
        <w:t xml:space="preserve"> on </w:t>
      </w:r>
      <w:proofErr w:type="spellStart"/>
      <w:r w:rsidRPr="00A953C0">
        <w:rPr>
          <w:rFonts w:eastAsiaTheme="minorHAnsi"/>
          <w:color w:val="000000" w:themeColor="text1"/>
          <w:lang w:eastAsia="en-US"/>
        </w:rPr>
        <w:t>patients</w:t>
      </w:r>
      <w:proofErr w:type="spellEnd"/>
      <w:r w:rsidRPr="00A953C0">
        <w:rPr>
          <w:rFonts w:eastAsiaTheme="minorHAnsi"/>
          <w:color w:val="000000" w:themeColor="text1"/>
          <w:lang w:eastAsia="en-US"/>
        </w:rPr>
        <w:t xml:space="preserve"> in </w:t>
      </w:r>
      <w:proofErr w:type="spellStart"/>
      <w:r w:rsidRPr="00A953C0">
        <w:rPr>
          <w:rFonts w:eastAsiaTheme="minorHAnsi"/>
          <w:color w:val="000000" w:themeColor="text1"/>
          <w:lang w:eastAsia="en-US"/>
        </w:rPr>
        <w:t>remission</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anxiety</w:t>
      </w:r>
      <w:proofErr w:type="spellEnd"/>
      <w:r w:rsidRPr="00A953C0">
        <w:rPr>
          <w:rFonts w:eastAsiaTheme="minorHAnsi"/>
          <w:color w:val="000000" w:themeColor="text1"/>
          <w:lang w:eastAsia="en-US"/>
        </w:rPr>
        <w:t xml:space="preserve"> and </w:t>
      </w:r>
      <w:proofErr w:type="spellStart"/>
      <w:r w:rsidRPr="00A953C0">
        <w:rPr>
          <w:rFonts w:eastAsiaTheme="minorHAnsi"/>
          <w:color w:val="000000" w:themeColor="text1"/>
          <w:lang w:eastAsia="en-US"/>
        </w:rPr>
        <w:t>depression</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risks</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Revista</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espanola</w:t>
      </w:r>
      <w:proofErr w:type="spellEnd"/>
      <w:r w:rsidRPr="00A953C0">
        <w:rPr>
          <w:rFonts w:eastAsiaTheme="minorHAnsi"/>
          <w:color w:val="000000" w:themeColor="text1"/>
          <w:lang w:eastAsia="en-US"/>
        </w:rPr>
        <w:t xml:space="preserve"> de </w:t>
      </w:r>
      <w:proofErr w:type="spellStart"/>
      <w:r w:rsidRPr="00A953C0">
        <w:rPr>
          <w:rFonts w:eastAsiaTheme="minorHAnsi"/>
          <w:color w:val="000000" w:themeColor="text1"/>
          <w:lang w:eastAsia="en-US"/>
        </w:rPr>
        <w:t>enfermedades</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digestivas</w:t>
      </w:r>
      <w:proofErr w:type="spellEnd"/>
      <w:r w:rsidRPr="00A953C0">
        <w:rPr>
          <w:rFonts w:eastAsiaTheme="minorHAnsi"/>
          <w:color w:val="000000" w:themeColor="text1"/>
          <w:lang w:eastAsia="en-US"/>
        </w:rPr>
        <w:t>.</w:t>
      </w:r>
      <w:r>
        <w:rPr>
          <w:rFonts w:eastAsiaTheme="minorHAnsi"/>
          <w:color w:val="000000" w:themeColor="text1"/>
          <w:lang w:eastAsia="en-US"/>
        </w:rPr>
        <w:t xml:space="preserve"> </w:t>
      </w:r>
      <w:r w:rsidRPr="00A953C0">
        <w:rPr>
          <w:rFonts w:eastAsiaTheme="minorHAnsi"/>
          <w:color w:val="000000" w:themeColor="text1"/>
          <w:lang w:eastAsia="en-US"/>
        </w:rPr>
        <w:t>[online]. 2009. č. 101(4). [cit.2017-03-12].</w:t>
      </w:r>
      <w:r>
        <w:rPr>
          <w:rFonts w:eastAsiaTheme="minorHAnsi"/>
          <w:color w:val="000000" w:themeColor="text1"/>
          <w:lang w:eastAsia="en-US"/>
        </w:rPr>
        <w:t xml:space="preserve"> </w:t>
      </w:r>
      <w:r w:rsidRPr="00A953C0">
        <w:rPr>
          <w:rFonts w:eastAsiaTheme="minorHAnsi"/>
          <w:color w:val="000000" w:themeColor="text1"/>
          <w:lang w:eastAsia="en-US"/>
        </w:rPr>
        <w:t>Dostupné z:</w:t>
      </w:r>
      <w:r>
        <w:rPr>
          <w:rFonts w:eastAsiaTheme="minorHAnsi"/>
          <w:color w:val="000000" w:themeColor="text1"/>
          <w:lang w:eastAsia="en-US"/>
        </w:rPr>
        <w:t xml:space="preserve"> </w:t>
      </w:r>
      <w:r w:rsidRPr="00A953C0">
        <w:rPr>
          <w:rFonts w:eastAsiaTheme="minorHAnsi"/>
          <w:color w:val="000000" w:themeColor="text1"/>
          <w:lang w:eastAsia="en-US"/>
        </w:rPr>
        <w:t>http://www.grupoaran.com/mrmUpdate/lecturaPDFfromXML.asp?IdArt=461374&amp;TO=RVN&amp;Eng=1.</w:t>
      </w:r>
    </w:p>
    <w:p w:rsidR="00A953C0" w:rsidRPr="00A953C0" w:rsidRDefault="00A953C0" w:rsidP="00A953C0">
      <w:pPr>
        <w:spacing w:before="240" w:after="200" w:line="360" w:lineRule="auto"/>
        <w:jc w:val="both"/>
        <w:rPr>
          <w:rFonts w:eastAsiaTheme="minorHAnsi"/>
          <w:color w:val="000000" w:themeColor="text1"/>
          <w:lang w:eastAsia="en-US"/>
        </w:rPr>
      </w:pPr>
      <w:r w:rsidRPr="00A953C0">
        <w:rPr>
          <w:rFonts w:eastAsiaTheme="minorHAnsi"/>
          <w:color w:val="000000" w:themeColor="text1"/>
          <w:lang w:eastAsia="en-US"/>
        </w:rPr>
        <w:t xml:space="preserve">JÄGHULT, </w:t>
      </w:r>
      <w:proofErr w:type="spellStart"/>
      <w:r w:rsidRPr="00A953C0">
        <w:rPr>
          <w:rFonts w:eastAsiaTheme="minorHAnsi"/>
          <w:color w:val="000000" w:themeColor="text1"/>
          <w:lang w:eastAsia="en-US"/>
        </w:rPr>
        <w:t>Susanna</w:t>
      </w:r>
      <w:proofErr w:type="spellEnd"/>
      <w:r w:rsidRPr="00A953C0">
        <w:rPr>
          <w:rFonts w:eastAsiaTheme="minorHAnsi"/>
          <w:color w:val="000000" w:themeColor="text1"/>
          <w:lang w:eastAsia="en-US"/>
        </w:rPr>
        <w:t xml:space="preserve"> et al. </w:t>
      </w:r>
      <w:proofErr w:type="spellStart"/>
      <w:r w:rsidRPr="00A953C0">
        <w:rPr>
          <w:rFonts w:eastAsiaTheme="minorHAnsi"/>
          <w:color w:val="000000" w:themeColor="text1"/>
          <w:lang w:eastAsia="en-US"/>
        </w:rPr>
        <w:t>Identifying</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predictors</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of</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low</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health-related</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quality</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of</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life</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among</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patients</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with</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inflammatory</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bowel</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disease</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comparison</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between</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Crohn’s</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disease</w:t>
      </w:r>
      <w:proofErr w:type="spellEnd"/>
      <w:r w:rsidRPr="00A953C0">
        <w:rPr>
          <w:rFonts w:eastAsiaTheme="minorHAnsi"/>
          <w:color w:val="000000" w:themeColor="text1"/>
          <w:lang w:eastAsia="en-US"/>
        </w:rPr>
        <w:t xml:space="preserve"> and </w:t>
      </w:r>
      <w:proofErr w:type="spellStart"/>
      <w:r w:rsidRPr="00A953C0">
        <w:rPr>
          <w:rFonts w:eastAsiaTheme="minorHAnsi"/>
          <w:color w:val="000000" w:themeColor="text1"/>
          <w:lang w:eastAsia="en-US"/>
        </w:rPr>
        <w:t>ulcerative</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colitis</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with</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disease</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duration</w:t>
      </w:r>
      <w:proofErr w:type="spellEnd"/>
      <w:r w:rsidRPr="00A953C0">
        <w:rPr>
          <w:rFonts w:eastAsiaTheme="minorHAnsi"/>
          <w:color w:val="000000" w:themeColor="text1"/>
          <w:lang w:eastAsia="en-US"/>
        </w:rPr>
        <w:t xml:space="preserve">. [online]. 2011. </w:t>
      </w:r>
      <w:proofErr w:type="spellStart"/>
      <w:r w:rsidRPr="00A953C0">
        <w:rPr>
          <w:rFonts w:eastAsiaTheme="minorHAnsi"/>
          <w:color w:val="000000" w:themeColor="text1"/>
          <w:lang w:eastAsia="en-US"/>
        </w:rPr>
        <w:t>Journal</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of</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Clinical</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Nursing</w:t>
      </w:r>
      <w:proofErr w:type="spellEnd"/>
      <w:r w:rsidRPr="00A953C0">
        <w:rPr>
          <w:rFonts w:eastAsiaTheme="minorHAnsi"/>
          <w:color w:val="000000" w:themeColor="text1"/>
          <w:lang w:eastAsia="en-US"/>
        </w:rPr>
        <w:t xml:space="preserve">. č. 20. [cit.2017-03-11]. Dostupné z: </w:t>
      </w:r>
      <w:r w:rsidR="00700EFE" w:rsidRPr="00A953C0">
        <w:rPr>
          <w:rFonts w:eastAsiaTheme="minorHAnsi"/>
          <w:iCs/>
          <w:color w:val="000000" w:themeColor="text1"/>
          <w:lang w:eastAsia="en-US"/>
        </w:rPr>
        <w:t>https://www.ncbi.nlm.nih.gov/pubmed /21418363.</w:t>
      </w:r>
    </w:p>
    <w:p w:rsidR="00A953C0" w:rsidRPr="00A953C0" w:rsidRDefault="00A953C0" w:rsidP="00A953C0">
      <w:pPr>
        <w:spacing w:before="240" w:after="200" w:line="360" w:lineRule="auto"/>
        <w:jc w:val="both"/>
        <w:rPr>
          <w:rFonts w:eastAsiaTheme="minorHAnsi"/>
          <w:color w:val="000000" w:themeColor="text1"/>
          <w:lang w:eastAsia="en-US"/>
        </w:rPr>
      </w:pPr>
      <w:r w:rsidRPr="00A953C0">
        <w:rPr>
          <w:rFonts w:eastAsiaTheme="minorHAnsi"/>
          <w:color w:val="000000" w:themeColor="text1"/>
          <w:lang w:eastAsia="en-US"/>
        </w:rPr>
        <w:lastRenderedPageBreak/>
        <w:t xml:space="preserve">KLENER, Pavel et al. </w:t>
      </w:r>
      <w:r w:rsidRPr="00A953C0">
        <w:rPr>
          <w:rFonts w:eastAsiaTheme="minorHAnsi"/>
          <w:i/>
          <w:iCs/>
          <w:color w:val="000000" w:themeColor="text1"/>
          <w:lang w:eastAsia="en-US"/>
        </w:rPr>
        <w:t xml:space="preserve">Vnitřní lékařství. </w:t>
      </w:r>
      <w:r w:rsidRPr="00A953C0">
        <w:rPr>
          <w:rFonts w:eastAsiaTheme="minorHAnsi"/>
          <w:color w:val="000000" w:themeColor="text1"/>
          <w:lang w:eastAsia="en-US"/>
        </w:rPr>
        <w:t xml:space="preserve">Praha: </w:t>
      </w:r>
      <w:proofErr w:type="spellStart"/>
      <w:r w:rsidRPr="00A953C0">
        <w:rPr>
          <w:rFonts w:eastAsiaTheme="minorHAnsi"/>
          <w:color w:val="000000" w:themeColor="text1"/>
          <w:lang w:eastAsia="en-US"/>
        </w:rPr>
        <w:t>Galén</w:t>
      </w:r>
      <w:proofErr w:type="spellEnd"/>
      <w:r w:rsidRPr="00A953C0">
        <w:rPr>
          <w:rFonts w:eastAsiaTheme="minorHAnsi"/>
          <w:color w:val="000000" w:themeColor="text1"/>
          <w:lang w:eastAsia="en-US"/>
        </w:rPr>
        <w:t>. 2011. ISBN 978-80-246-1986-6.</w:t>
      </w:r>
    </w:p>
    <w:p w:rsidR="00A953C0" w:rsidRPr="00A953C0" w:rsidRDefault="00A953C0" w:rsidP="00A953C0">
      <w:pPr>
        <w:spacing w:after="200" w:line="360" w:lineRule="auto"/>
        <w:jc w:val="both"/>
        <w:rPr>
          <w:rFonts w:eastAsiaTheme="minorHAnsi"/>
          <w:color w:val="000000" w:themeColor="text1"/>
          <w:lang w:eastAsia="en-US"/>
        </w:rPr>
      </w:pPr>
      <w:r w:rsidRPr="00A953C0">
        <w:rPr>
          <w:rFonts w:eastAsiaTheme="minorHAnsi"/>
          <w:color w:val="000000" w:themeColor="text1"/>
          <w:lang w:eastAsia="en-US"/>
        </w:rPr>
        <w:t xml:space="preserve">KOHOUT, Pavel et al. </w:t>
      </w:r>
      <w:r w:rsidRPr="00A953C0">
        <w:rPr>
          <w:rFonts w:eastAsiaTheme="minorHAnsi"/>
          <w:i/>
          <w:iCs/>
          <w:color w:val="000000" w:themeColor="text1"/>
          <w:lang w:eastAsia="en-US"/>
        </w:rPr>
        <w:t>Výživa u pacientů s idiopatickými střevními záněty</w:t>
      </w:r>
      <w:r w:rsidRPr="00A953C0">
        <w:rPr>
          <w:rFonts w:eastAsiaTheme="minorHAnsi"/>
          <w:color w:val="000000" w:themeColor="text1"/>
          <w:lang w:eastAsia="en-US"/>
        </w:rPr>
        <w:t xml:space="preserve">. Praha: </w:t>
      </w:r>
      <w:proofErr w:type="spellStart"/>
      <w:r w:rsidRPr="00A953C0">
        <w:rPr>
          <w:rFonts w:eastAsiaTheme="minorHAnsi"/>
          <w:color w:val="000000" w:themeColor="text1"/>
          <w:lang w:eastAsia="en-US"/>
        </w:rPr>
        <w:t>Maxdorf</w:t>
      </w:r>
      <w:proofErr w:type="spellEnd"/>
      <w:r w:rsidRPr="00A953C0">
        <w:rPr>
          <w:rFonts w:eastAsiaTheme="minorHAnsi"/>
          <w:color w:val="000000" w:themeColor="text1"/>
          <w:lang w:eastAsia="en-US"/>
        </w:rPr>
        <w:t>, 2004. ISBN 80-7345-023-2.</w:t>
      </w:r>
    </w:p>
    <w:p w:rsidR="00A953C0" w:rsidRDefault="00A953C0" w:rsidP="00A953C0">
      <w:pPr>
        <w:spacing w:after="200" w:line="360" w:lineRule="auto"/>
        <w:jc w:val="both"/>
        <w:rPr>
          <w:rFonts w:eastAsiaTheme="minorHAnsi"/>
          <w:bCs/>
          <w:color w:val="000000" w:themeColor="text1"/>
          <w:lang w:eastAsia="en-US"/>
        </w:rPr>
      </w:pPr>
      <w:r w:rsidRPr="00A953C0">
        <w:rPr>
          <w:rFonts w:eastAsiaTheme="minorHAnsi"/>
          <w:color w:val="000000" w:themeColor="text1"/>
          <w:lang w:eastAsia="en-US"/>
        </w:rPr>
        <w:t xml:space="preserve">KOŽELUHOVÁ, J a kol. </w:t>
      </w:r>
      <w:r w:rsidRPr="00A953C0">
        <w:rPr>
          <w:rFonts w:eastAsiaTheme="minorHAnsi"/>
          <w:i/>
          <w:color w:val="000000" w:themeColor="text1"/>
          <w:lang w:eastAsia="en-US"/>
        </w:rPr>
        <w:t>Terapie idiopatických střevních zánětů v graviditě.</w:t>
      </w:r>
      <w:r w:rsidRPr="00A953C0">
        <w:rPr>
          <w:rFonts w:eastAsiaTheme="minorHAnsi"/>
          <w:bCs/>
          <w:i/>
          <w:color w:val="000000" w:themeColor="text1"/>
          <w:lang w:eastAsia="en-US"/>
        </w:rPr>
        <w:t xml:space="preserve"> Medicína pro praxi.</w:t>
      </w:r>
      <w:r w:rsidRPr="00A953C0">
        <w:rPr>
          <w:rFonts w:eastAsiaTheme="minorHAnsi"/>
          <w:bCs/>
          <w:color w:val="000000" w:themeColor="text1"/>
          <w:lang w:eastAsia="en-US"/>
        </w:rPr>
        <w:t xml:space="preserve"> 2015, roč. 17 (5), s. 218-222. ISSN 1803-5876.</w:t>
      </w:r>
    </w:p>
    <w:p w:rsidR="009722FF" w:rsidRPr="00A953C0" w:rsidRDefault="009722FF" w:rsidP="00A953C0">
      <w:pPr>
        <w:spacing w:after="200" w:line="360" w:lineRule="auto"/>
        <w:jc w:val="both"/>
        <w:rPr>
          <w:rFonts w:eastAsiaTheme="minorHAnsi"/>
          <w:color w:val="000000" w:themeColor="text1"/>
          <w:lang w:eastAsia="en-US"/>
        </w:rPr>
      </w:pPr>
      <w:r>
        <w:rPr>
          <w:rFonts w:eastAsiaTheme="minorHAnsi"/>
          <w:bCs/>
          <w:color w:val="000000" w:themeColor="text1"/>
          <w:lang w:eastAsia="en-US"/>
        </w:rPr>
        <w:t>KUBÁTOVÁ, L., M. NEJEDLÁ a I. OTRADOVCOVÁ</w:t>
      </w:r>
      <w:r w:rsidR="006D4EAD">
        <w:rPr>
          <w:rFonts w:eastAsiaTheme="minorHAnsi"/>
          <w:bCs/>
          <w:color w:val="000000" w:themeColor="text1"/>
          <w:lang w:eastAsia="en-US"/>
        </w:rPr>
        <w:t>. Myslíme na výživu chirurgických pacientů včas. Florence, 2014. roč. 10, č. 6. s. 10-12. ISSN 1801-464.</w:t>
      </w:r>
    </w:p>
    <w:p w:rsidR="00A953C0" w:rsidRPr="00A953C0" w:rsidRDefault="00A953C0" w:rsidP="00A953C0">
      <w:pPr>
        <w:autoSpaceDE w:val="0"/>
        <w:spacing w:after="200" w:line="360" w:lineRule="auto"/>
        <w:jc w:val="both"/>
        <w:rPr>
          <w:color w:val="000000" w:themeColor="text1"/>
        </w:rPr>
      </w:pPr>
      <w:r w:rsidRPr="00A953C0">
        <w:rPr>
          <w:color w:val="000000" w:themeColor="text1"/>
        </w:rPr>
        <w:t>LUKÁŠ, Milan. Biologická terapie u idiopatických střevních zánětů.</w:t>
      </w:r>
      <w:r w:rsidRPr="00A953C0">
        <w:rPr>
          <w:rFonts w:eastAsiaTheme="minorHAnsi"/>
          <w:color w:val="000000" w:themeColor="text1"/>
          <w:lang w:eastAsia="en-US"/>
        </w:rPr>
        <w:t xml:space="preserve"> </w:t>
      </w:r>
      <w:proofErr w:type="spellStart"/>
      <w:r w:rsidRPr="00A953C0">
        <w:rPr>
          <w:rFonts w:eastAsiaTheme="minorHAnsi"/>
          <w:i/>
          <w:color w:val="000000" w:themeColor="text1"/>
          <w:lang w:eastAsia="en-US"/>
        </w:rPr>
        <w:t>Gastrenterologie</w:t>
      </w:r>
      <w:proofErr w:type="spellEnd"/>
      <w:r w:rsidRPr="00A953C0">
        <w:rPr>
          <w:rFonts w:eastAsiaTheme="minorHAnsi"/>
          <w:i/>
          <w:color w:val="000000" w:themeColor="text1"/>
          <w:lang w:eastAsia="en-US"/>
        </w:rPr>
        <w:t xml:space="preserve"> a </w:t>
      </w:r>
      <w:proofErr w:type="spellStart"/>
      <w:r w:rsidRPr="00A953C0">
        <w:rPr>
          <w:rFonts w:eastAsiaTheme="minorHAnsi"/>
          <w:i/>
          <w:color w:val="000000" w:themeColor="text1"/>
          <w:lang w:eastAsia="en-US"/>
        </w:rPr>
        <w:t>hepatologie</w:t>
      </w:r>
      <w:proofErr w:type="spellEnd"/>
      <w:r w:rsidRPr="00A953C0">
        <w:rPr>
          <w:rFonts w:eastAsiaTheme="minorHAnsi"/>
          <w:i/>
          <w:color w:val="000000" w:themeColor="text1"/>
          <w:lang w:eastAsia="en-US"/>
        </w:rPr>
        <w:t>.</w:t>
      </w:r>
      <w:r w:rsidRPr="00A953C0">
        <w:rPr>
          <w:rFonts w:eastAsiaTheme="minorHAnsi"/>
          <w:color w:val="000000" w:themeColor="text1"/>
          <w:lang w:eastAsia="en-US"/>
        </w:rPr>
        <w:t xml:space="preserve"> [online]. </w:t>
      </w:r>
      <w:r w:rsidRPr="00A953C0">
        <w:rPr>
          <w:rFonts w:eastAsiaTheme="minorHAnsi"/>
          <w:i/>
          <w:color w:val="000000" w:themeColor="text1"/>
          <w:lang w:eastAsia="en-US"/>
        </w:rPr>
        <w:t xml:space="preserve"> </w:t>
      </w:r>
      <w:r w:rsidRPr="00A953C0">
        <w:rPr>
          <w:rFonts w:eastAsiaTheme="minorHAnsi"/>
          <w:color w:val="000000" w:themeColor="text1"/>
          <w:lang w:eastAsia="en-US"/>
        </w:rPr>
        <w:t xml:space="preserve">2013. č. XX-XX. [cit.2017-03-11]. Dostupné z: </w:t>
      </w:r>
      <w:r w:rsidRPr="00A953C0">
        <w:rPr>
          <w:color w:val="000000" w:themeColor="text1"/>
        </w:rPr>
        <w:t xml:space="preserve">http://wp.interna-cz.eu/wp-content/uploads/2013/06/Biologická-terapie-idiopatických-střevních-zánětů.pdf. </w:t>
      </w:r>
    </w:p>
    <w:p w:rsidR="00A953C0" w:rsidRPr="00A953C0" w:rsidRDefault="00A953C0" w:rsidP="00A953C0">
      <w:pPr>
        <w:autoSpaceDE w:val="0"/>
        <w:spacing w:after="200" w:line="360" w:lineRule="auto"/>
        <w:jc w:val="both"/>
        <w:rPr>
          <w:color w:val="000000" w:themeColor="text1"/>
        </w:rPr>
      </w:pPr>
      <w:r w:rsidRPr="00A953C0">
        <w:rPr>
          <w:color w:val="000000" w:themeColor="text1"/>
        </w:rPr>
        <w:t xml:space="preserve">NAVRÁTIL, Leoš. </w:t>
      </w:r>
      <w:r w:rsidRPr="00A953C0">
        <w:rPr>
          <w:i/>
          <w:color w:val="000000" w:themeColor="text1"/>
        </w:rPr>
        <w:t>Vnitřní lékařství pro nelékařské zdravotnické obory.</w:t>
      </w:r>
      <w:r w:rsidRPr="00A953C0">
        <w:rPr>
          <w:color w:val="000000" w:themeColor="text1"/>
        </w:rPr>
        <w:t xml:space="preserve"> Praha: </w:t>
      </w:r>
      <w:proofErr w:type="spellStart"/>
      <w:r w:rsidRPr="00A953C0">
        <w:rPr>
          <w:color w:val="000000" w:themeColor="text1"/>
        </w:rPr>
        <w:t>Grada</w:t>
      </w:r>
      <w:proofErr w:type="spellEnd"/>
      <w:r w:rsidRPr="00A953C0">
        <w:rPr>
          <w:color w:val="000000" w:themeColor="text1"/>
        </w:rPr>
        <w:t>, 2008. ISBN 978-80-247-2319-8.</w:t>
      </w:r>
    </w:p>
    <w:p w:rsidR="00A953C0" w:rsidRPr="00A953C0" w:rsidRDefault="00A953C0" w:rsidP="00A953C0">
      <w:pPr>
        <w:autoSpaceDE w:val="0"/>
        <w:spacing w:after="200" w:line="360" w:lineRule="auto"/>
        <w:jc w:val="both"/>
        <w:rPr>
          <w:color w:val="000000" w:themeColor="text1"/>
        </w:rPr>
      </w:pPr>
      <w:r w:rsidRPr="00A953C0">
        <w:rPr>
          <w:rFonts w:eastAsiaTheme="minorHAnsi"/>
          <w:bCs/>
          <w:color w:val="000000" w:themeColor="text1"/>
          <w:lang w:eastAsia="en-US"/>
        </w:rPr>
        <w:t xml:space="preserve">OBEREIGNERŮ, Radko a Katarína KOLLÁROVÁ. Psychologické aspekty nespecifických střevních zánětů u dětí. </w:t>
      </w:r>
      <w:r w:rsidRPr="00A953C0">
        <w:rPr>
          <w:rFonts w:eastAsiaTheme="minorHAnsi"/>
          <w:bCs/>
          <w:i/>
          <w:color w:val="000000" w:themeColor="text1"/>
          <w:lang w:eastAsia="en-US"/>
        </w:rPr>
        <w:t xml:space="preserve">Psychologie pro praxi. </w:t>
      </w:r>
      <w:r w:rsidRPr="00A953C0">
        <w:rPr>
          <w:rFonts w:eastAsiaTheme="minorHAnsi"/>
          <w:bCs/>
          <w:color w:val="000000" w:themeColor="text1"/>
          <w:lang w:eastAsia="en-US"/>
        </w:rPr>
        <w:t>2008. roč. 9(1). s. 25-29.</w:t>
      </w:r>
    </w:p>
    <w:p w:rsidR="00A953C0" w:rsidRPr="00A953C0" w:rsidRDefault="00A953C0" w:rsidP="00A953C0">
      <w:pPr>
        <w:autoSpaceDE w:val="0"/>
        <w:spacing w:after="200" w:line="360" w:lineRule="auto"/>
        <w:jc w:val="both"/>
        <w:rPr>
          <w:color w:val="000000" w:themeColor="text1"/>
        </w:rPr>
      </w:pPr>
      <w:r w:rsidRPr="00A953C0">
        <w:rPr>
          <w:rFonts w:eastAsiaTheme="minorHAnsi"/>
          <w:bCs/>
          <w:color w:val="000000" w:themeColor="text1"/>
          <w:lang w:eastAsia="en-US"/>
        </w:rPr>
        <w:t xml:space="preserve">OLIŠAROVÁ, V., F. DOLÁK a V. TOTHOVÁ. Kvalita života jako součást ošetřovatelství. </w:t>
      </w:r>
      <w:r w:rsidRPr="00A953C0">
        <w:rPr>
          <w:rFonts w:eastAsiaTheme="minorHAnsi"/>
          <w:bCs/>
          <w:i/>
          <w:color w:val="000000" w:themeColor="text1"/>
          <w:lang w:eastAsia="en-US"/>
        </w:rPr>
        <w:t xml:space="preserve">Kontakt. </w:t>
      </w:r>
      <w:r w:rsidRPr="00A953C0">
        <w:rPr>
          <w:rFonts w:eastAsiaTheme="minorHAnsi"/>
          <w:bCs/>
          <w:color w:val="000000" w:themeColor="text1"/>
          <w:lang w:eastAsia="en-US"/>
        </w:rPr>
        <w:t xml:space="preserve">2013, roč. XV (1) s. 14-21. ISSN 1212-4117. </w:t>
      </w:r>
    </w:p>
    <w:p w:rsidR="00A953C0" w:rsidRPr="00A953C0" w:rsidRDefault="00A953C0" w:rsidP="00A953C0">
      <w:pPr>
        <w:autoSpaceDE w:val="0"/>
        <w:spacing w:after="200" w:line="360" w:lineRule="auto"/>
        <w:jc w:val="both"/>
        <w:rPr>
          <w:color w:val="000000" w:themeColor="text1"/>
        </w:rPr>
      </w:pPr>
      <w:r w:rsidRPr="00A953C0">
        <w:rPr>
          <w:rFonts w:eastAsiaTheme="minorHAnsi"/>
          <w:color w:val="000000" w:themeColor="text1"/>
          <w:lang w:eastAsia="en-US"/>
        </w:rPr>
        <w:t>PELLINO et al.</w:t>
      </w:r>
      <w:r w:rsidRPr="00A953C0">
        <w:rPr>
          <w:color w:val="000000" w:themeColor="text1"/>
          <w:kern w:val="36"/>
          <w:lang w:val="en-US"/>
        </w:rPr>
        <w:t xml:space="preserve"> Delayed diagnosis is influenced by the clinical pattern of </w:t>
      </w:r>
      <w:proofErr w:type="spellStart"/>
      <w:r w:rsidRPr="00A953C0">
        <w:rPr>
          <w:color w:val="000000" w:themeColor="text1"/>
          <w:kern w:val="36"/>
          <w:lang w:val="en-US"/>
        </w:rPr>
        <w:t>Crohns</w:t>
      </w:r>
      <w:proofErr w:type="spellEnd"/>
      <w:r w:rsidRPr="00A953C0">
        <w:rPr>
          <w:color w:val="000000" w:themeColor="text1"/>
          <w:kern w:val="36"/>
          <w:lang w:val="en-US"/>
        </w:rPr>
        <w:t xml:space="preserve"> disease and affects treatment outcomes and quality of life in the long term: a cross-sectional study of 361 patients in Southern Italy. </w:t>
      </w:r>
      <w:r>
        <w:rPr>
          <w:rFonts w:eastAsiaTheme="minorHAnsi"/>
          <w:color w:val="000000" w:themeColor="text1"/>
          <w:lang w:eastAsia="en-US"/>
        </w:rPr>
        <w:t xml:space="preserve">[online]. </w:t>
      </w:r>
      <w:r w:rsidRPr="00A953C0">
        <w:rPr>
          <w:rFonts w:eastAsiaTheme="minorHAnsi"/>
          <w:color w:val="000000" w:themeColor="text1"/>
          <w:lang w:eastAsia="en-US"/>
        </w:rPr>
        <w:t xml:space="preserve">2015. </w:t>
      </w:r>
      <w:r w:rsidRPr="00A953C0">
        <w:rPr>
          <w:rFonts w:eastAsiaTheme="minorHAnsi"/>
          <w:i/>
          <w:color w:val="000000" w:themeColor="text1"/>
          <w:lang w:val="en-US" w:eastAsia="en-US"/>
        </w:rPr>
        <w:t>European Journal of Gastroenterology &amp; Hepatology</w:t>
      </w:r>
      <w:r>
        <w:rPr>
          <w:rFonts w:eastAsiaTheme="minorHAnsi"/>
          <w:color w:val="000000" w:themeColor="text1"/>
          <w:lang w:val="en-US" w:eastAsia="en-US"/>
        </w:rPr>
        <w:t>.č.</w:t>
      </w:r>
      <w:r w:rsidRPr="00A953C0">
        <w:rPr>
          <w:rFonts w:eastAsiaTheme="minorHAnsi"/>
          <w:color w:val="000000" w:themeColor="text1"/>
          <w:lang w:val="en-US" w:eastAsia="en-US"/>
        </w:rPr>
        <w:t>27 (2).</w:t>
      </w:r>
      <w:r w:rsidRPr="00A953C0">
        <w:rPr>
          <w:rFonts w:eastAsiaTheme="minorHAnsi"/>
          <w:color w:val="000000" w:themeColor="text1"/>
          <w:lang w:eastAsia="en-US"/>
        </w:rPr>
        <w:t>[cit. 2017–4–28</w:t>
      </w:r>
      <w:r>
        <w:rPr>
          <w:rFonts w:eastAsiaTheme="minorHAnsi"/>
          <w:color w:val="000000" w:themeColor="text1"/>
          <w:lang w:eastAsia="en-US"/>
        </w:rPr>
        <w:t xml:space="preserve">]. </w:t>
      </w:r>
      <w:r>
        <w:rPr>
          <w:rFonts w:eastAsiaTheme="minorHAnsi"/>
          <w:color w:val="000000" w:themeColor="text1"/>
          <w:lang w:eastAsia="en-US"/>
        </w:rPr>
        <w:lastRenderedPageBreak/>
        <w:t>Dostupnéz:</w:t>
      </w:r>
      <w:r w:rsidRPr="00A953C0">
        <w:rPr>
          <w:rFonts w:eastAsiaTheme="minorHAnsi"/>
          <w:color w:val="000000" w:themeColor="text1"/>
          <w:lang w:eastAsia="en-US"/>
        </w:rPr>
        <w:t>http://</w:t>
      </w:r>
      <w:r>
        <w:rPr>
          <w:rFonts w:eastAsiaTheme="minorHAnsi"/>
          <w:color w:val="000000" w:themeColor="text1"/>
          <w:lang w:eastAsia="en-US"/>
        </w:rPr>
        <w:t>j</w:t>
      </w:r>
      <w:r w:rsidRPr="00A953C0">
        <w:rPr>
          <w:rFonts w:eastAsiaTheme="minorHAnsi"/>
          <w:color w:val="000000" w:themeColor="text1"/>
          <w:lang w:eastAsia="en-US"/>
        </w:rPr>
        <w:t>ournals.lww.com/eurojgh/Abstract/2015/0</w:t>
      </w:r>
      <w:r>
        <w:rPr>
          <w:rFonts w:eastAsiaTheme="minorHAnsi"/>
          <w:color w:val="000000" w:themeColor="text1"/>
          <w:lang w:eastAsia="en-US"/>
        </w:rPr>
        <w:t xml:space="preserve">2000/Delayed_diagnosis_is_influ </w:t>
      </w:r>
      <w:r w:rsidRPr="00A953C0">
        <w:rPr>
          <w:rFonts w:eastAsiaTheme="minorHAnsi"/>
          <w:color w:val="000000" w:themeColor="text1"/>
          <w:lang w:eastAsia="en-US"/>
        </w:rPr>
        <w:t xml:space="preserve">nced_by_the_clinical.10.aspx. </w:t>
      </w:r>
    </w:p>
    <w:p w:rsidR="00A953C0" w:rsidRPr="00A953C0" w:rsidRDefault="00A953C0" w:rsidP="00A953C0">
      <w:pPr>
        <w:autoSpaceDE w:val="0"/>
        <w:spacing w:after="200" w:line="360" w:lineRule="auto"/>
        <w:jc w:val="both"/>
        <w:rPr>
          <w:color w:val="000000" w:themeColor="text1"/>
        </w:rPr>
      </w:pPr>
      <w:r w:rsidRPr="00A953C0">
        <w:rPr>
          <w:color w:val="000000" w:themeColor="text1"/>
        </w:rPr>
        <w:t xml:space="preserve">PFEIFEROVÁ, Martina. </w:t>
      </w:r>
      <w:r w:rsidRPr="00A953C0">
        <w:rPr>
          <w:bCs/>
          <w:color w:val="000000" w:themeColor="text1"/>
        </w:rPr>
        <w:t>Tři otázky pro PhDr. Martinu Pfeiferovou, předsedkyni Občanského sdružení pacientů s idiopatickými střevními záněty.</w:t>
      </w:r>
      <w:r w:rsidRPr="00A953C0">
        <w:rPr>
          <w:rFonts w:eastAsiaTheme="minorHAnsi"/>
          <w:bCs/>
          <w:color w:val="000000" w:themeColor="text1"/>
          <w:lang w:eastAsia="en-US"/>
        </w:rPr>
        <w:t xml:space="preserve"> </w:t>
      </w:r>
      <w:hyperlink r:id="rId8" w:history="1">
        <w:r w:rsidRPr="00A953C0">
          <w:rPr>
            <w:rFonts w:eastAsiaTheme="minorHAnsi"/>
            <w:bCs/>
            <w:i/>
            <w:color w:val="000000" w:themeColor="text1"/>
            <w:lang w:eastAsia="en-US"/>
          </w:rPr>
          <w:t>Kongresový list</w:t>
        </w:r>
      </w:hyperlink>
      <w:r w:rsidRPr="00A953C0">
        <w:rPr>
          <w:rFonts w:eastAsiaTheme="minorHAnsi"/>
          <w:i/>
          <w:color w:val="000000" w:themeColor="text1"/>
          <w:lang w:eastAsia="en-US"/>
        </w:rPr>
        <w:t>.</w:t>
      </w:r>
      <w:r w:rsidRPr="00A953C0">
        <w:rPr>
          <w:rFonts w:eastAsiaTheme="minorHAnsi"/>
          <w:color w:val="000000" w:themeColor="text1"/>
          <w:lang w:eastAsia="en-US"/>
        </w:rPr>
        <w:t xml:space="preserve"> 2013,  roč. 2013, č. 4. IV. </w:t>
      </w:r>
      <w:proofErr w:type="spellStart"/>
      <w:r w:rsidRPr="00A953C0">
        <w:rPr>
          <w:rFonts w:eastAsiaTheme="minorHAnsi"/>
          <w:color w:val="000000" w:themeColor="text1"/>
          <w:lang w:eastAsia="en-US"/>
        </w:rPr>
        <w:t>příl</w:t>
      </w:r>
      <w:proofErr w:type="spellEnd"/>
      <w:r w:rsidRPr="00A953C0">
        <w:rPr>
          <w:rFonts w:eastAsiaTheme="minorHAnsi"/>
          <w:color w:val="000000" w:themeColor="text1"/>
          <w:lang w:eastAsia="en-US"/>
        </w:rPr>
        <w:t>. ISSN 0008-7335.</w:t>
      </w:r>
      <w:r w:rsidRPr="00A953C0">
        <w:rPr>
          <w:rFonts w:asciiTheme="minorHAnsi" w:eastAsiaTheme="minorHAnsi" w:hAnsiTheme="minorHAnsi" w:cstheme="minorBidi"/>
          <w:color w:val="000000" w:themeColor="text1"/>
          <w:sz w:val="22"/>
          <w:szCs w:val="22"/>
          <w:lang w:eastAsia="en-US"/>
        </w:rPr>
        <w:t xml:space="preserve"> </w:t>
      </w:r>
    </w:p>
    <w:p w:rsidR="00A953C0" w:rsidRPr="00A953C0" w:rsidRDefault="00A953C0" w:rsidP="00A953C0">
      <w:pPr>
        <w:spacing w:after="200" w:line="360" w:lineRule="auto"/>
        <w:jc w:val="both"/>
        <w:rPr>
          <w:rFonts w:eastAsiaTheme="minorHAnsi"/>
          <w:color w:val="000000" w:themeColor="text1"/>
          <w:lang w:eastAsia="en-US"/>
        </w:rPr>
      </w:pPr>
      <w:r w:rsidRPr="00A953C0">
        <w:rPr>
          <w:rFonts w:eastAsiaTheme="minorEastAsia"/>
          <w:color w:val="000000" w:themeColor="text1"/>
          <w:kern w:val="24"/>
          <w:lang w:eastAsia="en-US"/>
        </w:rPr>
        <w:t xml:space="preserve">PLEVOVÁ , Ilona a kol. </w:t>
      </w:r>
      <w:r w:rsidRPr="00A953C0">
        <w:rPr>
          <w:rFonts w:eastAsiaTheme="minorEastAsia"/>
          <w:i/>
          <w:iCs/>
          <w:color w:val="000000" w:themeColor="text1"/>
          <w:kern w:val="24"/>
          <w:lang w:eastAsia="en-US"/>
        </w:rPr>
        <w:t>Ošetřovatelství I</w:t>
      </w:r>
      <w:r w:rsidRPr="00A953C0">
        <w:rPr>
          <w:rFonts w:eastAsiaTheme="minorEastAsia"/>
          <w:color w:val="000000" w:themeColor="text1"/>
          <w:kern w:val="24"/>
          <w:lang w:eastAsia="en-US"/>
        </w:rPr>
        <w:t xml:space="preserve">. Praha: </w:t>
      </w:r>
      <w:proofErr w:type="spellStart"/>
      <w:r w:rsidRPr="00A953C0">
        <w:rPr>
          <w:rFonts w:eastAsiaTheme="minorEastAsia"/>
          <w:color w:val="000000" w:themeColor="text1"/>
          <w:kern w:val="24"/>
          <w:lang w:eastAsia="en-US"/>
        </w:rPr>
        <w:t>Grada</w:t>
      </w:r>
      <w:proofErr w:type="spellEnd"/>
      <w:r w:rsidRPr="00A953C0">
        <w:rPr>
          <w:rFonts w:eastAsiaTheme="minorEastAsia"/>
          <w:color w:val="000000" w:themeColor="text1"/>
          <w:kern w:val="24"/>
          <w:lang w:eastAsia="en-US"/>
        </w:rPr>
        <w:t>, 2011. ISBN 978-80-247-3557-3.</w:t>
      </w:r>
    </w:p>
    <w:p w:rsidR="00A953C0" w:rsidRPr="00A953C0" w:rsidRDefault="00A953C0" w:rsidP="00A953C0">
      <w:pPr>
        <w:spacing w:after="200" w:line="360" w:lineRule="auto"/>
        <w:jc w:val="both"/>
        <w:rPr>
          <w:rFonts w:eastAsiaTheme="minorHAnsi"/>
          <w:color w:val="000000" w:themeColor="text1"/>
          <w:lang w:eastAsia="en-US"/>
        </w:rPr>
      </w:pPr>
      <w:r w:rsidRPr="00A953C0">
        <w:rPr>
          <w:rFonts w:eastAsiaTheme="minorEastAsia"/>
          <w:color w:val="000000" w:themeColor="text1"/>
          <w:kern w:val="24"/>
          <w:lang w:eastAsia="en-US"/>
        </w:rPr>
        <w:t>PRACOVNÍ SKUPINA PRO IDIOPATICKÉ STŘEVNÍ ZÁNĚTY ČGS ČLS JEP, NADAČNÍ FOND IBD A CONGRESS PRAGUE. XV. Intenzivní kurz IBD pro zdravotní sestry. Praha, 2016, s. 91.</w:t>
      </w:r>
    </w:p>
    <w:p w:rsidR="00A953C0" w:rsidRPr="00A953C0" w:rsidRDefault="00A953C0" w:rsidP="00A953C0">
      <w:pPr>
        <w:autoSpaceDE w:val="0"/>
        <w:spacing w:after="200" w:line="360" w:lineRule="auto"/>
        <w:jc w:val="both"/>
        <w:rPr>
          <w:rFonts w:eastAsiaTheme="minorHAnsi"/>
          <w:color w:val="000000" w:themeColor="text1"/>
          <w:lang w:eastAsia="en-US"/>
        </w:rPr>
      </w:pPr>
      <w:r w:rsidRPr="00A953C0">
        <w:rPr>
          <w:rFonts w:eastAsiaTheme="minorHAnsi"/>
          <w:color w:val="000000" w:themeColor="text1"/>
          <w:lang w:eastAsia="en-US"/>
        </w:rPr>
        <w:t>RENDL, Lukáš.</w:t>
      </w:r>
      <w:r w:rsidRPr="00A953C0">
        <w:rPr>
          <w:rFonts w:eastAsiaTheme="minorHAnsi"/>
          <w:bCs/>
          <w:color w:val="000000" w:themeColor="text1"/>
          <w:lang w:eastAsia="en-US"/>
        </w:rPr>
        <w:t xml:space="preserve"> </w:t>
      </w:r>
      <w:r w:rsidRPr="00A953C0">
        <w:rPr>
          <w:rFonts w:eastAsiaTheme="minorHAnsi"/>
          <w:bCs/>
          <w:i/>
          <w:color w:val="000000" w:themeColor="text1"/>
          <w:lang w:eastAsia="en-US"/>
        </w:rPr>
        <w:t>Kvalita života pacientů s Crohnovou chorobou.</w:t>
      </w:r>
      <w:r w:rsidRPr="00A953C0">
        <w:rPr>
          <w:rFonts w:eastAsiaTheme="minorHAnsi"/>
          <w:color w:val="000000" w:themeColor="text1"/>
          <w:lang w:eastAsia="en-US"/>
        </w:rPr>
        <w:t xml:space="preserve"> [online].  České Budějovice, 2013 [2016-10-28]. Diplomová práce. Jihočeská univerzita v Českých Budějovicích. Vedoucí diplomové práce prof. PhDr. Valérie Tóthová, Ph.D.</w:t>
      </w:r>
    </w:p>
    <w:p w:rsidR="00A953C0" w:rsidRPr="00A953C0" w:rsidRDefault="00A953C0" w:rsidP="00A953C0">
      <w:pPr>
        <w:autoSpaceDE w:val="0"/>
        <w:spacing w:after="200" w:line="360" w:lineRule="auto"/>
        <w:jc w:val="both"/>
        <w:rPr>
          <w:rFonts w:eastAsiaTheme="minorHAnsi"/>
          <w:color w:val="000000" w:themeColor="text1"/>
          <w:lang w:eastAsia="en-US"/>
        </w:rPr>
      </w:pPr>
      <w:r w:rsidRPr="00A953C0">
        <w:rPr>
          <w:rFonts w:eastAsiaTheme="minorHAnsi"/>
          <w:color w:val="000000" w:themeColor="text1"/>
          <w:lang w:eastAsia="en-US"/>
        </w:rPr>
        <w:t xml:space="preserve">SALAJKA, František. </w:t>
      </w:r>
      <w:r w:rsidRPr="00A953C0">
        <w:rPr>
          <w:rFonts w:eastAsiaTheme="minorHAnsi"/>
          <w:i/>
          <w:color w:val="000000" w:themeColor="text1"/>
          <w:lang w:eastAsia="en-US"/>
        </w:rPr>
        <w:t>Hodnocení kvality života u nemocných s bronchiální obstrukcí.</w:t>
      </w:r>
      <w:r w:rsidRPr="00A953C0">
        <w:rPr>
          <w:rFonts w:eastAsiaTheme="minorHAnsi"/>
          <w:color w:val="000000" w:themeColor="text1"/>
          <w:lang w:eastAsia="en-US"/>
        </w:rPr>
        <w:t xml:space="preserve"> Praha: </w:t>
      </w:r>
      <w:proofErr w:type="spellStart"/>
      <w:r w:rsidRPr="00A953C0">
        <w:rPr>
          <w:rFonts w:eastAsiaTheme="minorHAnsi"/>
          <w:color w:val="000000" w:themeColor="text1"/>
          <w:lang w:eastAsia="en-US"/>
        </w:rPr>
        <w:t>Grada</w:t>
      </w:r>
      <w:proofErr w:type="spellEnd"/>
      <w:r w:rsidRPr="00A953C0">
        <w:rPr>
          <w:rFonts w:eastAsiaTheme="minorHAnsi"/>
          <w:color w:val="000000" w:themeColor="text1"/>
          <w:lang w:eastAsia="en-US"/>
        </w:rPr>
        <w:t>, 2006. ISBN 80-247-1306-3.</w:t>
      </w:r>
    </w:p>
    <w:p w:rsidR="00A953C0" w:rsidRPr="00A953C0" w:rsidRDefault="00A953C0" w:rsidP="00A953C0">
      <w:pPr>
        <w:autoSpaceDE w:val="0"/>
        <w:autoSpaceDN w:val="0"/>
        <w:adjustRightInd w:val="0"/>
        <w:spacing w:after="200" w:line="360" w:lineRule="auto"/>
        <w:jc w:val="both"/>
        <w:rPr>
          <w:rFonts w:eastAsia="BookAntiqua"/>
          <w:color w:val="000000" w:themeColor="text1"/>
          <w:lang w:eastAsia="en-US"/>
        </w:rPr>
      </w:pPr>
      <w:r w:rsidRPr="00A953C0">
        <w:rPr>
          <w:rFonts w:eastAsia="BookAntiqua"/>
          <w:color w:val="000000" w:themeColor="text1"/>
          <w:lang w:eastAsia="en-US"/>
        </w:rPr>
        <w:t xml:space="preserve">SANFORD, D et al. </w:t>
      </w:r>
      <w:proofErr w:type="spellStart"/>
      <w:r w:rsidRPr="00A953C0">
        <w:rPr>
          <w:rFonts w:eastAsia="BookAntiqua"/>
          <w:color w:val="000000" w:themeColor="text1"/>
          <w:lang w:eastAsia="en-US"/>
        </w:rPr>
        <w:t>Opioid</w:t>
      </w:r>
      <w:proofErr w:type="spellEnd"/>
      <w:r w:rsidRPr="00A953C0">
        <w:rPr>
          <w:rFonts w:eastAsia="BookAntiqua"/>
          <w:color w:val="000000" w:themeColor="text1"/>
          <w:lang w:eastAsia="en-US"/>
        </w:rPr>
        <w:t xml:space="preserve"> use </w:t>
      </w:r>
      <w:proofErr w:type="spellStart"/>
      <w:r w:rsidRPr="00A953C0">
        <w:rPr>
          <w:rFonts w:eastAsia="BookAntiqua"/>
          <w:color w:val="000000" w:themeColor="text1"/>
          <w:lang w:eastAsia="en-US"/>
        </w:rPr>
        <w:t>is</w:t>
      </w:r>
      <w:proofErr w:type="spellEnd"/>
      <w:r w:rsidRPr="00A953C0">
        <w:rPr>
          <w:rFonts w:eastAsia="BookAntiqua"/>
          <w:color w:val="000000" w:themeColor="text1"/>
          <w:lang w:eastAsia="en-US"/>
        </w:rPr>
        <w:t xml:space="preserve"> </w:t>
      </w:r>
      <w:proofErr w:type="spellStart"/>
      <w:r w:rsidRPr="00A953C0">
        <w:rPr>
          <w:rFonts w:eastAsia="BookAntiqua"/>
          <w:color w:val="000000" w:themeColor="text1"/>
          <w:lang w:eastAsia="en-US"/>
        </w:rPr>
        <w:t>associated</w:t>
      </w:r>
      <w:proofErr w:type="spellEnd"/>
      <w:r w:rsidRPr="00A953C0">
        <w:rPr>
          <w:rFonts w:eastAsia="BookAntiqua"/>
          <w:color w:val="000000" w:themeColor="text1"/>
          <w:lang w:eastAsia="en-US"/>
        </w:rPr>
        <w:t xml:space="preserve"> </w:t>
      </w:r>
      <w:proofErr w:type="spellStart"/>
      <w:r w:rsidRPr="00A953C0">
        <w:rPr>
          <w:rFonts w:eastAsia="BookAntiqua"/>
          <w:color w:val="000000" w:themeColor="text1"/>
          <w:lang w:eastAsia="en-US"/>
        </w:rPr>
        <w:t>with</w:t>
      </w:r>
      <w:proofErr w:type="spellEnd"/>
      <w:r w:rsidRPr="00A953C0">
        <w:rPr>
          <w:rFonts w:eastAsia="BookAntiqua"/>
          <w:color w:val="000000" w:themeColor="text1"/>
          <w:lang w:eastAsia="en-US"/>
        </w:rPr>
        <w:t xml:space="preserve"> </w:t>
      </w:r>
      <w:proofErr w:type="spellStart"/>
      <w:r w:rsidRPr="00A953C0">
        <w:rPr>
          <w:rFonts w:eastAsia="BookAntiqua"/>
          <w:color w:val="000000" w:themeColor="text1"/>
          <w:lang w:eastAsia="en-US"/>
        </w:rPr>
        <w:t>decreased</w:t>
      </w:r>
      <w:proofErr w:type="spellEnd"/>
      <w:r w:rsidRPr="00A953C0">
        <w:rPr>
          <w:rFonts w:eastAsia="BookAntiqua"/>
          <w:color w:val="000000" w:themeColor="text1"/>
          <w:lang w:eastAsia="en-US"/>
        </w:rPr>
        <w:t xml:space="preserve"> </w:t>
      </w:r>
      <w:proofErr w:type="spellStart"/>
      <w:r w:rsidRPr="00A953C0">
        <w:rPr>
          <w:rFonts w:eastAsia="BookAntiqua"/>
          <w:color w:val="000000" w:themeColor="text1"/>
          <w:lang w:eastAsia="en-US"/>
        </w:rPr>
        <w:t>quality</w:t>
      </w:r>
      <w:proofErr w:type="spellEnd"/>
      <w:r w:rsidRPr="00A953C0">
        <w:rPr>
          <w:rFonts w:eastAsia="BookAntiqua"/>
          <w:color w:val="000000" w:themeColor="text1"/>
          <w:lang w:eastAsia="en-US"/>
        </w:rPr>
        <w:t xml:space="preserve"> </w:t>
      </w:r>
      <w:proofErr w:type="spellStart"/>
      <w:r w:rsidRPr="00A953C0">
        <w:rPr>
          <w:rFonts w:eastAsia="BookAntiqua"/>
          <w:color w:val="000000" w:themeColor="text1"/>
          <w:lang w:eastAsia="en-US"/>
        </w:rPr>
        <w:t>of</w:t>
      </w:r>
      <w:proofErr w:type="spellEnd"/>
      <w:r w:rsidRPr="00A953C0">
        <w:rPr>
          <w:rFonts w:eastAsia="BookAntiqua"/>
          <w:color w:val="000000" w:themeColor="text1"/>
          <w:lang w:eastAsia="en-US"/>
        </w:rPr>
        <w:t xml:space="preserve"> </w:t>
      </w:r>
      <w:proofErr w:type="spellStart"/>
      <w:r w:rsidRPr="00A953C0">
        <w:rPr>
          <w:rFonts w:eastAsia="BookAntiqua"/>
          <w:color w:val="000000" w:themeColor="text1"/>
          <w:lang w:eastAsia="en-US"/>
        </w:rPr>
        <w:t>life</w:t>
      </w:r>
      <w:proofErr w:type="spellEnd"/>
      <w:r w:rsidRPr="00A953C0">
        <w:rPr>
          <w:rFonts w:eastAsia="BookAntiqua"/>
          <w:color w:val="000000" w:themeColor="text1"/>
          <w:lang w:eastAsia="en-US"/>
        </w:rPr>
        <w:t xml:space="preserve"> in</w:t>
      </w:r>
      <w:r>
        <w:rPr>
          <w:rFonts w:eastAsia="BookAntiqua"/>
          <w:color w:val="000000" w:themeColor="text1"/>
          <w:lang w:eastAsia="en-US"/>
        </w:rPr>
        <w:t xml:space="preserve"> </w:t>
      </w:r>
      <w:proofErr w:type="spellStart"/>
      <w:r>
        <w:rPr>
          <w:rFonts w:eastAsia="BookAntiqua"/>
          <w:color w:val="000000" w:themeColor="text1"/>
          <w:lang w:eastAsia="en-US"/>
        </w:rPr>
        <w:t>patients</w:t>
      </w:r>
      <w:proofErr w:type="spellEnd"/>
      <w:r>
        <w:rPr>
          <w:rFonts w:eastAsia="BookAntiqua"/>
          <w:color w:val="000000" w:themeColor="text1"/>
          <w:lang w:eastAsia="en-US"/>
        </w:rPr>
        <w:t xml:space="preserve"> </w:t>
      </w:r>
      <w:proofErr w:type="spellStart"/>
      <w:r>
        <w:rPr>
          <w:rFonts w:eastAsia="BookAntiqua"/>
          <w:color w:val="000000" w:themeColor="text1"/>
          <w:lang w:eastAsia="en-US"/>
        </w:rPr>
        <w:t>with</w:t>
      </w:r>
      <w:proofErr w:type="spellEnd"/>
      <w:r>
        <w:rPr>
          <w:rFonts w:eastAsia="BookAntiqua"/>
          <w:color w:val="000000" w:themeColor="text1"/>
          <w:lang w:eastAsia="en-US"/>
        </w:rPr>
        <w:t xml:space="preserve"> </w:t>
      </w:r>
      <w:proofErr w:type="spellStart"/>
      <w:r>
        <w:rPr>
          <w:rFonts w:eastAsia="BookAntiqua"/>
          <w:color w:val="000000" w:themeColor="text1"/>
          <w:lang w:eastAsia="en-US"/>
        </w:rPr>
        <w:t>Crohn's</w:t>
      </w:r>
      <w:proofErr w:type="spellEnd"/>
      <w:r>
        <w:rPr>
          <w:rFonts w:eastAsia="BookAntiqua"/>
          <w:color w:val="000000" w:themeColor="text1"/>
          <w:lang w:eastAsia="en-US"/>
        </w:rPr>
        <w:t xml:space="preserve"> </w:t>
      </w:r>
      <w:proofErr w:type="spellStart"/>
      <w:r>
        <w:rPr>
          <w:rFonts w:eastAsia="BookAntiqua"/>
          <w:color w:val="000000" w:themeColor="text1"/>
          <w:lang w:eastAsia="en-US"/>
        </w:rPr>
        <w:t>disease</w:t>
      </w:r>
      <w:proofErr w:type="spellEnd"/>
      <w:r>
        <w:rPr>
          <w:rFonts w:eastAsia="BookAntiqua"/>
          <w:color w:val="000000" w:themeColor="text1"/>
          <w:lang w:eastAsia="en-US"/>
        </w:rPr>
        <w:t>.</w:t>
      </w:r>
      <w:r>
        <w:rPr>
          <w:rFonts w:eastAsiaTheme="minorHAnsi"/>
          <w:color w:val="000000" w:themeColor="text1"/>
          <w:lang w:eastAsia="en-US"/>
        </w:rPr>
        <w:t>[online].2014.</w:t>
      </w:r>
      <w:r>
        <w:rPr>
          <w:rFonts w:eastAsia="BookAntiqua"/>
          <w:color w:val="000000" w:themeColor="text1"/>
          <w:lang w:eastAsia="en-US"/>
        </w:rPr>
        <w:t>Saudi J Gastroenterol.</w:t>
      </w:r>
      <w:r w:rsidRPr="00A953C0">
        <w:rPr>
          <w:rFonts w:eastAsia="BookAntiqua"/>
          <w:color w:val="000000" w:themeColor="text1"/>
          <w:lang w:eastAsia="en-US"/>
        </w:rPr>
        <w:t>č.</w:t>
      </w:r>
      <w:r>
        <w:rPr>
          <w:rFonts w:eastAsia="BookAntiqua"/>
          <w:color w:val="000000" w:themeColor="text1"/>
          <w:lang w:eastAsia="en-US"/>
        </w:rPr>
        <w:t>20</w:t>
      </w:r>
      <w:r w:rsidRPr="00A953C0">
        <w:rPr>
          <w:rFonts w:eastAsia="BookAntiqua"/>
          <w:color w:val="000000" w:themeColor="text1"/>
          <w:lang w:eastAsia="en-US"/>
        </w:rPr>
        <w:t xml:space="preserve">(3). </w:t>
      </w:r>
      <w:r>
        <w:rPr>
          <w:rFonts w:eastAsia="BookAntiqua"/>
          <w:color w:val="000000" w:themeColor="text1"/>
          <w:lang w:eastAsia="en-US"/>
        </w:rPr>
        <w:t xml:space="preserve"> </w:t>
      </w:r>
      <w:r w:rsidR="00F7139B">
        <w:rPr>
          <w:rFonts w:eastAsiaTheme="minorHAnsi"/>
          <w:color w:val="000000" w:themeColor="text1"/>
          <w:lang w:eastAsia="en-US"/>
        </w:rPr>
        <w:t>[cit.2017-04</w:t>
      </w:r>
      <w:r w:rsidRPr="00A953C0">
        <w:rPr>
          <w:rFonts w:eastAsiaTheme="minorHAnsi"/>
          <w:color w:val="000000" w:themeColor="text1"/>
          <w:lang w:eastAsia="en-US"/>
        </w:rPr>
        <w:t>14].</w:t>
      </w:r>
      <w:r w:rsidR="00F7139B">
        <w:rPr>
          <w:rFonts w:eastAsiaTheme="minorHAnsi"/>
          <w:color w:val="000000" w:themeColor="text1"/>
          <w:lang w:eastAsia="en-US"/>
        </w:rPr>
        <w:t xml:space="preserve"> </w:t>
      </w:r>
      <w:r>
        <w:rPr>
          <w:rFonts w:eastAsiaTheme="minorHAnsi"/>
          <w:color w:val="000000" w:themeColor="text1"/>
          <w:lang w:eastAsia="en-US"/>
        </w:rPr>
        <w:t>Dostupné</w:t>
      </w:r>
      <w:r w:rsidR="00F7139B">
        <w:rPr>
          <w:rFonts w:eastAsiaTheme="minorHAnsi"/>
          <w:color w:val="000000" w:themeColor="text1"/>
          <w:lang w:eastAsia="en-US"/>
        </w:rPr>
        <w:t xml:space="preserve"> </w:t>
      </w:r>
      <w:r>
        <w:rPr>
          <w:rFonts w:eastAsiaTheme="minorHAnsi"/>
          <w:color w:val="000000" w:themeColor="text1"/>
          <w:lang w:eastAsia="en-US"/>
        </w:rPr>
        <w:t>z:</w:t>
      </w:r>
      <w:r w:rsidR="00F7139B">
        <w:rPr>
          <w:rFonts w:eastAsiaTheme="minorHAnsi"/>
          <w:color w:val="000000" w:themeColor="text1"/>
          <w:lang w:eastAsia="en-US"/>
        </w:rPr>
        <w:t xml:space="preserve"> </w:t>
      </w:r>
      <w:r w:rsidRPr="00A953C0">
        <w:rPr>
          <w:rFonts w:eastAsiaTheme="minorHAnsi"/>
          <w:color w:val="000000" w:themeColor="text1"/>
          <w:lang w:eastAsia="en-US"/>
        </w:rPr>
        <w:t>https:</w:t>
      </w:r>
      <w:r w:rsidR="00F7139B">
        <w:rPr>
          <w:rFonts w:eastAsiaTheme="minorHAnsi"/>
          <w:color w:val="000000" w:themeColor="text1"/>
          <w:lang w:eastAsia="en-US"/>
        </w:rPr>
        <w:t xml:space="preserve"> </w:t>
      </w:r>
      <w:r w:rsidRPr="00A953C0">
        <w:rPr>
          <w:rFonts w:eastAsiaTheme="minorHAnsi"/>
          <w:color w:val="000000" w:themeColor="text1"/>
          <w:lang w:eastAsia="en-US"/>
        </w:rPr>
        <w:t>//</w:t>
      </w:r>
      <w:r w:rsidR="00F7139B">
        <w:rPr>
          <w:rFonts w:eastAsiaTheme="minorHAnsi"/>
          <w:color w:val="000000" w:themeColor="text1"/>
          <w:lang w:eastAsia="en-US"/>
        </w:rPr>
        <w:t xml:space="preserve"> </w:t>
      </w:r>
      <w:r w:rsidRPr="00A953C0">
        <w:rPr>
          <w:rFonts w:eastAsiaTheme="minorHAnsi"/>
          <w:color w:val="000000" w:themeColor="text1"/>
          <w:lang w:eastAsia="en-US"/>
        </w:rPr>
        <w:t>www.</w:t>
      </w:r>
      <w:r w:rsidR="00F7139B">
        <w:rPr>
          <w:rFonts w:eastAsiaTheme="minorHAnsi"/>
          <w:color w:val="000000" w:themeColor="text1"/>
          <w:lang w:eastAsia="en-US"/>
        </w:rPr>
        <w:t xml:space="preserve"> </w:t>
      </w:r>
      <w:proofErr w:type="spellStart"/>
      <w:r w:rsidRPr="00A953C0">
        <w:rPr>
          <w:rFonts w:eastAsiaTheme="minorHAnsi"/>
          <w:color w:val="000000" w:themeColor="text1"/>
          <w:lang w:eastAsia="en-US"/>
        </w:rPr>
        <w:t>ncbi</w:t>
      </w:r>
      <w:proofErr w:type="spellEnd"/>
      <w:r w:rsidRPr="00A953C0">
        <w:rPr>
          <w:rFonts w:eastAsiaTheme="minorHAnsi"/>
          <w:color w:val="000000" w:themeColor="text1"/>
          <w:lang w:eastAsia="en-US"/>
        </w:rPr>
        <w:t>.</w:t>
      </w:r>
      <w:r w:rsidR="00F7139B">
        <w:rPr>
          <w:rFonts w:eastAsiaTheme="minorHAnsi"/>
          <w:color w:val="000000" w:themeColor="text1"/>
          <w:lang w:eastAsia="en-US"/>
        </w:rPr>
        <w:t xml:space="preserve"> </w:t>
      </w:r>
      <w:proofErr w:type="spellStart"/>
      <w:r w:rsidRPr="00A953C0">
        <w:rPr>
          <w:rFonts w:eastAsiaTheme="minorHAnsi"/>
          <w:color w:val="000000" w:themeColor="text1"/>
          <w:lang w:eastAsia="en-US"/>
        </w:rPr>
        <w:t>nlm</w:t>
      </w:r>
      <w:proofErr w:type="spellEnd"/>
      <w:r w:rsidRPr="00A953C0">
        <w:rPr>
          <w:rFonts w:eastAsiaTheme="minorHAnsi"/>
          <w:color w:val="000000" w:themeColor="text1"/>
          <w:lang w:eastAsia="en-US"/>
        </w:rPr>
        <w:t>.</w:t>
      </w:r>
      <w:r w:rsidR="00F7139B">
        <w:rPr>
          <w:rFonts w:eastAsiaTheme="minorHAnsi"/>
          <w:color w:val="000000" w:themeColor="text1"/>
          <w:lang w:eastAsia="en-US"/>
        </w:rPr>
        <w:t xml:space="preserve"> </w:t>
      </w:r>
      <w:proofErr w:type="spellStart"/>
      <w:r w:rsidRPr="00A953C0">
        <w:rPr>
          <w:rFonts w:eastAsiaTheme="minorHAnsi"/>
          <w:color w:val="000000" w:themeColor="text1"/>
          <w:lang w:eastAsia="en-US"/>
        </w:rPr>
        <w:t>nih</w:t>
      </w:r>
      <w:proofErr w:type="spellEnd"/>
      <w:r w:rsidRPr="00A953C0">
        <w:rPr>
          <w:rFonts w:eastAsiaTheme="minorHAnsi"/>
          <w:color w:val="000000" w:themeColor="text1"/>
          <w:lang w:eastAsia="en-US"/>
        </w:rPr>
        <w:t>.</w:t>
      </w:r>
      <w:r w:rsidR="00F7139B">
        <w:rPr>
          <w:rFonts w:eastAsiaTheme="minorHAnsi"/>
          <w:color w:val="000000" w:themeColor="text1"/>
          <w:lang w:eastAsia="en-US"/>
        </w:rPr>
        <w:t xml:space="preserve"> </w:t>
      </w:r>
      <w:proofErr w:type="spellStart"/>
      <w:r w:rsidRPr="00A953C0">
        <w:rPr>
          <w:rFonts w:eastAsiaTheme="minorHAnsi"/>
          <w:color w:val="000000" w:themeColor="text1"/>
          <w:lang w:eastAsia="en-US"/>
        </w:rPr>
        <w:t>gov</w:t>
      </w:r>
      <w:proofErr w:type="spellEnd"/>
      <w:r w:rsidRPr="00A953C0">
        <w:rPr>
          <w:rFonts w:eastAsiaTheme="minorHAnsi"/>
          <w:color w:val="000000" w:themeColor="text1"/>
          <w:lang w:eastAsia="en-US"/>
        </w:rPr>
        <w:t>/</w:t>
      </w:r>
      <w:r w:rsidR="00F7139B">
        <w:rPr>
          <w:rFonts w:eastAsiaTheme="minorHAnsi"/>
          <w:color w:val="000000" w:themeColor="text1"/>
          <w:lang w:eastAsia="en-US"/>
        </w:rPr>
        <w:t xml:space="preserve"> </w:t>
      </w:r>
      <w:proofErr w:type="spellStart"/>
      <w:r w:rsidRPr="00A953C0">
        <w:rPr>
          <w:rFonts w:eastAsiaTheme="minorHAnsi"/>
          <w:color w:val="000000" w:themeColor="text1"/>
          <w:lang w:eastAsia="en-US"/>
        </w:rPr>
        <w:t>pmc</w:t>
      </w:r>
      <w:proofErr w:type="spellEnd"/>
      <w:r w:rsidRPr="00A953C0">
        <w:rPr>
          <w:rFonts w:eastAsiaTheme="minorHAnsi"/>
          <w:color w:val="000000" w:themeColor="text1"/>
          <w:lang w:eastAsia="en-US"/>
        </w:rPr>
        <w:t>/</w:t>
      </w:r>
      <w:r w:rsidR="00F7139B">
        <w:rPr>
          <w:rFonts w:eastAsiaTheme="minorHAnsi"/>
          <w:color w:val="000000" w:themeColor="text1"/>
          <w:lang w:eastAsia="en-US"/>
        </w:rPr>
        <w:t xml:space="preserve"> </w:t>
      </w:r>
      <w:proofErr w:type="spellStart"/>
      <w:r w:rsidRPr="00A953C0">
        <w:rPr>
          <w:rFonts w:eastAsiaTheme="minorHAnsi"/>
          <w:color w:val="000000" w:themeColor="text1"/>
          <w:lang w:eastAsia="en-US"/>
        </w:rPr>
        <w:t>articles</w:t>
      </w:r>
      <w:proofErr w:type="spellEnd"/>
      <w:r w:rsidRPr="00A953C0">
        <w:rPr>
          <w:rFonts w:eastAsiaTheme="minorHAnsi"/>
          <w:color w:val="000000" w:themeColor="text1"/>
          <w:lang w:eastAsia="en-US"/>
        </w:rPr>
        <w:t>/</w:t>
      </w:r>
      <w:r w:rsidR="00F7139B">
        <w:rPr>
          <w:rFonts w:eastAsiaTheme="minorHAnsi"/>
          <w:color w:val="000000" w:themeColor="text1"/>
          <w:lang w:eastAsia="en-US"/>
        </w:rPr>
        <w:t xml:space="preserve"> </w:t>
      </w:r>
      <w:r w:rsidRPr="00A953C0">
        <w:rPr>
          <w:rFonts w:eastAsiaTheme="minorHAnsi"/>
          <w:color w:val="000000" w:themeColor="text1"/>
          <w:lang w:eastAsia="en-US"/>
        </w:rPr>
        <w:t>PMC4067915/.</w:t>
      </w:r>
    </w:p>
    <w:p w:rsidR="00A953C0" w:rsidRPr="00A953C0" w:rsidRDefault="00A953C0" w:rsidP="00A953C0">
      <w:pPr>
        <w:autoSpaceDE w:val="0"/>
        <w:autoSpaceDN w:val="0"/>
        <w:adjustRightInd w:val="0"/>
        <w:spacing w:before="240" w:after="200" w:line="360" w:lineRule="auto"/>
        <w:jc w:val="both"/>
        <w:rPr>
          <w:rFonts w:eastAsiaTheme="minorHAnsi"/>
          <w:color w:val="000000" w:themeColor="text1"/>
          <w:lang w:eastAsia="en-US"/>
        </w:rPr>
      </w:pPr>
      <w:r w:rsidRPr="00A953C0">
        <w:rPr>
          <w:rFonts w:eastAsiaTheme="minorHAnsi"/>
          <w:color w:val="000000" w:themeColor="text1"/>
          <w:lang w:eastAsia="en-US"/>
        </w:rPr>
        <w:t xml:space="preserve">SARID, O et al. </w:t>
      </w:r>
      <w:proofErr w:type="spellStart"/>
      <w:r w:rsidRPr="00A953C0">
        <w:rPr>
          <w:rFonts w:eastAsiaTheme="minorHAnsi"/>
          <w:color w:val="000000" w:themeColor="text1"/>
          <w:lang w:eastAsia="en-US"/>
        </w:rPr>
        <w:t>Coping</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strategies</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satisfaction</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with</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life</w:t>
      </w:r>
      <w:proofErr w:type="spellEnd"/>
      <w:r w:rsidRPr="00A953C0">
        <w:rPr>
          <w:rFonts w:eastAsiaTheme="minorHAnsi"/>
          <w:color w:val="000000" w:themeColor="text1"/>
          <w:lang w:eastAsia="en-US"/>
        </w:rPr>
        <w:t xml:space="preserve">, and </w:t>
      </w:r>
      <w:proofErr w:type="spellStart"/>
      <w:r w:rsidRPr="00A953C0">
        <w:rPr>
          <w:rFonts w:eastAsiaTheme="minorHAnsi"/>
          <w:color w:val="000000" w:themeColor="text1"/>
          <w:lang w:eastAsia="en-US"/>
        </w:rPr>
        <w:t>quality</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of</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life</w:t>
      </w:r>
      <w:proofErr w:type="spellEnd"/>
      <w:r w:rsidRPr="00A953C0">
        <w:rPr>
          <w:rFonts w:eastAsiaTheme="minorHAnsi"/>
          <w:color w:val="000000" w:themeColor="text1"/>
          <w:lang w:eastAsia="en-US"/>
        </w:rPr>
        <w:t xml:space="preserve"> in </w:t>
      </w:r>
      <w:proofErr w:type="spellStart"/>
      <w:r w:rsidRPr="00A953C0">
        <w:rPr>
          <w:rFonts w:eastAsiaTheme="minorHAnsi"/>
          <w:color w:val="000000" w:themeColor="text1"/>
          <w:lang w:eastAsia="en-US"/>
        </w:rPr>
        <w:t>Crohn's</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disease</w:t>
      </w:r>
      <w:proofErr w:type="spellEnd"/>
      <w:r w:rsidRPr="00A953C0">
        <w:rPr>
          <w:rFonts w:eastAsiaTheme="minorHAnsi"/>
          <w:color w:val="000000" w:themeColor="text1"/>
          <w:lang w:eastAsia="en-US"/>
        </w:rPr>
        <w:t xml:space="preserve">: A gender </w:t>
      </w:r>
      <w:proofErr w:type="spellStart"/>
      <w:r w:rsidRPr="00A953C0">
        <w:rPr>
          <w:rFonts w:eastAsiaTheme="minorHAnsi"/>
          <w:color w:val="000000" w:themeColor="text1"/>
          <w:lang w:eastAsia="en-US"/>
        </w:rPr>
        <w:t>perspective</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using</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structural</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equation</w:t>
      </w:r>
      <w:proofErr w:type="spellEnd"/>
      <w:r w:rsidRPr="00A953C0">
        <w:rPr>
          <w:rFonts w:eastAsiaTheme="minorHAnsi"/>
          <w:color w:val="000000" w:themeColor="text1"/>
          <w:lang w:eastAsia="en-US"/>
        </w:rPr>
        <w:t xml:space="preserve"> modeling </w:t>
      </w:r>
      <w:proofErr w:type="spellStart"/>
      <w:r w:rsidRPr="00A953C0">
        <w:rPr>
          <w:rFonts w:eastAsiaTheme="minorHAnsi"/>
          <w:color w:val="000000" w:themeColor="text1"/>
          <w:lang w:eastAsia="en-US"/>
        </w:rPr>
        <w:t>analysis</w:t>
      </w:r>
      <w:proofErr w:type="spellEnd"/>
      <w:r w:rsidRPr="00A953C0">
        <w:rPr>
          <w:rFonts w:eastAsiaTheme="minorHAnsi"/>
          <w:color w:val="000000" w:themeColor="text1"/>
          <w:lang w:eastAsia="en-US"/>
        </w:rPr>
        <w:t>. [online]. 2017.</w:t>
      </w:r>
      <w:r w:rsidRPr="00A953C0">
        <w:rPr>
          <w:rFonts w:eastAsiaTheme="minorHAnsi"/>
          <w:i/>
          <w:color w:val="000000" w:themeColor="text1"/>
          <w:lang w:eastAsia="en-US"/>
        </w:rPr>
        <w:t>Plosone.</w:t>
      </w:r>
      <w:r w:rsidRPr="00A953C0">
        <w:rPr>
          <w:rFonts w:eastAsiaTheme="minorHAnsi"/>
          <w:color w:val="000000" w:themeColor="text1"/>
          <w:lang w:eastAsia="en-US"/>
        </w:rPr>
        <w:t xml:space="preserve">č.12(2). [cit.2017-04-14]. Dostupné z: https : // www. </w:t>
      </w:r>
      <w:proofErr w:type="spellStart"/>
      <w:r w:rsidRPr="00A953C0">
        <w:rPr>
          <w:rFonts w:eastAsiaTheme="minorHAnsi"/>
          <w:color w:val="000000" w:themeColor="text1"/>
          <w:lang w:eastAsia="en-US"/>
        </w:rPr>
        <w:t>ncbi</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nlm</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nih</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gov</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pmc</w:t>
      </w:r>
      <w:proofErr w:type="spellEnd"/>
      <w:r w:rsidRPr="00A953C0">
        <w:rPr>
          <w:rFonts w:eastAsiaTheme="minorHAnsi"/>
          <w:color w:val="000000" w:themeColor="text1"/>
          <w:lang w:eastAsia="en-US"/>
        </w:rPr>
        <w:t xml:space="preserve">/ </w:t>
      </w:r>
      <w:proofErr w:type="spellStart"/>
      <w:r w:rsidRPr="00A953C0">
        <w:rPr>
          <w:rFonts w:eastAsiaTheme="minorHAnsi"/>
          <w:color w:val="000000" w:themeColor="text1"/>
          <w:lang w:eastAsia="en-US"/>
        </w:rPr>
        <w:t>articles</w:t>
      </w:r>
      <w:proofErr w:type="spellEnd"/>
      <w:r w:rsidRPr="00A953C0">
        <w:rPr>
          <w:rFonts w:eastAsiaTheme="minorHAnsi"/>
          <w:color w:val="000000" w:themeColor="text1"/>
          <w:lang w:eastAsia="en-US"/>
        </w:rPr>
        <w:t>/PMC5330481/.</w:t>
      </w:r>
    </w:p>
    <w:p w:rsidR="00A953C0" w:rsidRPr="00A953C0" w:rsidRDefault="00A953C0" w:rsidP="00A953C0">
      <w:pPr>
        <w:autoSpaceDE w:val="0"/>
        <w:spacing w:before="240" w:after="200" w:line="360" w:lineRule="auto"/>
        <w:jc w:val="both"/>
        <w:rPr>
          <w:rFonts w:eastAsiaTheme="minorHAnsi"/>
          <w:color w:val="000000" w:themeColor="text1"/>
          <w:lang w:eastAsia="en-US"/>
        </w:rPr>
      </w:pPr>
      <w:r w:rsidRPr="00A953C0">
        <w:rPr>
          <w:rFonts w:eastAsiaTheme="minorHAnsi"/>
          <w:color w:val="000000" w:themeColor="text1"/>
          <w:lang w:eastAsia="en-US"/>
        </w:rPr>
        <w:lastRenderedPageBreak/>
        <w:t xml:space="preserve">SVITKOVÁ, Veronika a Lukáš Kober. Kvalita života s Crohnovou nemocí. </w:t>
      </w:r>
      <w:r w:rsidRPr="00A953C0">
        <w:rPr>
          <w:rFonts w:eastAsiaTheme="minorHAnsi"/>
          <w:i/>
          <w:color w:val="000000" w:themeColor="text1"/>
          <w:lang w:eastAsia="en-US"/>
        </w:rPr>
        <w:t>Sestra.</w:t>
      </w:r>
      <w:r w:rsidRPr="00A953C0">
        <w:rPr>
          <w:rFonts w:eastAsiaTheme="minorHAnsi"/>
          <w:color w:val="000000" w:themeColor="text1"/>
          <w:lang w:eastAsia="en-US"/>
        </w:rPr>
        <w:t xml:space="preserve"> [online]. 2014. č. 5. [cit.2017-2-28]. Dostupné z: http: //</w:t>
      </w:r>
      <w:proofErr w:type="spellStart"/>
      <w:r w:rsidRPr="00A953C0">
        <w:rPr>
          <w:rFonts w:eastAsiaTheme="minorHAnsi"/>
          <w:color w:val="000000" w:themeColor="text1"/>
          <w:lang w:eastAsia="en-US"/>
        </w:rPr>
        <w:t>zdravi</w:t>
      </w:r>
      <w:proofErr w:type="spellEnd"/>
      <w:r w:rsidRPr="00A953C0">
        <w:rPr>
          <w:rFonts w:eastAsiaTheme="minorHAnsi"/>
          <w:color w:val="000000" w:themeColor="text1"/>
          <w:lang w:eastAsia="en-US"/>
        </w:rPr>
        <w:t>. euro.cz/</w:t>
      </w:r>
      <w:proofErr w:type="spellStart"/>
      <w:r w:rsidRPr="00A953C0">
        <w:rPr>
          <w:rFonts w:eastAsiaTheme="minorHAnsi"/>
          <w:color w:val="000000" w:themeColor="text1"/>
          <w:lang w:eastAsia="en-US"/>
        </w:rPr>
        <w:t>clanek</w:t>
      </w:r>
      <w:proofErr w:type="spellEnd"/>
      <w:r w:rsidRPr="00A953C0">
        <w:rPr>
          <w:rFonts w:eastAsiaTheme="minorHAnsi"/>
          <w:color w:val="000000" w:themeColor="text1"/>
          <w:lang w:eastAsia="en-US"/>
        </w:rPr>
        <w:t xml:space="preserve">/sestra/kvalita-zivota-s-crohnovou-nemoci-475390. </w:t>
      </w:r>
    </w:p>
    <w:p w:rsidR="00A953C0" w:rsidRPr="00A953C0" w:rsidRDefault="00A953C0" w:rsidP="00A953C0">
      <w:pPr>
        <w:autoSpaceDE w:val="0"/>
        <w:spacing w:after="200" w:line="360" w:lineRule="auto"/>
        <w:jc w:val="both"/>
        <w:rPr>
          <w:rFonts w:eastAsiaTheme="minorHAnsi"/>
          <w:color w:val="000000" w:themeColor="text1"/>
          <w:lang w:eastAsia="en-US"/>
        </w:rPr>
      </w:pPr>
      <w:r w:rsidRPr="00A953C0">
        <w:rPr>
          <w:rFonts w:eastAsiaTheme="minorHAnsi"/>
          <w:color w:val="000000" w:themeColor="text1"/>
          <w:lang w:eastAsia="en-US"/>
        </w:rPr>
        <w:t xml:space="preserve">ŠAFRÁNKOVÁ Alena a Marie NEJEDLÁ. Interní ošetřovatelství. Praha: </w:t>
      </w:r>
      <w:proofErr w:type="spellStart"/>
      <w:r w:rsidRPr="00A953C0">
        <w:rPr>
          <w:rFonts w:eastAsiaTheme="minorHAnsi"/>
          <w:color w:val="000000" w:themeColor="text1"/>
          <w:lang w:eastAsia="en-US"/>
        </w:rPr>
        <w:t>Grada</w:t>
      </w:r>
      <w:proofErr w:type="spellEnd"/>
      <w:r w:rsidRPr="00A953C0">
        <w:rPr>
          <w:rFonts w:eastAsiaTheme="minorHAnsi"/>
          <w:color w:val="000000" w:themeColor="text1"/>
          <w:lang w:eastAsia="en-US"/>
        </w:rPr>
        <w:t>, 2006. ISBN 978-80-247-1148-6.</w:t>
      </w:r>
    </w:p>
    <w:p w:rsidR="00A953C0" w:rsidRPr="00A953C0" w:rsidRDefault="00A953C0" w:rsidP="00A953C0">
      <w:pPr>
        <w:autoSpaceDE w:val="0"/>
        <w:spacing w:after="200" w:line="360" w:lineRule="auto"/>
        <w:jc w:val="both"/>
        <w:rPr>
          <w:rFonts w:eastAsiaTheme="minorHAnsi"/>
          <w:i/>
          <w:color w:val="000000" w:themeColor="text1"/>
          <w:lang w:eastAsia="en-US"/>
        </w:rPr>
      </w:pPr>
      <w:r w:rsidRPr="00A953C0">
        <w:rPr>
          <w:rFonts w:eastAsiaTheme="minorHAnsi"/>
          <w:color w:val="000000" w:themeColor="text1"/>
          <w:lang w:eastAsia="en-US"/>
        </w:rPr>
        <w:t xml:space="preserve">ŠACHLOVÁ, Milana. </w:t>
      </w:r>
      <w:r w:rsidRPr="00A953C0">
        <w:rPr>
          <w:rFonts w:eastAsiaTheme="minorHAnsi"/>
          <w:i/>
          <w:color w:val="000000" w:themeColor="text1"/>
          <w:lang w:eastAsia="en-US"/>
        </w:rPr>
        <w:t>Jak volit stravu u pacientů s Crohnovou chorobou?</w:t>
      </w:r>
      <w:r w:rsidRPr="00A953C0">
        <w:rPr>
          <w:rFonts w:eastAsiaTheme="minorHAnsi"/>
          <w:color w:val="000000" w:themeColor="text1"/>
          <w:lang w:eastAsia="en-US"/>
        </w:rPr>
        <w:t xml:space="preserve"> Interní medicína pro praxi. [online].  2011. 13(10) 403-405. [cit.2017-06-24]. Dostupné z: https://www.internimedicina.cz/pdfs/int/2011/10/10.pdf.</w:t>
      </w:r>
    </w:p>
    <w:p w:rsidR="00A953C0" w:rsidRPr="00A953C0" w:rsidRDefault="00A953C0" w:rsidP="00A953C0">
      <w:pPr>
        <w:autoSpaceDE w:val="0"/>
        <w:autoSpaceDN w:val="0"/>
        <w:adjustRightInd w:val="0"/>
        <w:spacing w:after="200" w:line="360" w:lineRule="auto"/>
        <w:jc w:val="both"/>
        <w:rPr>
          <w:rFonts w:eastAsiaTheme="minorHAnsi"/>
          <w:bCs/>
          <w:color w:val="000000" w:themeColor="text1"/>
          <w:lang w:eastAsia="en-US"/>
        </w:rPr>
      </w:pPr>
      <w:r w:rsidRPr="00A953C0">
        <w:rPr>
          <w:rFonts w:eastAsiaTheme="minorHAnsi"/>
          <w:color w:val="000000" w:themeColor="text1"/>
          <w:lang w:eastAsia="en-US"/>
        </w:rPr>
        <w:t xml:space="preserve">UZIS ČR. </w:t>
      </w:r>
      <w:r w:rsidRPr="00A953C0">
        <w:rPr>
          <w:rFonts w:eastAsiaTheme="minorHAnsi"/>
          <w:bCs/>
          <w:color w:val="000000" w:themeColor="text1"/>
          <w:lang w:eastAsia="en-US"/>
        </w:rPr>
        <w:t>Činnost zdravotnických zařízení ve vybraných oborech zdravotní péče 2013.</w:t>
      </w:r>
      <w:r w:rsidRPr="00A953C0">
        <w:rPr>
          <w:rFonts w:eastAsiaTheme="minorHAnsi"/>
          <w:i/>
          <w:iCs/>
          <w:color w:val="000000" w:themeColor="text1"/>
          <w:lang w:eastAsia="en-US"/>
        </w:rPr>
        <w:t xml:space="preserve"> Praha: Ústav zdravotnických informací a statistiky ČR</w:t>
      </w:r>
      <w:r w:rsidRPr="00A953C0">
        <w:rPr>
          <w:rFonts w:eastAsiaTheme="minorHAnsi"/>
          <w:color w:val="000000" w:themeColor="text1"/>
          <w:lang w:eastAsia="en-US"/>
        </w:rPr>
        <w:t xml:space="preserve"> [online]. 2015 [cit. 2015-04-26]. Dostupné z: http://www.uzis.cz/publikace/cinnost-zdravotnickych-zarizeni-ve-vybranych-oborech-zdravotni-pece-2013</w:t>
      </w:r>
      <w:r w:rsidRPr="00A953C0">
        <w:rPr>
          <w:rFonts w:eastAsiaTheme="minorHAnsi"/>
          <w:bCs/>
          <w:color w:val="000000" w:themeColor="text1"/>
          <w:lang w:eastAsia="en-US"/>
        </w:rPr>
        <w:t>.</w:t>
      </w:r>
    </w:p>
    <w:p w:rsidR="00A953C0" w:rsidRPr="00A953C0" w:rsidRDefault="00A953C0" w:rsidP="00A953C0">
      <w:pPr>
        <w:autoSpaceDE w:val="0"/>
        <w:autoSpaceDN w:val="0"/>
        <w:adjustRightInd w:val="0"/>
        <w:spacing w:after="200" w:line="360" w:lineRule="auto"/>
        <w:jc w:val="both"/>
        <w:rPr>
          <w:rFonts w:eastAsiaTheme="minorHAnsi"/>
          <w:bCs/>
          <w:color w:val="000000" w:themeColor="text1"/>
          <w:lang w:eastAsia="en-US"/>
        </w:rPr>
      </w:pPr>
      <w:r w:rsidRPr="00A953C0">
        <w:rPr>
          <w:rFonts w:eastAsiaTheme="minorHAnsi"/>
          <w:color w:val="000000" w:themeColor="text1"/>
          <w:lang w:eastAsia="en-US"/>
        </w:rPr>
        <w:t xml:space="preserve">VATEHOVÁ Drahomíra a Rastislav VATEHA. </w:t>
      </w:r>
      <w:proofErr w:type="spellStart"/>
      <w:r w:rsidRPr="00A953C0">
        <w:rPr>
          <w:rFonts w:eastAsiaTheme="minorHAnsi"/>
          <w:i/>
          <w:color w:val="000000" w:themeColor="text1"/>
          <w:lang w:eastAsia="en-US"/>
        </w:rPr>
        <w:t>Manažment</w:t>
      </w:r>
      <w:proofErr w:type="spellEnd"/>
      <w:r w:rsidRPr="00A953C0">
        <w:rPr>
          <w:rFonts w:eastAsiaTheme="minorHAnsi"/>
          <w:i/>
          <w:color w:val="000000" w:themeColor="text1"/>
          <w:lang w:eastAsia="en-US"/>
        </w:rPr>
        <w:t xml:space="preserve"> </w:t>
      </w:r>
      <w:proofErr w:type="spellStart"/>
      <w:r w:rsidRPr="00A953C0">
        <w:rPr>
          <w:rFonts w:eastAsiaTheme="minorHAnsi"/>
          <w:i/>
          <w:color w:val="000000" w:themeColor="text1"/>
          <w:lang w:eastAsia="en-US"/>
        </w:rPr>
        <w:t>ošetrovateľskej</w:t>
      </w:r>
      <w:proofErr w:type="spellEnd"/>
      <w:r w:rsidRPr="00A953C0">
        <w:rPr>
          <w:rFonts w:eastAsiaTheme="minorHAnsi"/>
          <w:i/>
          <w:color w:val="000000" w:themeColor="text1"/>
          <w:lang w:eastAsia="en-US"/>
        </w:rPr>
        <w:t xml:space="preserve"> starostlivosti o </w:t>
      </w:r>
      <w:proofErr w:type="spellStart"/>
      <w:r w:rsidRPr="00A953C0">
        <w:rPr>
          <w:rFonts w:eastAsiaTheme="minorHAnsi"/>
          <w:i/>
          <w:color w:val="000000" w:themeColor="text1"/>
          <w:lang w:eastAsia="en-US"/>
        </w:rPr>
        <w:t>pacientov</w:t>
      </w:r>
      <w:proofErr w:type="spellEnd"/>
      <w:r w:rsidRPr="00A953C0">
        <w:rPr>
          <w:rFonts w:eastAsiaTheme="minorHAnsi"/>
          <w:i/>
          <w:color w:val="000000" w:themeColor="text1"/>
          <w:lang w:eastAsia="en-US"/>
        </w:rPr>
        <w:t xml:space="preserve"> s vybranými chronickými chorobami.</w:t>
      </w:r>
      <w:r w:rsidRPr="00A953C0">
        <w:rPr>
          <w:rFonts w:eastAsiaTheme="minorHAnsi"/>
          <w:color w:val="000000" w:themeColor="text1"/>
          <w:lang w:eastAsia="en-US"/>
        </w:rPr>
        <w:t xml:space="preserve"> Martin: </w:t>
      </w:r>
      <w:proofErr w:type="spellStart"/>
      <w:r w:rsidRPr="00A953C0">
        <w:rPr>
          <w:rFonts w:eastAsiaTheme="minorHAnsi"/>
          <w:color w:val="000000" w:themeColor="text1"/>
          <w:lang w:eastAsia="en-US"/>
        </w:rPr>
        <w:t>Osveta</w:t>
      </w:r>
      <w:proofErr w:type="spellEnd"/>
      <w:r w:rsidRPr="00A953C0">
        <w:rPr>
          <w:rFonts w:eastAsiaTheme="minorHAnsi"/>
          <w:color w:val="000000" w:themeColor="text1"/>
          <w:lang w:eastAsia="en-US"/>
        </w:rPr>
        <w:t>. 2013. ISBN 978-80-8063-383-7.</w:t>
      </w:r>
    </w:p>
    <w:p w:rsidR="00A953C0" w:rsidRPr="00A953C0" w:rsidRDefault="00A953C0" w:rsidP="00A953C0">
      <w:pPr>
        <w:autoSpaceDE w:val="0"/>
        <w:autoSpaceDN w:val="0"/>
        <w:adjustRightInd w:val="0"/>
        <w:spacing w:after="200" w:line="360" w:lineRule="auto"/>
        <w:jc w:val="both"/>
        <w:rPr>
          <w:rFonts w:eastAsiaTheme="minorHAnsi"/>
          <w:bCs/>
          <w:color w:val="000000" w:themeColor="text1"/>
          <w:lang w:eastAsia="en-US"/>
        </w:rPr>
      </w:pPr>
      <w:r w:rsidRPr="00A953C0">
        <w:rPr>
          <w:rFonts w:eastAsiaTheme="minorHAnsi"/>
          <w:color w:val="000000" w:themeColor="text1"/>
          <w:lang w:eastAsia="en-US"/>
        </w:rPr>
        <w:t xml:space="preserve">VÍCHA, Jan Vliv biologické léčby na </w:t>
      </w:r>
      <w:proofErr w:type="spellStart"/>
      <w:r w:rsidRPr="00A953C0">
        <w:rPr>
          <w:rFonts w:eastAsiaTheme="minorHAnsi"/>
          <w:color w:val="000000" w:themeColor="text1"/>
          <w:lang w:eastAsia="en-US"/>
        </w:rPr>
        <w:t>invalidizace</w:t>
      </w:r>
      <w:proofErr w:type="spellEnd"/>
      <w:r w:rsidRPr="00A953C0">
        <w:rPr>
          <w:rFonts w:eastAsiaTheme="minorHAnsi"/>
          <w:color w:val="000000" w:themeColor="text1"/>
          <w:lang w:eastAsia="en-US"/>
        </w:rPr>
        <w:t xml:space="preserve"> u Crohnovy choroby. </w:t>
      </w:r>
      <w:r w:rsidRPr="00A953C0">
        <w:rPr>
          <w:rFonts w:eastAsiaTheme="minorHAnsi"/>
          <w:i/>
          <w:color w:val="000000" w:themeColor="text1"/>
          <w:lang w:eastAsia="en-US"/>
        </w:rPr>
        <w:t>Revizní a posudkové lékařství.</w:t>
      </w:r>
      <w:r w:rsidRPr="00A953C0">
        <w:rPr>
          <w:rFonts w:eastAsiaTheme="minorHAnsi"/>
          <w:color w:val="000000" w:themeColor="text1"/>
          <w:lang w:eastAsia="en-US"/>
        </w:rPr>
        <w:t xml:space="preserve"> 2013, roč. 16. č. 1, s. 16-26. ISSN 1214-3170.</w:t>
      </w:r>
    </w:p>
    <w:p w:rsidR="00A953C0" w:rsidRPr="00A953C0" w:rsidRDefault="00A953C0" w:rsidP="00A953C0">
      <w:pPr>
        <w:autoSpaceDE w:val="0"/>
        <w:autoSpaceDN w:val="0"/>
        <w:adjustRightInd w:val="0"/>
        <w:spacing w:after="200" w:line="360" w:lineRule="auto"/>
        <w:jc w:val="both"/>
        <w:rPr>
          <w:rFonts w:eastAsiaTheme="minorHAnsi"/>
          <w:bCs/>
          <w:color w:val="000000" w:themeColor="text1"/>
          <w:lang w:eastAsia="en-US"/>
        </w:rPr>
      </w:pPr>
      <w:r w:rsidRPr="00A953C0">
        <w:rPr>
          <w:rFonts w:eastAsiaTheme="minorHAnsi"/>
          <w:color w:val="000000" w:themeColor="text1"/>
          <w:lang w:eastAsia="en-US"/>
        </w:rPr>
        <w:t xml:space="preserve">VÖRÖSOVÁ, Gabriela. </w:t>
      </w:r>
      <w:proofErr w:type="spellStart"/>
      <w:r w:rsidRPr="00A953C0">
        <w:rPr>
          <w:rFonts w:eastAsiaTheme="minorHAnsi"/>
          <w:i/>
          <w:color w:val="000000" w:themeColor="text1"/>
          <w:lang w:eastAsia="en-US"/>
        </w:rPr>
        <w:t>Ošetrovateĺský</w:t>
      </w:r>
      <w:proofErr w:type="spellEnd"/>
      <w:r w:rsidRPr="00A953C0">
        <w:rPr>
          <w:rFonts w:eastAsiaTheme="minorHAnsi"/>
          <w:i/>
          <w:color w:val="000000" w:themeColor="text1"/>
          <w:lang w:eastAsia="en-US"/>
        </w:rPr>
        <w:t xml:space="preserve"> proces v </w:t>
      </w:r>
      <w:proofErr w:type="spellStart"/>
      <w:r w:rsidRPr="00A953C0">
        <w:rPr>
          <w:rFonts w:eastAsiaTheme="minorHAnsi"/>
          <w:i/>
          <w:color w:val="000000" w:themeColor="text1"/>
          <w:lang w:eastAsia="en-US"/>
        </w:rPr>
        <w:t>internom</w:t>
      </w:r>
      <w:proofErr w:type="spellEnd"/>
      <w:r w:rsidRPr="00A953C0">
        <w:rPr>
          <w:rFonts w:eastAsiaTheme="minorHAnsi"/>
          <w:i/>
          <w:color w:val="000000" w:themeColor="text1"/>
          <w:lang w:eastAsia="en-US"/>
        </w:rPr>
        <w:t xml:space="preserve"> </w:t>
      </w:r>
      <w:proofErr w:type="spellStart"/>
      <w:r w:rsidRPr="00A953C0">
        <w:rPr>
          <w:rFonts w:eastAsiaTheme="minorHAnsi"/>
          <w:i/>
          <w:color w:val="000000" w:themeColor="text1"/>
          <w:lang w:eastAsia="en-US"/>
        </w:rPr>
        <w:t>ošetrovateĺstve</w:t>
      </w:r>
      <w:proofErr w:type="spellEnd"/>
      <w:r w:rsidRPr="00A953C0">
        <w:rPr>
          <w:rFonts w:eastAsiaTheme="minorHAnsi"/>
          <w:i/>
          <w:color w:val="000000" w:themeColor="text1"/>
          <w:lang w:eastAsia="en-US"/>
        </w:rPr>
        <w:t>.</w:t>
      </w:r>
      <w:r w:rsidRPr="00A953C0">
        <w:rPr>
          <w:rFonts w:eastAsiaTheme="minorHAnsi"/>
          <w:color w:val="000000" w:themeColor="text1"/>
          <w:lang w:eastAsia="en-US"/>
        </w:rPr>
        <w:t xml:space="preserve"> Martin: </w:t>
      </w:r>
      <w:proofErr w:type="spellStart"/>
      <w:r w:rsidRPr="00A953C0">
        <w:rPr>
          <w:rFonts w:eastAsiaTheme="minorHAnsi"/>
          <w:color w:val="000000" w:themeColor="text1"/>
          <w:lang w:eastAsia="en-US"/>
        </w:rPr>
        <w:t>Osveta</w:t>
      </w:r>
      <w:proofErr w:type="spellEnd"/>
      <w:r w:rsidRPr="00A953C0">
        <w:rPr>
          <w:rFonts w:eastAsiaTheme="minorHAnsi"/>
          <w:color w:val="000000" w:themeColor="text1"/>
          <w:lang w:eastAsia="en-US"/>
        </w:rPr>
        <w:t xml:space="preserve">, 2011. ISBN: </w:t>
      </w:r>
      <w:r w:rsidRPr="00A953C0">
        <w:rPr>
          <w:rFonts w:eastAsiaTheme="minorHAnsi"/>
          <w:color w:val="000000" w:themeColor="text1"/>
          <w:lang w:val="en" w:eastAsia="en-US"/>
        </w:rPr>
        <w:t>978-80-806-3358-5.</w:t>
      </w:r>
    </w:p>
    <w:p w:rsidR="00A953C0" w:rsidRPr="00A953C0" w:rsidRDefault="00A953C0" w:rsidP="00A953C0">
      <w:pPr>
        <w:autoSpaceDE w:val="0"/>
        <w:autoSpaceDN w:val="0"/>
        <w:adjustRightInd w:val="0"/>
        <w:spacing w:after="200" w:line="360" w:lineRule="auto"/>
        <w:jc w:val="both"/>
        <w:rPr>
          <w:rFonts w:eastAsiaTheme="minorHAnsi"/>
          <w:bCs/>
          <w:color w:val="000000" w:themeColor="text1"/>
          <w:lang w:eastAsia="en-US"/>
        </w:rPr>
      </w:pPr>
      <w:r w:rsidRPr="00A953C0">
        <w:rPr>
          <w:rFonts w:eastAsiaTheme="minorHAnsi"/>
          <w:color w:val="000000" w:themeColor="text1"/>
          <w:lang w:eastAsia="en-US"/>
        </w:rPr>
        <w:t>VRZALOVÁ, D.</w:t>
      </w:r>
      <w:r w:rsidRPr="00A953C0">
        <w:rPr>
          <w:rFonts w:eastAsiaTheme="minorHAnsi"/>
          <w:bCs/>
          <w:color w:val="000000" w:themeColor="text1"/>
          <w:lang w:eastAsia="en-US"/>
        </w:rPr>
        <w:t xml:space="preserve">, M. KONEČNÝ a J. EHRMANN. Enterální a parenterální výživa u pacientů s nespecifickými střevními záněty. </w:t>
      </w:r>
      <w:r w:rsidRPr="00A953C0">
        <w:rPr>
          <w:rFonts w:eastAsiaTheme="minorHAnsi"/>
          <w:bCs/>
          <w:i/>
          <w:color w:val="000000" w:themeColor="text1"/>
          <w:lang w:eastAsia="en-US"/>
        </w:rPr>
        <w:t>Medicína pro praxi.</w:t>
      </w:r>
      <w:r w:rsidRPr="00A953C0">
        <w:rPr>
          <w:rFonts w:eastAsiaTheme="minorHAnsi"/>
          <w:bCs/>
          <w:color w:val="000000" w:themeColor="text1"/>
          <w:lang w:eastAsia="en-US"/>
        </w:rPr>
        <w:t xml:space="preserve"> 2011, roč. 8 (7 a 8), s. 337-338. ISSN 1803-5876. </w:t>
      </w:r>
    </w:p>
    <w:p w:rsidR="00A953C0" w:rsidRPr="00A953C0" w:rsidRDefault="00A953C0" w:rsidP="00A953C0">
      <w:pPr>
        <w:autoSpaceDE w:val="0"/>
        <w:spacing w:after="200" w:line="360" w:lineRule="auto"/>
        <w:jc w:val="both"/>
        <w:rPr>
          <w:rFonts w:eastAsiaTheme="minorHAnsi"/>
          <w:color w:val="000000" w:themeColor="text1"/>
          <w:lang w:eastAsia="en-US"/>
        </w:rPr>
      </w:pPr>
      <w:r w:rsidRPr="00A953C0">
        <w:rPr>
          <w:rFonts w:eastAsiaTheme="minorHAnsi"/>
          <w:color w:val="000000" w:themeColor="text1"/>
          <w:lang w:eastAsia="en-US"/>
        </w:rPr>
        <w:t>ZBOŘIL, Vladimír et al.</w:t>
      </w:r>
      <w:r w:rsidRPr="00A953C0">
        <w:rPr>
          <w:rFonts w:eastAsiaTheme="minorHAnsi"/>
          <w:i/>
          <w:color w:val="000000" w:themeColor="text1"/>
          <w:lang w:eastAsia="en-US"/>
        </w:rPr>
        <w:t xml:space="preserve"> Biologická terapie v léčbě idiopatických střevních zánětů.</w:t>
      </w:r>
      <w:r w:rsidRPr="00A953C0">
        <w:rPr>
          <w:rFonts w:eastAsiaTheme="minorHAnsi"/>
          <w:color w:val="000000" w:themeColor="text1"/>
          <w:lang w:eastAsia="en-US"/>
        </w:rPr>
        <w:t xml:space="preserve"> Praha: Mladá fronta, 2012. ISBN 978-80-204-2656-7.</w:t>
      </w:r>
    </w:p>
    <w:p w:rsidR="00A953C0" w:rsidRPr="00A953C0" w:rsidRDefault="00A953C0" w:rsidP="00A953C0">
      <w:pPr>
        <w:suppressAutoHyphens/>
        <w:autoSpaceDE w:val="0"/>
        <w:autoSpaceDN w:val="0"/>
        <w:spacing w:after="200" w:line="360" w:lineRule="auto"/>
        <w:jc w:val="both"/>
        <w:textAlignment w:val="baseline"/>
        <w:rPr>
          <w:rFonts w:eastAsiaTheme="minorHAnsi"/>
          <w:color w:val="000000" w:themeColor="text1"/>
          <w:lang w:eastAsia="en-US"/>
        </w:rPr>
      </w:pPr>
      <w:r w:rsidRPr="00A953C0">
        <w:rPr>
          <w:rFonts w:eastAsiaTheme="minorHAnsi"/>
          <w:color w:val="000000" w:themeColor="text1"/>
          <w:lang w:eastAsia="en-US"/>
        </w:rPr>
        <w:lastRenderedPageBreak/>
        <w:t>ZBOŘIL, Vladimír et al.</w:t>
      </w:r>
      <w:r w:rsidRPr="00A953C0">
        <w:rPr>
          <w:rFonts w:eastAsiaTheme="minorHAnsi"/>
          <w:i/>
          <w:color w:val="000000" w:themeColor="text1"/>
          <w:lang w:eastAsia="en-US"/>
        </w:rPr>
        <w:t xml:space="preserve"> Biologická terapie v léčbě idiopatických střevních zánětů.</w:t>
      </w:r>
      <w:r w:rsidRPr="00A953C0">
        <w:rPr>
          <w:rFonts w:eastAsiaTheme="minorHAnsi"/>
          <w:color w:val="000000" w:themeColor="text1"/>
          <w:lang w:eastAsia="en-US"/>
        </w:rPr>
        <w:t xml:space="preserve"> Praha: Mladá fronta, 2016. 208 s. ISBN 978-80-204-4035-8.</w:t>
      </w:r>
    </w:p>
    <w:p w:rsidR="00A165F1" w:rsidRPr="00E56C4E" w:rsidRDefault="00A165F1" w:rsidP="00DF7765">
      <w:pPr>
        <w:pStyle w:val="Seznamliteratury"/>
        <w:numPr>
          <w:ilvl w:val="0"/>
          <w:numId w:val="0"/>
        </w:numPr>
      </w:pPr>
    </w:p>
    <w:p w:rsidR="00124275" w:rsidRPr="00DF7765" w:rsidRDefault="00E147C1" w:rsidP="001E4A2B">
      <w:pPr>
        <w:pStyle w:val="Nadpis1"/>
        <w:spacing w:before="600"/>
        <w:rPr>
          <w:sz w:val="22"/>
          <w:szCs w:val="22"/>
        </w:rPr>
      </w:pPr>
      <w:r>
        <w:rPr>
          <w:lang w:val="en"/>
        </w:rPr>
        <w:t>Quality of Life of Patients with Crohn's Disease and the Intervention of a Non-Medical Medical Worker - Review Article</w:t>
      </w:r>
    </w:p>
    <w:p w:rsidR="00124275" w:rsidRPr="00EB18D7" w:rsidRDefault="00124275" w:rsidP="00EB18D7">
      <w:pPr>
        <w:pStyle w:val="Zkladntext"/>
        <w:spacing w:before="240"/>
        <w:rPr>
          <w:b/>
          <w:bCs/>
          <w:i/>
          <w:iCs/>
          <w:sz w:val="24"/>
        </w:rPr>
      </w:pPr>
      <w:r w:rsidRPr="00EB18D7">
        <w:rPr>
          <w:b/>
          <w:bCs/>
          <w:i/>
          <w:iCs/>
          <w:sz w:val="24"/>
        </w:rPr>
        <w:t>Abstract</w:t>
      </w:r>
    </w:p>
    <w:p w:rsidR="00631A25" w:rsidRPr="00631A25" w:rsidRDefault="00631A25" w:rsidP="00631A25">
      <w:pPr>
        <w:spacing w:before="240"/>
        <w:jc w:val="both"/>
        <w:rPr>
          <w:sz w:val="22"/>
          <w:szCs w:val="22"/>
          <w:lang w:val="en" w:eastAsia="sk-SK"/>
        </w:rPr>
      </w:pPr>
      <w:r w:rsidRPr="00631A25">
        <w:rPr>
          <w:sz w:val="22"/>
          <w:szCs w:val="22"/>
          <w:lang w:val="en" w:eastAsia="sk-SK"/>
        </w:rPr>
        <w:t>Introduction: Crohn's disease is a chronic inflammatory disease of the gastrointestinal tract. The manifestations of this disease vary according to the localization. According to the symptomatology, such treatment and nursing care is sought which seeks to increase the quality of life by all available means.</w:t>
      </w:r>
    </w:p>
    <w:p w:rsidR="00631A25" w:rsidRPr="00631A25" w:rsidRDefault="00631A25" w:rsidP="00631A25">
      <w:pPr>
        <w:spacing w:before="240"/>
        <w:jc w:val="both"/>
        <w:rPr>
          <w:sz w:val="22"/>
          <w:szCs w:val="22"/>
          <w:lang w:val="en" w:eastAsia="sk-SK"/>
        </w:rPr>
      </w:pPr>
      <w:r w:rsidRPr="00631A25">
        <w:rPr>
          <w:sz w:val="22"/>
          <w:szCs w:val="22"/>
          <w:lang w:val="en" w:eastAsia="sk-SK"/>
        </w:rPr>
        <w:t>Aim: The present paper attempts to map out the issue of Crohn's disease and to focus on appropriate nursing interventions for improvement of the quality of the life of patients.</w:t>
      </w:r>
    </w:p>
    <w:p w:rsidR="00631A25" w:rsidRPr="00631A25" w:rsidRDefault="000B535E" w:rsidP="00631A25">
      <w:pPr>
        <w:spacing w:before="240"/>
        <w:jc w:val="both"/>
        <w:rPr>
          <w:sz w:val="22"/>
          <w:szCs w:val="22"/>
          <w:lang w:val="en" w:eastAsia="sk-SK"/>
        </w:rPr>
      </w:pPr>
      <w:r w:rsidRPr="000B535E">
        <w:rPr>
          <w:sz w:val="22"/>
          <w:szCs w:val="22"/>
          <w:lang w:val="en" w:eastAsia="sk-SK"/>
        </w:rPr>
        <w:t>Method</w:t>
      </w:r>
      <w:r w:rsidR="00631A25" w:rsidRPr="00631A25">
        <w:rPr>
          <w:sz w:val="22"/>
          <w:szCs w:val="22"/>
          <w:lang w:val="en" w:eastAsia="sk-SK"/>
        </w:rPr>
        <w:t>: This is an overview article. The information was obtained by qualitative content analysis from Czech and foreign professional publications, from articles of professional periodicals. The keywords used for the search: Crohn's disease, quality of life, nursing care.</w:t>
      </w:r>
    </w:p>
    <w:p w:rsidR="00631A25" w:rsidRPr="00631A25" w:rsidRDefault="00631A25" w:rsidP="00631A25">
      <w:pPr>
        <w:spacing w:before="240"/>
        <w:jc w:val="both"/>
        <w:rPr>
          <w:sz w:val="22"/>
          <w:szCs w:val="22"/>
          <w:lang w:val="en" w:eastAsia="sk-SK"/>
        </w:rPr>
      </w:pPr>
      <w:r w:rsidRPr="00631A25">
        <w:rPr>
          <w:sz w:val="22"/>
          <w:szCs w:val="22"/>
          <w:lang w:val="en" w:eastAsia="sk-SK"/>
        </w:rPr>
        <w:t xml:space="preserve">Conclusion: The analysis of available resources shows the importance of assessing the quality of life of patients with Crohn's disease, the information we receive is further helpful for comprehensive care of these patients. </w:t>
      </w:r>
    </w:p>
    <w:p w:rsidR="00EB18D7" w:rsidRPr="00EB18D7" w:rsidRDefault="00124275" w:rsidP="00EB18D7">
      <w:pPr>
        <w:pStyle w:val="Zkladntext"/>
        <w:spacing w:before="240"/>
        <w:rPr>
          <w:b/>
          <w:bCs/>
          <w:i/>
          <w:iCs/>
          <w:sz w:val="24"/>
        </w:rPr>
      </w:pPr>
      <w:r w:rsidRPr="00EB18D7">
        <w:rPr>
          <w:b/>
          <w:bCs/>
          <w:i/>
          <w:iCs/>
          <w:sz w:val="24"/>
        </w:rPr>
        <w:t>Key words</w:t>
      </w:r>
      <w:r w:rsidR="001E158D" w:rsidRPr="00EB18D7">
        <w:rPr>
          <w:b/>
          <w:bCs/>
          <w:i/>
          <w:iCs/>
          <w:sz w:val="24"/>
        </w:rPr>
        <w:t xml:space="preserve"> </w:t>
      </w:r>
    </w:p>
    <w:p w:rsidR="00124275" w:rsidRDefault="00E147C1" w:rsidP="003931F7">
      <w:pPr>
        <w:pStyle w:val="Zkladntext"/>
        <w:rPr>
          <w:i/>
          <w:iCs/>
        </w:rPr>
      </w:pPr>
      <w:r>
        <w:rPr>
          <w:lang w:val="en"/>
        </w:rPr>
        <w:t>Crohn'</w:t>
      </w:r>
      <w:r w:rsidR="00C55287">
        <w:rPr>
          <w:lang w:val="en"/>
        </w:rPr>
        <w:t>s disease; quality of life;</w:t>
      </w:r>
      <w:r>
        <w:rPr>
          <w:lang w:val="en"/>
        </w:rPr>
        <w:t xml:space="preserve"> nursing care. </w:t>
      </w:r>
    </w:p>
    <w:p w:rsidR="00EE3EA7" w:rsidRPr="00754B15" w:rsidRDefault="00EE3EA7" w:rsidP="00EE3EA7">
      <w:pPr>
        <w:pStyle w:val="Zkladntext"/>
        <w:spacing w:after="0"/>
        <w:jc w:val="left"/>
        <w:rPr>
          <w:color w:val="808080"/>
        </w:rPr>
      </w:pPr>
      <w:bookmarkStart w:id="2" w:name="_GoBack"/>
      <w:bookmarkEnd w:id="2"/>
    </w:p>
    <w:sectPr w:rsidR="00EE3EA7" w:rsidRPr="00754B15" w:rsidSect="002B2929">
      <w:headerReference w:type="even" r:id="rId9"/>
      <w:headerReference w:type="default" r:id="rId10"/>
      <w:pgSz w:w="9979" w:h="14181" w:code="34"/>
      <w:pgMar w:top="1531" w:right="851" w:bottom="851" w:left="1418" w:header="851"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4B0C" w:rsidRDefault="00774B0C">
      <w:r>
        <w:separator/>
      </w:r>
    </w:p>
  </w:endnote>
  <w:endnote w:type="continuationSeparator" w:id="0">
    <w:p w:rsidR="00774B0C" w:rsidRDefault="00774B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tarSymbol">
    <w:altName w:val="Arial Unicode MS"/>
    <w:charset w:val="80"/>
    <w:family w:val="auto"/>
    <w:pitch w:val="default"/>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imes">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BookAntiqua">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4B0C" w:rsidRDefault="00774B0C">
      <w:r>
        <w:separator/>
      </w:r>
    </w:p>
  </w:footnote>
  <w:footnote w:type="continuationSeparator" w:id="0">
    <w:p w:rsidR="00774B0C" w:rsidRDefault="00774B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4A2B" w:rsidRPr="002B2929" w:rsidRDefault="001E4A2B" w:rsidP="002B2929">
    <w:pPr>
      <w:pStyle w:val="Zhlav"/>
      <w:tabs>
        <w:tab w:val="clear" w:pos="4536"/>
        <w:tab w:val="clear" w:pos="9072"/>
        <w:tab w:val="right" w:pos="7695"/>
      </w:tabs>
      <w:spacing w:after="120"/>
      <w:rPr>
        <w:sz w:val="22"/>
        <w:szCs w:val="22"/>
        <w:u w:val="singl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4A2B" w:rsidRPr="002B2929" w:rsidRDefault="001E4A2B" w:rsidP="002B2929">
    <w:pPr>
      <w:pStyle w:val="Zhlav"/>
      <w:tabs>
        <w:tab w:val="clear" w:pos="4536"/>
        <w:tab w:val="clear" w:pos="9072"/>
        <w:tab w:val="right" w:pos="7695"/>
      </w:tabs>
      <w:spacing w:after="120"/>
      <w:rPr>
        <w:sz w:val="22"/>
        <w:szCs w:val="22"/>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A01E11D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44656C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06D6B510"/>
    <w:lvl w:ilvl="0">
      <w:start w:val="1"/>
      <w:numFmt w:val="decimal"/>
      <w:pStyle w:val="slovanseznam3"/>
      <w:lvlText w:val="%1."/>
      <w:lvlJc w:val="left"/>
      <w:pPr>
        <w:tabs>
          <w:tab w:val="num" w:pos="926"/>
        </w:tabs>
        <w:ind w:left="926" w:hanging="360"/>
      </w:pPr>
    </w:lvl>
  </w:abstractNum>
  <w:abstractNum w:abstractNumId="3" w15:restartNumberingAfterBreak="0">
    <w:nsid w:val="FFFFFF7F"/>
    <w:multiLevelType w:val="singleLevel"/>
    <w:tmpl w:val="A7C8320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B346CC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FA2FFC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0B835E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AF64BD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5AFE5B6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1562C24"/>
    <w:lvl w:ilvl="0">
      <w:start w:val="1"/>
      <w:numFmt w:val="bullet"/>
      <w:pStyle w:val="Seznamsodrkami"/>
      <w:lvlText w:val=""/>
      <w:lvlJc w:val="left"/>
      <w:pPr>
        <w:tabs>
          <w:tab w:val="num" w:pos="360"/>
        </w:tabs>
        <w:ind w:left="360" w:hanging="360"/>
      </w:pPr>
      <w:rPr>
        <w:rFonts w:ascii="Symbol" w:hAnsi="Symbol" w:hint="default"/>
      </w:rPr>
    </w:lvl>
  </w:abstractNum>
  <w:abstractNum w:abstractNumId="10" w15:restartNumberingAfterBreak="0">
    <w:nsid w:val="00E635C9"/>
    <w:multiLevelType w:val="hybridMultilevel"/>
    <w:tmpl w:val="3F6C703A"/>
    <w:lvl w:ilvl="0" w:tplc="D28CC56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03337D85"/>
    <w:multiLevelType w:val="hybridMultilevel"/>
    <w:tmpl w:val="ED80CADA"/>
    <w:lvl w:ilvl="0" w:tplc="916E8C34">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08C762D1"/>
    <w:multiLevelType w:val="multilevel"/>
    <w:tmpl w:val="CFAEBE5A"/>
    <w:lvl w:ilvl="0">
      <w:start w:val="1"/>
      <w:numFmt w:val="bullet"/>
      <w:lvlText w:val=""/>
      <w:lvlJc w:val="left"/>
      <w:pPr>
        <w:tabs>
          <w:tab w:val="num" w:pos="720"/>
        </w:tabs>
        <w:ind w:left="720" w:hanging="360"/>
      </w:pPr>
      <w:rPr>
        <w:rFonts w:ascii="Symbol" w:hAnsi="Symbol" w:cs="StarSymbol" w:hint="default"/>
        <w:sz w:val="24"/>
        <w:szCs w:val="18"/>
      </w:rPr>
    </w:lvl>
    <w:lvl w:ilvl="1">
      <w:start w:val="1"/>
      <w:numFmt w:val="bullet"/>
      <w:lvlText w:val=""/>
      <w:lvlJc w:val="left"/>
      <w:pPr>
        <w:tabs>
          <w:tab w:val="num" w:pos="1080"/>
        </w:tabs>
        <w:ind w:left="1080" w:hanging="360"/>
      </w:pPr>
      <w:rPr>
        <w:rFonts w:ascii="Wingdings 2" w:hAnsi="Wingdings 2" w:cs="StarSymbol"/>
        <w:sz w:val="18"/>
        <w:szCs w:val="18"/>
      </w:rPr>
    </w:lvl>
    <w:lvl w:ilvl="2">
      <w:start w:val="1"/>
      <w:numFmt w:val="bullet"/>
      <w:lvlText w:val="■"/>
      <w:lvlJc w:val="left"/>
      <w:pPr>
        <w:tabs>
          <w:tab w:val="num" w:pos="1440"/>
        </w:tabs>
        <w:ind w:left="1440" w:hanging="360"/>
      </w:pPr>
      <w:rPr>
        <w:rFonts w:ascii="StarSymbol" w:hAnsi="StarSymbol" w:cs="StarSymbol"/>
        <w:sz w:val="18"/>
        <w:szCs w:val="18"/>
      </w:rPr>
    </w:lvl>
    <w:lvl w:ilvl="3">
      <w:start w:val="1"/>
      <w:numFmt w:val="bullet"/>
      <w:lvlText w:val=""/>
      <w:lvlJc w:val="left"/>
      <w:pPr>
        <w:tabs>
          <w:tab w:val="num" w:pos="1800"/>
        </w:tabs>
        <w:ind w:left="1800" w:hanging="360"/>
      </w:pPr>
      <w:rPr>
        <w:rFonts w:ascii="Wingdings" w:hAnsi="Wingdings" w:cs="StarSymbol"/>
        <w:sz w:val="18"/>
        <w:szCs w:val="18"/>
      </w:rPr>
    </w:lvl>
    <w:lvl w:ilvl="4">
      <w:start w:val="1"/>
      <w:numFmt w:val="bullet"/>
      <w:lvlText w:val=""/>
      <w:lvlJc w:val="left"/>
      <w:pPr>
        <w:tabs>
          <w:tab w:val="num" w:pos="2160"/>
        </w:tabs>
        <w:ind w:left="2160" w:hanging="360"/>
      </w:pPr>
      <w:rPr>
        <w:rFonts w:ascii="Wingdings 2" w:hAnsi="Wingdings 2" w:cs="StarSymbol"/>
        <w:sz w:val="18"/>
        <w:szCs w:val="18"/>
      </w:rPr>
    </w:lvl>
    <w:lvl w:ilvl="5">
      <w:start w:val="1"/>
      <w:numFmt w:val="bullet"/>
      <w:lvlText w:val="■"/>
      <w:lvlJc w:val="left"/>
      <w:pPr>
        <w:tabs>
          <w:tab w:val="num" w:pos="2520"/>
        </w:tabs>
        <w:ind w:left="2520" w:hanging="360"/>
      </w:pPr>
      <w:rPr>
        <w:rFonts w:ascii="StarSymbol" w:hAnsi="StarSymbol" w:cs="StarSymbol"/>
        <w:sz w:val="18"/>
        <w:szCs w:val="18"/>
      </w:rPr>
    </w:lvl>
    <w:lvl w:ilvl="6">
      <w:start w:val="1"/>
      <w:numFmt w:val="bullet"/>
      <w:lvlText w:val=""/>
      <w:lvlJc w:val="left"/>
      <w:pPr>
        <w:tabs>
          <w:tab w:val="num" w:pos="2880"/>
        </w:tabs>
        <w:ind w:left="2880" w:hanging="360"/>
      </w:pPr>
      <w:rPr>
        <w:rFonts w:ascii="Wingdings" w:hAnsi="Wingdings" w:cs="StarSymbol"/>
        <w:sz w:val="18"/>
        <w:szCs w:val="18"/>
      </w:rPr>
    </w:lvl>
    <w:lvl w:ilvl="7">
      <w:start w:val="1"/>
      <w:numFmt w:val="bullet"/>
      <w:lvlText w:val=""/>
      <w:lvlJc w:val="left"/>
      <w:pPr>
        <w:tabs>
          <w:tab w:val="num" w:pos="3240"/>
        </w:tabs>
        <w:ind w:left="3240" w:hanging="360"/>
      </w:pPr>
      <w:rPr>
        <w:rFonts w:ascii="Wingdings 2" w:hAnsi="Wingdings 2" w:cs="StarSymbol"/>
        <w:sz w:val="18"/>
        <w:szCs w:val="18"/>
      </w:rPr>
    </w:lvl>
    <w:lvl w:ilvl="8">
      <w:start w:val="1"/>
      <w:numFmt w:val="bullet"/>
      <w:lvlText w:val="■"/>
      <w:lvlJc w:val="left"/>
      <w:pPr>
        <w:tabs>
          <w:tab w:val="num" w:pos="3600"/>
        </w:tabs>
        <w:ind w:left="3600" w:hanging="360"/>
      </w:pPr>
      <w:rPr>
        <w:rFonts w:ascii="StarSymbol" w:hAnsi="StarSymbol" w:cs="StarSymbol"/>
        <w:sz w:val="18"/>
        <w:szCs w:val="18"/>
      </w:rPr>
    </w:lvl>
  </w:abstractNum>
  <w:abstractNum w:abstractNumId="13" w15:restartNumberingAfterBreak="0">
    <w:nsid w:val="171E00CE"/>
    <w:multiLevelType w:val="hybridMultilevel"/>
    <w:tmpl w:val="3E6C2FEC"/>
    <w:lvl w:ilvl="0" w:tplc="C6681152">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4" w15:restartNumberingAfterBreak="0">
    <w:nsid w:val="1C4671E4"/>
    <w:multiLevelType w:val="hybridMultilevel"/>
    <w:tmpl w:val="C41AB586"/>
    <w:lvl w:ilvl="0" w:tplc="68BC4F38">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2FA50CDE"/>
    <w:multiLevelType w:val="hybridMultilevel"/>
    <w:tmpl w:val="AF70E410"/>
    <w:lvl w:ilvl="0" w:tplc="CED42018">
      <w:numFmt w:val="bullet"/>
      <w:lvlText w:val="-"/>
      <w:lvlJc w:val="left"/>
      <w:pPr>
        <w:ind w:left="4800" w:hanging="360"/>
      </w:pPr>
      <w:rPr>
        <w:rFonts w:ascii="Times New Roman" w:eastAsia="Times New Roman" w:hAnsi="Times New Roman" w:cs="Times New Roman" w:hint="default"/>
      </w:rPr>
    </w:lvl>
    <w:lvl w:ilvl="1" w:tplc="04050003" w:tentative="1">
      <w:start w:val="1"/>
      <w:numFmt w:val="bullet"/>
      <w:lvlText w:val="o"/>
      <w:lvlJc w:val="left"/>
      <w:pPr>
        <w:ind w:left="5520" w:hanging="360"/>
      </w:pPr>
      <w:rPr>
        <w:rFonts w:ascii="Courier New" w:hAnsi="Courier New" w:cs="Courier New" w:hint="default"/>
      </w:rPr>
    </w:lvl>
    <w:lvl w:ilvl="2" w:tplc="04050005" w:tentative="1">
      <w:start w:val="1"/>
      <w:numFmt w:val="bullet"/>
      <w:lvlText w:val=""/>
      <w:lvlJc w:val="left"/>
      <w:pPr>
        <w:ind w:left="6240" w:hanging="360"/>
      </w:pPr>
      <w:rPr>
        <w:rFonts w:ascii="Wingdings" w:hAnsi="Wingdings" w:hint="default"/>
      </w:rPr>
    </w:lvl>
    <w:lvl w:ilvl="3" w:tplc="04050001" w:tentative="1">
      <w:start w:val="1"/>
      <w:numFmt w:val="bullet"/>
      <w:lvlText w:val=""/>
      <w:lvlJc w:val="left"/>
      <w:pPr>
        <w:ind w:left="6960" w:hanging="360"/>
      </w:pPr>
      <w:rPr>
        <w:rFonts w:ascii="Symbol" w:hAnsi="Symbol" w:hint="default"/>
      </w:rPr>
    </w:lvl>
    <w:lvl w:ilvl="4" w:tplc="04050003" w:tentative="1">
      <w:start w:val="1"/>
      <w:numFmt w:val="bullet"/>
      <w:lvlText w:val="o"/>
      <w:lvlJc w:val="left"/>
      <w:pPr>
        <w:ind w:left="7680" w:hanging="360"/>
      </w:pPr>
      <w:rPr>
        <w:rFonts w:ascii="Courier New" w:hAnsi="Courier New" w:cs="Courier New" w:hint="default"/>
      </w:rPr>
    </w:lvl>
    <w:lvl w:ilvl="5" w:tplc="04050005" w:tentative="1">
      <w:start w:val="1"/>
      <w:numFmt w:val="bullet"/>
      <w:lvlText w:val=""/>
      <w:lvlJc w:val="left"/>
      <w:pPr>
        <w:ind w:left="8400" w:hanging="360"/>
      </w:pPr>
      <w:rPr>
        <w:rFonts w:ascii="Wingdings" w:hAnsi="Wingdings" w:hint="default"/>
      </w:rPr>
    </w:lvl>
    <w:lvl w:ilvl="6" w:tplc="04050001" w:tentative="1">
      <w:start w:val="1"/>
      <w:numFmt w:val="bullet"/>
      <w:lvlText w:val=""/>
      <w:lvlJc w:val="left"/>
      <w:pPr>
        <w:ind w:left="9120" w:hanging="360"/>
      </w:pPr>
      <w:rPr>
        <w:rFonts w:ascii="Symbol" w:hAnsi="Symbol" w:hint="default"/>
      </w:rPr>
    </w:lvl>
    <w:lvl w:ilvl="7" w:tplc="04050003" w:tentative="1">
      <w:start w:val="1"/>
      <w:numFmt w:val="bullet"/>
      <w:lvlText w:val="o"/>
      <w:lvlJc w:val="left"/>
      <w:pPr>
        <w:ind w:left="9840" w:hanging="360"/>
      </w:pPr>
      <w:rPr>
        <w:rFonts w:ascii="Courier New" w:hAnsi="Courier New" w:cs="Courier New" w:hint="default"/>
      </w:rPr>
    </w:lvl>
    <w:lvl w:ilvl="8" w:tplc="04050005" w:tentative="1">
      <w:start w:val="1"/>
      <w:numFmt w:val="bullet"/>
      <w:lvlText w:val=""/>
      <w:lvlJc w:val="left"/>
      <w:pPr>
        <w:ind w:left="10560" w:hanging="360"/>
      </w:pPr>
      <w:rPr>
        <w:rFonts w:ascii="Wingdings" w:hAnsi="Wingdings" w:hint="default"/>
      </w:rPr>
    </w:lvl>
  </w:abstractNum>
  <w:abstractNum w:abstractNumId="16" w15:restartNumberingAfterBreak="0">
    <w:nsid w:val="30D926C9"/>
    <w:multiLevelType w:val="hybridMultilevel"/>
    <w:tmpl w:val="34C85BCC"/>
    <w:lvl w:ilvl="0" w:tplc="2FA4198A">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176E1F"/>
    <w:multiLevelType w:val="singleLevel"/>
    <w:tmpl w:val="292029E8"/>
    <w:lvl w:ilvl="0">
      <w:start w:val="1"/>
      <w:numFmt w:val="decimal"/>
      <w:lvlText w:val="%1)"/>
      <w:lvlJc w:val="left"/>
      <w:pPr>
        <w:tabs>
          <w:tab w:val="num" w:pos="360"/>
        </w:tabs>
        <w:ind w:left="360" w:hanging="360"/>
      </w:pPr>
      <w:rPr>
        <w:rFonts w:hint="default"/>
      </w:rPr>
    </w:lvl>
  </w:abstractNum>
  <w:abstractNum w:abstractNumId="18" w15:restartNumberingAfterBreak="0">
    <w:nsid w:val="3D400F7E"/>
    <w:multiLevelType w:val="hybridMultilevel"/>
    <w:tmpl w:val="F4D2E348"/>
    <w:lvl w:ilvl="0" w:tplc="D5C22A5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0"/>
        </w:tabs>
        <w:ind w:left="0" w:hanging="360"/>
      </w:pPr>
    </w:lvl>
    <w:lvl w:ilvl="2" w:tplc="0405001B" w:tentative="1">
      <w:start w:val="1"/>
      <w:numFmt w:val="lowerRoman"/>
      <w:lvlText w:val="%3."/>
      <w:lvlJc w:val="right"/>
      <w:pPr>
        <w:tabs>
          <w:tab w:val="num" w:pos="720"/>
        </w:tabs>
        <w:ind w:left="720" w:hanging="180"/>
      </w:pPr>
    </w:lvl>
    <w:lvl w:ilvl="3" w:tplc="0405000F" w:tentative="1">
      <w:start w:val="1"/>
      <w:numFmt w:val="decimal"/>
      <w:lvlText w:val="%4."/>
      <w:lvlJc w:val="left"/>
      <w:pPr>
        <w:tabs>
          <w:tab w:val="num" w:pos="1440"/>
        </w:tabs>
        <w:ind w:left="1440" w:hanging="360"/>
      </w:pPr>
    </w:lvl>
    <w:lvl w:ilvl="4" w:tplc="04050019" w:tentative="1">
      <w:start w:val="1"/>
      <w:numFmt w:val="lowerLetter"/>
      <w:lvlText w:val="%5."/>
      <w:lvlJc w:val="left"/>
      <w:pPr>
        <w:tabs>
          <w:tab w:val="num" w:pos="2160"/>
        </w:tabs>
        <w:ind w:left="2160" w:hanging="360"/>
      </w:pPr>
    </w:lvl>
    <w:lvl w:ilvl="5" w:tplc="0405001B" w:tentative="1">
      <w:start w:val="1"/>
      <w:numFmt w:val="lowerRoman"/>
      <w:lvlText w:val="%6."/>
      <w:lvlJc w:val="right"/>
      <w:pPr>
        <w:tabs>
          <w:tab w:val="num" w:pos="2880"/>
        </w:tabs>
        <w:ind w:left="2880" w:hanging="180"/>
      </w:pPr>
    </w:lvl>
    <w:lvl w:ilvl="6" w:tplc="0405000F" w:tentative="1">
      <w:start w:val="1"/>
      <w:numFmt w:val="decimal"/>
      <w:lvlText w:val="%7."/>
      <w:lvlJc w:val="left"/>
      <w:pPr>
        <w:tabs>
          <w:tab w:val="num" w:pos="3600"/>
        </w:tabs>
        <w:ind w:left="3600" w:hanging="360"/>
      </w:pPr>
    </w:lvl>
    <w:lvl w:ilvl="7" w:tplc="04050019" w:tentative="1">
      <w:start w:val="1"/>
      <w:numFmt w:val="lowerLetter"/>
      <w:lvlText w:val="%8."/>
      <w:lvlJc w:val="left"/>
      <w:pPr>
        <w:tabs>
          <w:tab w:val="num" w:pos="4320"/>
        </w:tabs>
        <w:ind w:left="4320" w:hanging="360"/>
      </w:pPr>
    </w:lvl>
    <w:lvl w:ilvl="8" w:tplc="0405001B" w:tentative="1">
      <w:start w:val="1"/>
      <w:numFmt w:val="lowerRoman"/>
      <w:lvlText w:val="%9."/>
      <w:lvlJc w:val="right"/>
      <w:pPr>
        <w:tabs>
          <w:tab w:val="num" w:pos="5040"/>
        </w:tabs>
        <w:ind w:left="5040" w:hanging="180"/>
      </w:pPr>
    </w:lvl>
  </w:abstractNum>
  <w:abstractNum w:abstractNumId="19" w15:restartNumberingAfterBreak="0">
    <w:nsid w:val="41C31CEA"/>
    <w:multiLevelType w:val="hybridMultilevel"/>
    <w:tmpl w:val="DA2444DE"/>
    <w:lvl w:ilvl="0" w:tplc="ED76564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0" w15:restartNumberingAfterBreak="0">
    <w:nsid w:val="48507022"/>
    <w:multiLevelType w:val="multilevel"/>
    <w:tmpl w:val="46D4A778"/>
    <w:lvl w:ilvl="0">
      <w:start w:val="1"/>
      <w:numFmt w:val="bullet"/>
      <w:lvlText w:val=""/>
      <w:lvlJc w:val="left"/>
      <w:pPr>
        <w:tabs>
          <w:tab w:val="num" w:pos="720"/>
        </w:tabs>
        <w:ind w:left="720" w:hanging="360"/>
      </w:pPr>
      <w:rPr>
        <w:rFonts w:ascii="Symbol" w:hAnsi="Symbol" w:hint="default"/>
        <w:sz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AD9339B"/>
    <w:multiLevelType w:val="hybridMultilevel"/>
    <w:tmpl w:val="1D022BF8"/>
    <w:lvl w:ilvl="0" w:tplc="F4BC8920">
      <w:start w:val="1"/>
      <w:numFmt w:val="decimal"/>
      <w:lvlText w:val="%1)"/>
      <w:lvlJc w:val="left"/>
      <w:pPr>
        <w:tabs>
          <w:tab w:val="num" w:pos="1278"/>
        </w:tabs>
        <w:ind w:left="1278" w:hanging="360"/>
      </w:pPr>
    </w:lvl>
    <w:lvl w:ilvl="1" w:tplc="04050019" w:tentative="1">
      <w:start w:val="1"/>
      <w:numFmt w:val="lowerLetter"/>
      <w:lvlText w:val="%2."/>
      <w:lvlJc w:val="left"/>
      <w:pPr>
        <w:tabs>
          <w:tab w:val="num" w:pos="1998"/>
        </w:tabs>
        <w:ind w:left="1998" w:hanging="360"/>
      </w:pPr>
    </w:lvl>
    <w:lvl w:ilvl="2" w:tplc="0405001B" w:tentative="1">
      <w:start w:val="1"/>
      <w:numFmt w:val="lowerRoman"/>
      <w:lvlText w:val="%3."/>
      <w:lvlJc w:val="right"/>
      <w:pPr>
        <w:tabs>
          <w:tab w:val="num" w:pos="2718"/>
        </w:tabs>
        <w:ind w:left="2718" w:hanging="180"/>
      </w:pPr>
    </w:lvl>
    <w:lvl w:ilvl="3" w:tplc="0405000F" w:tentative="1">
      <w:start w:val="1"/>
      <w:numFmt w:val="decimal"/>
      <w:lvlText w:val="%4."/>
      <w:lvlJc w:val="left"/>
      <w:pPr>
        <w:tabs>
          <w:tab w:val="num" w:pos="3438"/>
        </w:tabs>
        <w:ind w:left="3438" w:hanging="360"/>
      </w:pPr>
    </w:lvl>
    <w:lvl w:ilvl="4" w:tplc="04050019" w:tentative="1">
      <w:start w:val="1"/>
      <w:numFmt w:val="lowerLetter"/>
      <w:lvlText w:val="%5."/>
      <w:lvlJc w:val="left"/>
      <w:pPr>
        <w:tabs>
          <w:tab w:val="num" w:pos="4158"/>
        </w:tabs>
        <w:ind w:left="4158" w:hanging="360"/>
      </w:pPr>
    </w:lvl>
    <w:lvl w:ilvl="5" w:tplc="0405001B" w:tentative="1">
      <w:start w:val="1"/>
      <w:numFmt w:val="lowerRoman"/>
      <w:lvlText w:val="%6."/>
      <w:lvlJc w:val="right"/>
      <w:pPr>
        <w:tabs>
          <w:tab w:val="num" w:pos="4878"/>
        </w:tabs>
        <w:ind w:left="4878" w:hanging="180"/>
      </w:pPr>
    </w:lvl>
    <w:lvl w:ilvl="6" w:tplc="0405000F" w:tentative="1">
      <w:start w:val="1"/>
      <w:numFmt w:val="decimal"/>
      <w:lvlText w:val="%7."/>
      <w:lvlJc w:val="left"/>
      <w:pPr>
        <w:tabs>
          <w:tab w:val="num" w:pos="5598"/>
        </w:tabs>
        <w:ind w:left="5598" w:hanging="360"/>
      </w:pPr>
    </w:lvl>
    <w:lvl w:ilvl="7" w:tplc="04050019" w:tentative="1">
      <w:start w:val="1"/>
      <w:numFmt w:val="lowerLetter"/>
      <w:lvlText w:val="%8."/>
      <w:lvlJc w:val="left"/>
      <w:pPr>
        <w:tabs>
          <w:tab w:val="num" w:pos="6318"/>
        </w:tabs>
        <w:ind w:left="6318" w:hanging="360"/>
      </w:pPr>
    </w:lvl>
    <w:lvl w:ilvl="8" w:tplc="0405001B" w:tentative="1">
      <w:start w:val="1"/>
      <w:numFmt w:val="lowerRoman"/>
      <w:lvlText w:val="%9."/>
      <w:lvlJc w:val="right"/>
      <w:pPr>
        <w:tabs>
          <w:tab w:val="num" w:pos="7038"/>
        </w:tabs>
        <w:ind w:left="7038" w:hanging="180"/>
      </w:pPr>
    </w:lvl>
  </w:abstractNum>
  <w:abstractNum w:abstractNumId="22" w15:restartNumberingAfterBreak="0">
    <w:nsid w:val="4B776C1C"/>
    <w:multiLevelType w:val="hybridMultilevel"/>
    <w:tmpl w:val="89367B9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15:restartNumberingAfterBreak="0">
    <w:nsid w:val="4DBA171A"/>
    <w:multiLevelType w:val="hybridMultilevel"/>
    <w:tmpl w:val="C492ABC2"/>
    <w:lvl w:ilvl="0" w:tplc="B2D4F736">
      <w:start w:val="1"/>
      <w:numFmt w:val="decimal"/>
      <w:lvlText w:val="[%1]"/>
      <w:lvlJc w:val="left"/>
      <w:pPr>
        <w:tabs>
          <w:tab w:val="num" w:pos="397"/>
        </w:tabs>
        <w:ind w:left="397" w:hanging="397"/>
      </w:pPr>
      <w:rPr>
        <w:rFonts w:hint="default"/>
        <w:i w:val="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BC62B6"/>
    <w:multiLevelType w:val="hybridMultilevel"/>
    <w:tmpl w:val="74CC399E"/>
    <w:lvl w:ilvl="0" w:tplc="CB1ED8B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5" w15:restartNumberingAfterBreak="0">
    <w:nsid w:val="4F6E0775"/>
    <w:multiLevelType w:val="hybridMultilevel"/>
    <w:tmpl w:val="49F0ECEE"/>
    <w:lvl w:ilvl="0" w:tplc="FF924EF2">
      <w:start w:val="1"/>
      <w:numFmt w:val="decimal"/>
      <w:pStyle w:val="Seznamliteratury"/>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6" w15:restartNumberingAfterBreak="0">
    <w:nsid w:val="50383994"/>
    <w:multiLevelType w:val="hybridMultilevel"/>
    <w:tmpl w:val="4D14639A"/>
    <w:lvl w:ilvl="0" w:tplc="9CE8DEF8">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7" w15:restartNumberingAfterBreak="0">
    <w:nsid w:val="566A74B5"/>
    <w:multiLevelType w:val="multilevel"/>
    <w:tmpl w:val="BE9AD2CC"/>
    <w:styleLink w:val="Styl4"/>
    <w:lvl w:ilvl="0">
      <w:start w:val="1"/>
      <w:numFmt w:val="bullet"/>
      <w:lvlText w:val=""/>
      <w:lvlJc w:val="left"/>
      <w:pPr>
        <w:tabs>
          <w:tab w:val="num" w:pos="720"/>
        </w:tabs>
        <w:ind w:left="720" w:hanging="360"/>
      </w:pPr>
      <w:rPr>
        <w:rFonts w:ascii="Symbol" w:hAnsi="Symbol" w:hint="default"/>
        <w:sz w:val="24"/>
      </w:rPr>
    </w:lvl>
    <w:lvl w:ilvl="1">
      <w:start w:val="1"/>
      <w:numFmt w:val="bullet"/>
      <w:lvlText w:val=""/>
      <w:lvlJc w:val="left"/>
      <w:pPr>
        <w:tabs>
          <w:tab w:val="num" w:pos="360"/>
        </w:tabs>
        <w:ind w:left="360" w:hanging="360"/>
      </w:pPr>
      <w:rPr>
        <w:rFonts w:ascii="Symbol" w:hAnsi="Symbol"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8CA01D0"/>
    <w:multiLevelType w:val="hybridMultilevel"/>
    <w:tmpl w:val="C82E3E8A"/>
    <w:lvl w:ilvl="0" w:tplc="A49CA48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B8F393F"/>
    <w:multiLevelType w:val="hybridMultilevel"/>
    <w:tmpl w:val="C2245ECC"/>
    <w:lvl w:ilvl="0" w:tplc="4B4ADAD2">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0" w15:restartNumberingAfterBreak="0">
    <w:nsid w:val="63A335A4"/>
    <w:multiLevelType w:val="hybridMultilevel"/>
    <w:tmpl w:val="0E5894E8"/>
    <w:lvl w:ilvl="0" w:tplc="40F0AFC6">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1" w15:restartNumberingAfterBreak="0">
    <w:nsid w:val="78632FA8"/>
    <w:multiLevelType w:val="hybridMultilevel"/>
    <w:tmpl w:val="6EC84BFA"/>
    <w:lvl w:ilvl="0" w:tplc="8E48E382">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2" w15:restartNumberingAfterBreak="0">
    <w:nsid w:val="79B72F48"/>
    <w:multiLevelType w:val="hybridMultilevel"/>
    <w:tmpl w:val="121E6358"/>
    <w:lvl w:ilvl="0" w:tplc="4432B258">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3" w15:restartNumberingAfterBreak="0">
    <w:nsid w:val="7A1C48D1"/>
    <w:multiLevelType w:val="multilevel"/>
    <w:tmpl w:val="4C361BDE"/>
    <w:lvl w:ilvl="0">
      <w:start w:val="1"/>
      <w:numFmt w:val="decimal"/>
      <w:lvlText w:val="%1)"/>
      <w:lvlJc w:val="left"/>
      <w:pPr>
        <w:tabs>
          <w:tab w:val="num" w:pos="720"/>
        </w:tabs>
        <w:ind w:left="720" w:hanging="360"/>
      </w:pPr>
      <w:rPr>
        <w:rFonts w:ascii="Times New Roman" w:hAnsi="Times New Roman" w:hint="default"/>
        <w:sz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4"/>
  </w:num>
  <w:num w:numId="2">
    <w:abstractNumId w:val="26"/>
  </w:num>
  <w:num w:numId="3">
    <w:abstractNumId w:val="26"/>
  </w:num>
  <w:num w:numId="4">
    <w:abstractNumId w:val="27"/>
  </w:num>
  <w:num w:numId="5">
    <w:abstractNumId w:val="20"/>
  </w:num>
  <w:num w:numId="6">
    <w:abstractNumId w:val="19"/>
  </w:num>
  <w:num w:numId="7">
    <w:abstractNumId w:val="19"/>
  </w:num>
  <w:num w:numId="8">
    <w:abstractNumId w:val="12"/>
  </w:num>
  <w:num w:numId="9">
    <w:abstractNumId w:val="13"/>
  </w:num>
  <w:num w:numId="10">
    <w:abstractNumId w:val="30"/>
  </w:num>
  <w:num w:numId="11">
    <w:abstractNumId w:val="10"/>
  </w:num>
  <w:num w:numId="12">
    <w:abstractNumId w:val="28"/>
  </w:num>
  <w:num w:numId="13">
    <w:abstractNumId w:val="18"/>
  </w:num>
  <w:num w:numId="14">
    <w:abstractNumId w:val="23"/>
  </w:num>
  <w:num w:numId="15">
    <w:abstractNumId w:val="14"/>
  </w:num>
  <w:num w:numId="16">
    <w:abstractNumId w:val="17"/>
  </w:num>
  <w:num w:numId="17">
    <w:abstractNumId w:val="29"/>
  </w:num>
  <w:num w:numId="18">
    <w:abstractNumId w:val="21"/>
  </w:num>
  <w:num w:numId="19">
    <w:abstractNumId w:val="23"/>
  </w:num>
  <w:num w:numId="20">
    <w:abstractNumId w:val="16"/>
  </w:num>
  <w:num w:numId="21">
    <w:abstractNumId w:val="33"/>
  </w:num>
  <w:num w:numId="22">
    <w:abstractNumId w:val="21"/>
  </w:num>
  <w:num w:numId="23">
    <w:abstractNumId w:val="21"/>
    <w:lvlOverride w:ilvl="0">
      <w:startOverride w:val="1"/>
    </w:lvlOverride>
  </w:num>
  <w:num w:numId="24">
    <w:abstractNumId w:val="11"/>
  </w:num>
  <w:num w:numId="25">
    <w:abstractNumId w:val="11"/>
  </w:num>
  <w:num w:numId="26">
    <w:abstractNumId w:val="26"/>
  </w:num>
  <w:num w:numId="27">
    <w:abstractNumId w:val="15"/>
  </w:num>
  <w:num w:numId="28">
    <w:abstractNumId w:val="31"/>
  </w:num>
  <w:num w:numId="29">
    <w:abstractNumId w:val="8"/>
  </w:num>
  <w:num w:numId="30">
    <w:abstractNumId w:val="3"/>
  </w:num>
  <w:num w:numId="31">
    <w:abstractNumId w:val="2"/>
  </w:num>
  <w:num w:numId="32">
    <w:abstractNumId w:val="1"/>
  </w:num>
  <w:num w:numId="33">
    <w:abstractNumId w:val="0"/>
  </w:num>
  <w:num w:numId="34">
    <w:abstractNumId w:val="9"/>
  </w:num>
  <w:num w:numId="35">
    <w:abstractNumId w:val="7"/>
  </w:num>
  <w:num w:numId="36">
    <w:abstractNumId w:val="6"/>
  </w:num>
  <w:num w:numId="37">
    <w:abstractNumId w:val="5"/>
  </w:num>
  <w:num w:numId="38">
    <w:abstractNumId w:val="4"/>
  </w:num>
  <w:num w:numId="39">
    <w:abstractNumId w:val="32"/>
  </w:num>
  <w:num w:numId="40">
    <w:abstractNumId w:val="22"/>
  </w:num>
  <w:num w:numId="41">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proofState w:spelling="clean"/>
  <w:attachedTemplate r:id="rId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evenAndOddHeaders/>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34D9"/>
    <w:rsid w:val="00031EB7"/>
    <w:rsid w:val="00057CBF"/>
    <w:rsid w:val="000740BE"/>
    <w:rsid w:val="00074A17"/>
    <w:rsid w:val="000761BC"/>
    <w:rsid w:val="00080EFC"/>
    <w:rsid w:val="000834D0"/>
    <w:rsid w:val="00087016"/>
    <w:rsid w:val="000A71CE"/>
    <w:rsid w:val="000B535E"/>
    <w:rsid w:val="000D01DD"/>
    <w:rsid w:val="00117771"/>
    <w:rsid w:val="00124275"/>
    <w:rsid w:val="00137887"/>
    <w:rsid w:val="00144BC2"/>
    <w:rsid w:val="001741F0"/>
    <w:rsid w:val="00177757"/>
    <w:rsid w:val="001800C7"/>
    <w:rsid w:val="00182032"/>
    <w:rsid w:val="00186A85"/>
    <w:rsid w:val="00193AAF"/>
    <w:rsid w:val="001A2179"/>
    <w:rsid w:val="001A36F2"/>
    <w:rsid w:val="001C7DB4"/>
    <w:rsid w:val="001E158D"/>
    <w:rsid w:val="001E4A2B"/>
    <w:rsid w:val="00250D4E"/>
    <w:rsid w:val="0025175F"/>
    <w:rsid w:val="00251E1A"/>
    <w:rsid w:val="00253966"/>
    <w:rsid w:val="002659BD"/>
    <w:rsid w:val="00267F31"/>
    <w:rsid w:val="00271606"/>
    <w:rsid w:val="00292D4E"/>
    <w:rsid w:val="002A70FC"/>
    <w:rsid w:val="002A7CC1"/>
    <w:rsid w:val="002B2929"/>
    <w:rsid w:val="002B7F47"/>
    <w:rsid w:val="00307748"/>
    <w:rsid w:val="00310FAD"/>
    <w:rsid w:val="00314424"/>
    <w:rsid w:val="00326677"/>
    <w:rsid w:val="00350DA1"/>
    <w:rsid w:val="00351A5D"/>
    <w:rsid w:val="003758A8"/>
    <w:rsid w:val="00375DB8"/>
    <w:rsid w:val="003931F7"/>
    <w:rsid w:val="003C267B"/>
    <w:rsid w:val="003D3F72"/>
    <w:rsid w:val="003D561C"/>
    <w:rsid w:val="00405D0D"/>
    <w:rsid w:val="00426AD3"/>
    <w:rsid w:val="004518A1"/>
    <w:rsid w:val="00461F6B"/>
    <w:rsid w:val="00463673"/>
    <w:rsid w:val="00486FF3"/>
    <w:rsid w:val="00493033"/>
    <w:rsid w:val="004A0E72"/>
    <w:rsid w:val="004A2AC4"/>
    <w:rsid w:val="004B6E4B"/>
    <w:rsid w:val="004C6635"/>
    <w:rsid w:val="004E50B1"/>
    <w:rsid w:val="00502289"/>
    <w:rsid w:val="00505531"/>
    <w:rsid w:val="00530D16"/>
    <w:rsid w:val="00536990"/>
    <w:rsid w:val="0057113A"/>
    <w:rsid w:val="005C0DED"/>
    <w:rsid w:val="005D7AA9"/>
    <w:rsid w:val="00615378"/>
    <w:rsid w:val="00631A25"/>
    <w:rsid w:val="00653FF9"/>
    <w:rsid w:val="006645C0"/>
    <w:rsid w:val="006704D3"/>
    <w:rsid w:val="0067415D"/>
    <w:rsid w:val="00694675"/>
    <w:rsid w:val="006A3FE1"/>
    <w:rsid w:val="006A5CB5"/>
    <w:rsid w:val="006D0B73"/>
    <w:rsid w:val="006D4EAD"/>
    <w:rsid w:val="006D6DF5"/>
    <w:rsid w:val="006D72A7"/>
    <w:rsid w:val="00700EFE"/>
    <w:rsid w:val="00741439"/>
    <w:rsid w:val="007462AF"/>
    <w:rsid w:val="00754B15"/>
    <w:rsid w:val="00774B0C"/>
    <w:rsid w:val="0078188B"/>
    <w:rsid w:val="0079336C"/>
    <w:rsid w:val="007963ED"/>
    <w:rsid w:val="007B09C7"/>
    <w:rsid w:val="007B3177"/>
    <w:rsid w:val="007D0DCE"/>
    <w:rsid w:val="007D7FAC"/>
    <w:rsid w:val="007E4911"/>
    <w:rsid w:val="0080761D"/>
    <w:rsid w:val="008377A0"/>
    <w:rsid w:val="008448DA"/>
    <w:rsid w:val="00853C95"/>
    <w:rsid w:val="008551A6"/>
    <w:rsid w:val="00855A2E"/>
    <w:rsid w:val="0087216E"/>
    <w:rsid w:val="00883F38"/>
    <w:rsid w:val="00884805"/>
    <w:rsid w:val="008A16F8"/>
    <w:rsid w:val="008C1DD7"/>
    <w:rsid w:val="008D50B5"/>
    <w:rsid w:val="008E52D1"/>
    <w:rsid w:val="008E6D1D"/>
    <w:rsid w:val="008E7ABF"/>
    <w:rsid w:val="009069B6"/>
    <w:rsid w:val="00946321"/>
    <w:rsid w:val="009722FF"/>
    <w:rsid w:val="009778B3"/>
    <w:rsid w:val="009A36F1"/>
    <w:rsid w:val="009D78AA"/>
    <w:rsid w:val="009E4D60"/>
    <w:rsid w:val="009E66FF"/>
    <w:rsid w:val="00A165F1"/>
    <w:rsid w:val="00A20F90"/>
    <w:rsid w:val="00A318B4"/>
    <w:rsid w:val="00A37311"/>
    <w:rsid w:val="00A64C62"/>
    <w:rsid w:val="00A953C0"/>
    <w:rsid w:val="00AA1EE8"/>
    <w:rsid w:val="00AA76D4"/>
    <w:rsid w:val="00AA7B93"/>
    <w:rsid w:val="00AB47A6"/>
    <w:rsid w:val="00AE4718"/>
    <w:rsid w:val="00B01285"/>
    <w:rsid w:val="00B12157"/>
    <w:rsid w:val="00B20B3E"/>
    <w:rsid w:val="00B255A6"/>
    <w:rsid w:val="00B318AC"/>
    <w:rsid w:val="00B5719A"/>
    <w:rsid w:val="00B809A4"/>
    <w:rsid w:val="00BA1628"/>
    <w:rsid w:val="00BC6E21"/>
    <w:rsid w:val="00BD6F26"/>
    <w:rsid w:val="00BF3E84"/>
    <w:rsid w:val="00C4080F"/>
    <w:rsid w:val="00C55287"/>
    <w:rsid w:val="00C943D3"/>
    <w:rsid w:val="00C94DFC"/>
    <w:rsid w:val="00C977AE"/>
    <w:rsid w:val="00CC23A0"/>
    <w:rsid w:val="00CC5671"/>
    <w:rsid w:val="00CD08F7"/>
    <w:rsid w:val="00CF3403"/>
    <w:rsid w:val="00D00989"/>
    <w:rsid w:val="00D22390"/>
    <w:rsid w:val="00D6769D"/>
    <w:rsid w:val="00D91712"/>
    <w:rsid w:val="00DE7771"/>
    <w:rsid w:val="00DF34D9"/>
    <w:rsid w:val="00DF7765"/>
    <w:rsid w:val="00E0030B"/>
    <w:rsid w:val="00E147C1"/>
    <w:rsid w:val="00E2699E"/>
    <w:rsid w:val="00E42F23"/>
    <w:rsid w:val="00E56C4E"/>
    <w:rsid w:val="00E647A1"/>
    <w:rsid w:val="00E70CD8"/>
    <w:rsid w:val="00E72FFC"/>
    <w:rsid w:val="00E82720"/>
    <w:rsid w:val="00EB18D7"/>
    <w:rsid w:val="00EB435A"/>
    <w:rsid w:val="00ED0993"/>
    <w:rsid w:val="00EE3EA7"/>
    <w:rsid w:val="00EF02E4"/>
    <w:rsid w:val="00F65125"/>
    <w:rsid w:val="00F7139B"/>
    <w:rsid w:val="00FA4304"/>
    <w:rsid w:val="00FE5EFC"/>
    <w:rsid w:val="00FF4F9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4:docId w14:val="10D8EFEB"/>
  <w15:docId w15:val="{F5475F3A-F926-47E2-A745-7159F32AF2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1">
    <w:lsdException w:name="heading 2" w:qFormat="1"/>
    <w:lsdException w:name="heading 3"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qFormat="1"/>
    <w:lsdException w:name="List 2" w:semiHidden="1" w:unhideWhenUsed="1"/>
    <w:lsdException w:name="List 3" w:semiHidden="1" w:unhideWhenUsed="1"/>
    <w:lsdException w:name="List Bullet 2" w:semiHidden="1" w:unhideWhenUsed="1"/>
    <w:lsdException w:name="List Bullet 3" w:semiHidden="1" w:unhideWhenUsed="1" w:qFormat="1"/>
    <w:lsdException w:name="List Bullet 4" w:semiHidden="1" w:unhideWhenUsed="1"/>
    <w:lsdException w:name="List Bullet 5" w:semiHidden="1" w:unhideWhenUsed="1"/>
    <w:lsdException w:name="List Number 2" w:semiHidden="1" w:unhideWhenUsed="1"/>
    <w:lsdException w:name="List Number 3" w:semiHidden="1" w:unhideWhenUsed="1" w:qFormat="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rsid w:val="007462AF"/>
    <w:pPr>
      <w:spacing w:after="120"/>
    </w:pPr>
    <w:rPr>
      <w:sz w:val="24"/>
      <w:szCs w:val="24"/>
    </w:rPr>
  </w:style>
  <w:style w:type="paragraph" w:styleId="Nadpis1">
    <w:name w:val="heading 1"/>
    <w:basedOn w:val="Nadpis2"/>
    <w:next w:val="Zkladntext"/>
    <w:link w:val="Nadpis1Char"/>
    <w:autoRedefine/>
    <w:rsid w:val="001E4A2B"/>
    <w:pPr>
      <w:spacing w:before="360"/>
      <w:outlineLvl w:val="0"/>
    </w:pPr>
    <w:rPr>
      <w:rFonts w:ascii="Times New Roman" w:hAnsi="Times New Roman" w:cs="Times New Roman"/>
      <w:sz w:val="26"/>
    </w:rPr>
  </w:style>
  <w:style w:type="paragraph" w:styleId="Nadpis2">
    <w:name w:val="heading 2"/>
    <w:basedOn w:val="Normln"/>
    <w:next w:val="Zkladntext"/>
    <w:link w:val="Nadpis2Char"/>
    <w:autoRedefine/>
    <w:qFormat/>
    <w:rsid w:val="008E7ABF"/>
    <w:pPr>
      <w:keepNext/>
      <w:keepLines/>
      <w:spacing w:before="240"/>
      <w:outlineLvl w:val="1"/>
    </w:pPr>
    <w:rPr>
      <w:rFonts w:ascii="Times" w:hAnsi="Times" w:cs="Times"/>
      <w:b/>
      <w:bCs/>
      <w:iCs/>
      <w:szCs w:val="26"/>
      <w:lang w:val="en-GB" w:eastAsia="en-US"/>
    </w:rPr>
  </w:style>
  <w:style w:type="paragraph" w:styleId="Nadpis4">
    <w:name w:val="heading 4"/>
    <w:basedOn w:val="Normln"/>
    <w:next w:val="Normln"/>
    <w:link w:val="Nadpis4Char"/>
    <w:autoRedefine/>
    <w:rsid w:val="00D91712"/>
    <w:pPr>
      <w:keepNext/>
      <w:outlineLvl w:val="3"/>
    </w:pPr>
    <w:rPr>
      <w:b/>
      <w:caps/>
      <w:sz w:val="28"/>
    </w:rPr>
  </w:style>
  <w:style w:type="paragraph" w:styleId="Nadpis5">
    <w:name w:val="heading 5"/>
    <w:basedOn w:val="Normln"/>
    <w:next w:val="Normln"/>
    <w:link w:val="Nadpis5Char"/>
    <w:autoRedefine/>
    <w:rsid w:val="009778B3"/>
    <w:pPr>
      <w:keepNext/>
      <w:framePr w:hSpace="141" w:wrap="around" w:vAnchor="text" w:hAnchor="margin" w:xAlign="center" w:y="299"/>
      <w:widowControl w:val="0"/>
      <w:autoSpaceDE w:val="0"/>
      <w:autoSpaceDN w:val="0"/>
      <w:adjustRightInd w:val="0"/>
      <w:outlineLvl w:val="4"/>
    </w:pPr>
    <w:rPr>
      <w:b/>
      <w:iCs/>
      <w:color w:val="000000"/>
      <w:spacing w:val="-5"/>
      <w:sz w:val="28"/>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Seznamsodrkami">
    <w:name w:val="List Bullet"/>
    <w:basedOn w:val="Normln"/>
    <w:qFormat/>
    <w:rsid w:val="0080761D"/>
    <w:pPr>
      <w:numPr>
        <w:numId w:val="34"/>
      </w:numPr>
      <w:contextualSpacing/>
    </w:pPr>
  </w:style>
  <w:style w:type="paragraph" w:styleId="Textpoznpodarou">
    <w:name w:val="footnote text"/>
    <w:basedOn w:val="Normln"/>
    <w:link w:val="TextpoznpodarouChar"/>
    <w:rsid w:val="007462AF"/>
    <w:pPr>
      <w:spacing w:after="0"/>
    </w:pPr>
    <w:rPr>
      <w:sz w:val="20"/>
      <w:szCs w:val="20"/>
    </w:rPr>
  </w:style>
  <w:style w:type="character" w:customStyle="1" w:styleId="TextpoznpodarouChar">
    <w:name w:val="Text pozn. pod čarou Char"/>
    <w:basedOn w:val="Standardnpsmoodstavce"/>
    <w:link w:val="Textpoznpodarou"/>
    <w:rsid w:val="007462AF"/>
  </w:style>
  <w:style w:type="numbering" w:customStyle="1" w:styleId="Styl4">
    <w:name w:val="Styl4"/>
    <w:basedOn w:val="Bezseznamu"/>
    <w:rsid w:val="00BD6F26"/>
    <w:pPr>
      <w:numPr>
        <w:numId w:val="4"/>
      </w:numPr>
    </w:pPr>
  </w:style>
  <w:style w:type="character" w:styleId="Znakapoznpodarou">
    <w:name w:val="footnote reference"/>
    <w:rsid w:val="007462AF"/>
    <w:rPr>
      <w:vertAlign w:val="superscript"/>
    </w:rPr>
  </w:style>
  <w:style w:type="character" w:customStyle="1" w:styleId="Nadpis1Char">
    <w:name w:val="Nadpis 1 Char"/>
    <w:link w:val="Nadpis1"/>
    <w:rsid w:val="001E4A2B"/>
    <w:rPr>
      <w:b/>
      <w:bCs/>
      <w:iCs/>
      <w:sz w:val="26"/>
      <w:szCs w:val="26"/>
      <w:lang w:val="en-GB" w:eastAsia="en-US"/>
    </w:rPr>
  </w:style>
  <w:style w:type="paragraph" w:styleId="slovanseznam3">
    <w:name w:val="List Number 3"/>
    <w:basedOn w:val="Normln"/>
    <w:qFormat/>
    <w:rsid w:val="00A37311"/>
    <w:pPr>
      <w:numPr>
        <w:numId w:val="31"/>
      </w:numPr>
      <w:contextualSpacing/>
    </w:pPr>
  </w:style>
  <w:style w:type="character" w:customStyle="1" w:styleId="Nadpis2Char">
    <w:name w:val="Nadpis 2 Char"/>
    <w:link w:val="Nadpis2"/>
    <w:rsid w:val="008E7ABF"/>
    <w:rPr>
      <w:rFonts w:ascii="Times" w:hAnsi="Times" w:cs="Times"/>
      <w:b/>
      <w:bCs/>
      <w:iCs/>
      <w:sz w:val="24"/>
      <w:szCs w:val="26"/>
      <w:lang w:val="en-GB" w:eastAsia="en-US"/>
    </w:rPr>
  </w:style>
  <w:style w:type="paragraph" w:styleId="Obsah1">
    <w:name w:val="toc 1"/>
    <w:basedOn w:val="Nadpis1"/>
    <w:next w:val="Normln"/>
    <w:autoRedefine/>
    <w:semiHidden/>
    <w:rsid w:val="00D91712"/>
    <w:rPr>
      <w:sz w:val="24"/>
    </w:rPr>
  </w:style>
  <w:style w:type="character" w:customStyle="1" w:styleId="Nadpis4Char">
    <w:name w:val="Nadpis 4 Char"/>
    <w:link w:val="Nadpis4"/>
    <w:rsid w:val="00177757"/>
    <w:rPr>
      <w:b/>
      <w:caps/>
      <w:sz w:val="28"/>
      <w:szCs w:val="24"/>
    </w:rPr>
  </w:style>
  <w:style w:type="paragraph" w:styleId="Titulek">
    <w:name w:val="caption"/>
    <w:basedOn w:val="Normln"/>
    <w:next w:val="Normln"/>
    <w:unhideWhenUsed/>
    <w:qFormat/>
    <w:rsid w:val="0080761D"/>
    <w:pPr>
      <w:jc w:val="center"/>
    </w:pPr>
    <w:rPr>
      <w:b/>
      <w:bCs/>
      <w:sz w:val="20"/>
      <w:szCs w:val="20"/>
    </w:rPr>
  </w:style>
  <w:style w:type="table" w:styleId="Mkatabulky">
    <w:name w:val="Table Grid"/>
    <w:basedOn w:val="Normlntabulka"/>
    <w:rsid w:val="00350D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Jmeno">
    <w:name w:val="Jmeno"/>
    <w:basedOn w:val="Normln"/>
    <w:rsid w:val="009E66FF"/>
    <w:pPr>
      <w:jc w:val="both"/>
    </w:pPr>
    <w:rPr>
      <w:rFonts w:ascii="Times" w:eastAsia="Calibri" w:hAnsi="Times" w:cs="Times"/>
      <w:b/>
      <w:sz w:val="32"/>
      <w:szCs w:val="32"/>
      <w:lang w:eastAsia="en-US"/>
    </w:rPr>
  </w:style>
  <w:style w:type="paragraph" w:customStyle="1" w:styleId="Pracovit">
    <w:name w:val="Pracoviště"/>
    <w:basedOn w:val="Normln"/>
    <w:rsid w:val="00250D4E"/>
    <w:rPr>
      <w:snapToGrid w:val="0"/>
      <w:sz w:val="28"/>
      <w:szCs w:val="28"/>
      <w:lang w:val="en-GB" w:eastAsia="ru-RU"/>
    </w:rPr>
  </w:style>
  <w:style w:type="paragraph" w:customStyle="1" w:styleId="Seznamliteratury">
    <w:name w:val="Seznam literatury"/>
    <w:basedOn w:val="Zkladntext"/>
    <w:rsid w:val="00310FAD"/>
    <w:pPr>
      <w:numPr>
        <w:numId w:val="41"/>
      </w:numPr>
      <w:ind w:left="426"/>
      <w:jc w:val="left"/>
    </w:pPr>
  </w:style>
  <w:style w:type="character" w:customStyle="1" w:styleId="Nadpis5Char">
    <w:name w:val="Nadpis 5 Char"/>
    <w:link w:val="Nadpis5"/>
    <w:rsid w:val="00177757"/>
    <w:rPr>
      <w:b/>
      <w:iCs/>
      <w:color w:val="000000"/>
      <w:spacing w:val="-5"/>
      <w:sz w:val="28"/>
    </w:rPr>
  </w:style>
  <w:style w:type="paragraph" w:styleId="Nzev">
    <w:name w:val="Title"/>
    <w:basedOn w:val="Normln"/>
    <w:next w:val="Normln"/>
    <w:link w:val="NzevChar"/>
    <w:rsid w:val="00536990"/>
    <w:pPr>
      <w:spacing w:after="240"/>
      <w:contextualSpacing/>
    </w:pPr>
    <w:rPr>
      <w:b/>
      <w:spacing w:val="5"/>
      <w:kern w:val="28"/>
      <w:sz w:val="36"/>
      <w:szCs w:val="36"/>
      <w:lang w:val="en-GB" w:eastAsia="ar-SA"/>
    </w:rPr>
  </w:style>
  <w:style w:type="character" w:customStyle="1" w:styleId="NzevChar">
    <w:name w:val="Název Char"/>
    <w:link w:val="Nzev"/>
    <w:rsid w:val="00536990"/>
    <w:rPr>
      <w:rFonts w:eastAsia="Times New Roman" w:cs="Times New Roman"/>
      <w:b/>
      <w:spacing w:val="5"/>
      <w:kern w:val="28"/>
      <w:sz w:val="36"/>
      <w:szCs w:val="36"/>
      <w:lang w:val="en-GB" w:eastAsia="ar-SA"/>
    </w:rPr>
  </w:style>
  <w:style w:type="paragraph" w:styleId="Zkladntext">
    <w:name w:val="Body Text"/>
    <w:basedOn w:val="Normln"/>
    <w:link w:val="ZkladntextChar"/>
    <w:rsid w:val="009E66FF"/>
    <w:pPr>
      <w:jc w:val="both"/>
    </w:pPr>
    <w:rPr>
      <w:sz w:val="22"/>
      <w:szCs w:val="22"/>
      <w:lang w:val="en-GB" w:eastAsia="sk-SK"/>
    </w:rPr>
  </w:style>
  <w:style w:type="character" w:customStyle="1" w:styleId="ZkladntextChar">
    <w:name w:val="Základní text Char"/>
    <w:link w:val="Zkladntext"/>
    <w:rsid w:val="009E66FF"/>
    <w:rPr>
      <w:sz w:val="22"/>
      <w:szCs w:val="22"/>
      <w:lang w:val="en-GB" w:eastAsia="sk-SK"/>
    </w:rPr>
  </w:style>
  <w:style w:type="paragraph" w:styleId="Zhlav">
    <w:name w:val="header"/>
    <w:basedOn w:val="Normln"/>
    <w:link w:val="ZhlavChar"/>
    <w:rsid w:val="001E4A2B"/>
    <w:pPr>
      <w:tabs>
        <w:tab w:val="center" w:pos="4536"/>
        <w:tab w:val="right" w:pos="9072"/>
      </w:tabs>
      <w:spacing w:after="0"/>
    </w:pPr>
  </w:style>
  <w:style w:type="character" w:customStyle="1" w:styleId="ZhlavChar">
    <w:name w:val="Záhlaví Char"/>
    <w:link w:val="Zhlav"/>
    <w:uiPriority w:val="99"/>
    <w:rsid w:val="001E4A2B"/>
    <w:rPr>
      <w:sz w:val="24"/>
      <w:szCs w:val="24"/>
    </w:rPr>
  </w:style>
  <w:style w:type="paragraph" w:styleId="Zpat">
    <w:name w:val="footer"/>
    <w:basedOn w:val="Normln"/>
    <w:link w:val="ZpatChar"/>
    <w:rsid w:val="001E4A2B"/>
    <w:pPr>
      <w:tabs>
        <w:tab w:val="center" w:pos="4536"/>
        <w:tab w:val="right" w:pos="9072"/>
      </w:tabs>
      <w:spacing w:after="0"/>
    </w:pPr>
  </w:style>
  <w:style w:type="character" w:customStyle="1" w:styleId="ZpatChar">
    <w:name w:val="Zápatí Char"/>
    <w:link w:val="Zpat"/>
    <w:rsid w:val="001E4A2B"/>
    <w:rPr>
      <w:sz w:val="24"/>
      <w:szCs w:val="24"/>
    </w:rPr>
  </w:style>
  <w:style w:type="paragraph" w:customStyle="1" w:styleId="DPNormaln">
    <w:name w:val="DPNormalní"/>
    <w:basedOn w:val="Normln"/>
    <w:qFormat/>
    <w:rsid w:val="00530D16"/>
    <w:pPr>
      <w:suppressAutoHyphens/>
      <w:spacing w:after="0" w:line="360" w:lineRule="auto"/>
      <w:ind w:firstLine="567"/>
      <w:jc w:val="both"/>
    </w:pPr>
    <w:rPr>
      <w:rFonts w:cs="Calibri"/>
      <w:lang w:eastAsia="ar-SA"/>
    </w:rPr>
  </w:style>
  <w:style w:type="character" w:styleId="Hypertextovodkaz">
    <w:name w:val="Hyperlink"/>
    <w:basedOn w:val="Standardnpsmoodstavce"/>
    <w:rsid w:val="00A953C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edvik.cz/bmc/view.do?gid=146038"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D:\setkov\Desktop\&#352;ablona%20Logos%20Polytechnikos.dotx"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1AB7295D-3F07-4BA6-A6E1-D61D65B56B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Šablona Logos Polytechnikos.dotx</Template>
  <TotalTime>0</TotalTime>
  <Pages>1</Pages>
  <Words>3942</Words>
  <Characters>23264</Characters>
  <Application>Microsoft Office Word</Application>
  <DocSecurity>0</DocSecurity>
  <Lines>193</Lines>
  <Paragraphs>54</Paragraphs>
  <ScaleCrop>false</ScaleCrop>
  <HeadingPairs>
    <vt:vector size="2" baseType="variant">
      <vt:variant>
        <vt:lpstr>Název</vt:lpstr>
      </vt:variant>
      <vt:variant>
        <vt:i4>1</vt:i4>
      </vt:variant>
    </vt:vector>
  </HeadingPairs>
  <TitlesOfParts>
    <vt:vector size="1" baseType="lpstr">
      <vt:lpstr>Název článku</vt:lpstr>
    </vt:vector>
  </TitlesOfParts>
  <Company>VSTECB</Company>
  <LinksUpToDate>false</LinksUpToDate>
  <CharactersWithSpaces>27152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Název článku</dc:title>
  <dc:creator>Mgr.Bc. Alena Šetková</dc:creator>
  <cp:lastModifiedBy>Ochtinska Hana</cp:lastModifiedBy>
  <cp:revision>4</cp:revision>
  <cp:lastPrinted>1900-12-31T22:00:00Z</cp:lastPrinted>
  <dcterms:created xsi:type="dcterms:W3CDTF">2018-08-27T08:39:00Z</dcterms:created>
  <dcterms:modified xsi:type="dcterms:W3CDTF">2018-08-27T08:42:00Z</dcterms:modified>
</cp:coreProperties>
</file>