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3744" w:rsidRDefault="00033744" w:rsidP="006718CE">
      <w:pPr>
        <w:spacing w:after="100" w:afterAutospacing="1" w:line="360" w:lineRule="auto"/>
        <w:ind w:firstLine="709"/>
        <w:jc w:val="center"/>
        <w:rPr>
          <w:sz w:val="28"/>
          <w:szCs w:val="28"/>
        </w:rPr>
      </w:pPr>
      <w:bookmarkStart w:id="0" w:name="_GoBack"/>
      <w:bookmarkEnd w:id="0"/>
      <w:proofErr w:type="spellStart"/>
      <w:r>
        <w:rPr>
          <w:sz w:val="28"/>
          <w:szCs w:val="28"/>
        </w:rPr>
        <w:t>Univerzita</w:t>
      </w:r>
      <w:proofErr w:type="spellEnd"/>
      <w:r>
        <w:rPr>
          <w:sz w:val="28"/>
          <w:szCs w:val="28"/>
        </w:rPr>
        <w:t xml:space="preserve"> </w:t>
      </w:r>
      <w:proofErr w:type="spellStart"/>
      <w:r>
        <w:rPr>
          <w:sz w:val="28"/>
          <w:szCs w:val="28"/>
        </w:rPr>
        <w:t>Pardubice</w:t>
      </w:r>
      <w:proofErr w:type="spellEnd"/>
    </w:p>
    <w:p w:rsidR="00033744" w:rsidRDefault="00033744" w:rsidP="006718CE">
      <w:pPr>
        <w:spacing w:after="100" w:afterAutospacing="1" w:line="360" w:lineRule="auto"/>
        <w:ind w:firstLine="709"/>
        <w:jc w:val="center"/>
        <w:rPr>
          <w:sz w:val="28"/>
          <w:szCs w:val="28"/>
        </w:rPr>
      </w:pPr>
      <w:r w:rsidRPr="00033744">
        <w:rPr>
          <w:sz w:val="28"/>
          <w:szCs w:val="28"/>
        </w:rPr>
        <w:t>Gutachten</w:t>
      </w:r>
      <w:r w:rsidR="007226BD">
        <w:rPr>
          <w:sz w:val="28"/>
          <w:szCs w:val="28"/>
        </w:rPr>
        <w:t xml:space="preserve"> der B.A. Abschlussarbeit</w:t>
      </w:r>
    </w:p>
    <w:p w:rsidR="00033744" w:rsidRDefault="00033744" w:rsidP="006718CE">
      <w:pPr>
        <w:spacing w:after="100" w:afterAutospacing="1" w:line="360" w:lineRule="auto"/>
        <w:ind w:firstLine="709"/>
        <w:jc w:val="center"/>
        <w:rPr>
          <w:sz w:val="28"/>
          <w:szCs w:val="28"/>
        </w:rPr>
      </w:pPr>
      <w:r>
        <w:rPr>
          <w:sz w:val="28"/>
          <w:szCs w:val="28"/>
        </w:rPr>
        <w:t xml:space="preserve">Kandidatin: </w:t>
      </w:r>
      <w:proofErr w:type="spellStart"/>
      <w:r>
        <w:rPr>
          <w:sz w:val="28"/>
          <w:szCs w:val="28"/>
        </w:rPr>
        <w:t>Kl</w:t>
      </w:r>
      <w:r w:rsidR="00AF0C4E">
        <w:rPr>
          <w:sz w:val="28"/>
          <w:szCs w:val="28"/>
        </w:rPr>
        <w:t>á</w:t>
      </w:r>
      <w:r>
        <w:rPr>
          <w:sz w:val="28"/>
          <w:szCs w:val="28"/>
        </w:rPr>
        <w:t>ra</w:t>
      </w:r>
      <w:proofErr w:type="spellEnd"/>
      <w:r>
        <w:rPr>
          <w:sz w:val="28"/>
          <w:szCs w:val="28"/>
        </w:rPr>
        <w:t xml:space="preserve"> </w:t>
      </w:r>
      <w:proofErr w:type="spellStart"/>
      <w:r>
        <w:rPr>
          <w:sz w:val="28"/>
          <w:szCs w:val="28"/>
        </w:rPr>
        <w:t>Kolbabová</w:t>
      </w:r>
      <w:proofErr w:type="spellEnd"/>
      <w:r>
        <w:rPr>
          <w:sz w:val="28"/>
          <w:szCs w:val="28"/>
        </w:rPr>
        <w:t>´</w:t>
      </w:r>
    </w:p>
    <w:p w:rsidR="00C204CD" w:rsidRDefault="00033744" w:rsidP="00C204CD">
      <w:pPr>
        <w:spacing w:after="100" w:afterAutospacing="1" w:line="264" w:lineRule="auto"/>
      </w:pPr>
      <w:r>
        <w:rPr>
          <w:sz w:val="28"/>
          <w:szCs w:val="28"/>
        </w:rPr>
        <w:t>Thema:</w:t>
      </w:r>
      <w:r w:rsidR="00C204CD" w:rsidRPr="00272548">
        <w:rPr>
          <w:rFonts w:ascii="Times New Roman" w:hAnsi="Times New Roman" w:cs="Times New Roman"/>
          <w:sz w:val="28"/>
          <w:szCs w:val="28"/>
        </w:rPr>
        <w:t xml:space="preserve"> </w:t>
      </w:r>
      <w:proofErr w:type="spellStart"/>
      <w:r w:rsidR="00C204CD">
        <w:rPr>
          <w:rFonts w:ascii="Times New Roman" w:eastAsia="Times New Roman" w:hAnsi="Times New Roman" w:cs="Times New Roman"/>
          <w:sz w:val="28"/>
        </w:rPr>
        <w:t>Jiří</w:t>
      </w:r>
      <w:proofErr w:type="spellEnd"/>
      <w:r w:rsidR="00C204CD">
        <w:rPr>
          <w:sz w:val="28"/>
        </w:rPr>
        <w:t xml:space="preserve"> </w:t>
      </w:r>
      <w:proofErr w:type="spellStart"/>
      <w:r w:rsidR="00C204CD">
        <w:rPr>
          <w:sz w:val="28"/>
        </w:rPr>
        <w:t>Gruša</w:t>
      </w:r>
      <w:proofErr w:type="spellEnd"/>
      <w:r w:rsidR="00C204CD">
        <w:rPr>
          <w:sz w:val="28"/>
        </w:rPr>
        <w:t xml:space="preserve"> – ein Schriftsteller und Diplomat aus </w:t>
      </w:r>
      <w:proofErr w:type="spellStart"/>
      <w:r w:rsidR="00C204CD">
        <w:rPr>
          <w:sz w:val="28"/>
        </w:rPr>
        <w:t>Pardubice</w:t>
      </w:r>
      <w:proofErr w:type="spellEnd"/>
    </w:p>
    <w:p w:rsidR="00033744" w:rsidRDefault="00033744" w:rsidP="009F3C13">
      <w:pPr>
        <w:spacing w:after="100" w:afterAutospacing="1" w:line="360" w:lineRule="auto"/>
        <w:ind w:firstLine="709"/>
        <w:rPr>
          <w:sz w:val="24"/>
          <w:szCs w:val="24"/>
        </w:rPr>
      </w:pPr>
      <w:r>
        <w:rPr>
          <w:sz w:val="28"/>
          <w:szCs w:val="28"/>
        </w:rPr>
        <w:t xml:space="preserve"> </w:t>
      </w:r>
    </w:p>
    <w:p w:rsidR="00033744" w:rsidRDefault="00033744" w:rsidP="009F3C13">
      <w:pPr>
        <w:spacing w:after="100" w:afterAutospacing="1" w:line="360" w:lineRule="auto"/>
        <w:ind w:firstLine="709"/>
        <w:rPr>
          <w:sz w:val="24"/>
          <w:szCs w:val="24"/>
        </w:rPr>
      </w:pPr>
    </w:p>
    <w:p w:rsidR="00033744" w:rsidRDefault="004A09FA" w:rsidP="009F3C13">
      <w:pPr>
        <w:spacing w:after="100" w:afterAutospacing="1" w:line="360" w:lineRule="auto"/>
        <w:ind w:firstLine="709"/>
        <w:rPr>
          <w:sz w:val="24"/>
          <w:szCs w:val="24"/>
        </w:rPr>
      </w:pPr>
      <w:r w:rsidRPr="00045E8B">
        <w:rPr>
          <w:sz w:val="24"/>
          <w:szCs w:val="24"/>
        </w:rPr>
        <w:t xml:space="preserve">Die Abschlussarbeit ist in 9 Kapitel eingeteilt. Nach der Einleitung wird ein Überblick über das Leben </w:t>
      </w:r>
      <w:proofErr w:type="spellStart"/>
      <w:r w:rsidRPr="00045E8B">
        <w:rPr>
          <w:sz w:val="24"/>
          <w:szCs w:val="24"/>
        </w:rPr>
        <w:t>Ji</w:t>
      </w:r>
      <w:r w:rsidRPr="00045E8B">
        <w:rPr>
          <w:rFonts w:cstheme="minorHAnsi"/>
          <w:sz w:val="24"/>
          <w:szCs w:val="24"/>
        </w:rPr>
        <w:t>ří</w:t>
      </w:r>
      <w:proofErr w:type="spellEnd"/>
      <w:r w:rsidRPr="00045E8B">
        <w:rPr>
          <w:sz w:val="24"/>
          <w:szCs w:val="24"/>
        </w:rPr>
        <w:t xml:space="preserve"> </w:t>
      </w:r>
      <w:proofErr w:type="spellStart"/>
      <w:r w:rsidRPr="00045E8B">
        <w:rPr>
          <w:sz w:val="24"/>
          <w:szCs w:val="24"/>
        </w:rPr>
        <w:t>Gru</w:t>
      </w:r>
      <w:r w:rsidRPr="00045E8B">
        <w:rPr>
          <w:rFonts w:cstheme="minorHAnsi"/>
          <w:sz w:val="24"/>
          <w:szCs w:val="24"/>
        </w:rPr>
        <w:t>š</w:t>
      </w:r>
      <w:r w:rsidRPr="00045E8B">
        <w:rPr>
          <w:sz w:val="24"/>
          <w:szCs w:val="24"/>
        </w:rPr>
        <w:t>as</w:t>
      </w:r>
      <w:proofErr w:type="spellEnd"/>
      <w:r w:rsidRPr="00045E8B">
        <w:rPr>
          <w:sz w:val="24"/>
          <w:szCs w:val="24"/>
        </w:rPr>
        <w:t xml:space="preserve"> gegeben und danach wird in einigen Unterkapiteln chronologisch auf die einzelnen Stationen im Leben des </w:t>
      </w:r>
      <w:r w:rsidR="009F3C13">
        <w:rPr>
          <w:sz w:val="24"/>
          <w:szCs w:val="24"/>
        </w:rPr>
        <w:t xml:space="preserve">aus </w:t>
      </w:r>
      <w:proofErr w:type="spellStart"/>
      <w:r w:rsidR="009F3C13">
        <w:rPr>
          <w:sz w:val="24"/>
          <w:szCs w:val="24"/>
        </w:rPr>
        <w:t>Pardubice</w:t>
      </w:r>
      <w:proofErr w:type="spellEnd"/>
      <w:r w:rsidR="009F3C13">
        <w:rPr>
          <w:sz w:val="24"/>
          <w:szCs w:val="24"/>
        </w:rPr>
        <w:t xml:space="preserve"> stammenden </w:t>
      </w:r>
      <w:r w:rsidRPr="00045E8B">
        <w:rPr>
          <w:sz w:val="24"/>
          <w:szCs w:val="24"/>
        </w:rPr>
        <w:t xml:space="preserve">Schriftstellers und Diplomaten eingegangen.  </w:t>
      </w:r>
      <w:r>
        <w:rPr>
          <w:sz w:val="24"/>
          <w:szCs w:val="24"/>
        </w:rPr>
        <w:t xml:space="preserve">In Kapitel 3 wird </w:t>
      </w:r>
      <w:r w:rsidR="00033744">
        <w:rPr>
          <w:sz w:val="24"/>
          <w:szCs w:val="24"/>
        </w:rPr>
        <w:t>seine</w:t>
      </w:r>
      <w:r>
        <w:rPr>
          <w:sz w:val="24"/>
          <w:szCs w:val="24"/>
        </w:rPr>
        <w:t xml:space="preserve"> Lyrik in tschechischer und deutscher Sprache </w:t>
      </w:r>
      <w:r w:rsidR="009F3C13">
        <w:rPr>
          <w:sz w:val="24"/>
          <w:szCs w:val="24"/>
        </w:rPr>
        <w:t>dargestellt</w:t>
      </w:r>
      <w:r>
        <w:rPr>
          <w:sz w:val="24"/>
          <w:szCs w:val="24"/>
        </w:rPr>
        <w:t xml:space="preserve">. Die Prosawerke sind das Thema des Kapitels 4. In Kapitel 5 werden die Essays behandelt. Das Literaturverzeichnis enthält die gedruckte Primär- und Sekundärliteratur sowie die Radiosendungen zum Thema. Ein Internetquellenverzeichnis bildet den Abschluss. </w:t>
      </w:r>
    </w:p>
    <w:p w:rsidR="00033744" w:rsidRDefault="004A09FA" w:rsidP="009F3C13">
      <w:pPr>
        <w:spacing w:after="100" w:afterAutospacing="1" w:line="360" w:lineRule="auto"/>
        <w:ind w:firstLine="709"/>
        <w:rPr>
          <w:rFonts w:cstheme="minorHAnsi"/>
          <w:sz w:val="24"/>
          <w:szCs w:val="24"/>
        </w:rPr>
      </w:pPr>
      <w:r>
        <w:rPr>
          <w:sz w:val="24"/>
          <w:szCs w:val="24"/>
        </w:rPr>
        <w:t xml:space="preserve">In der </w:t>
      </w:r>
      <w:r w:rsidR="00C204CD">
        <w:rPr>
          <w:sz w:val="24"/>
          <w:szCs w:val="24"/>
        </w:rPr>
        <w:t>Abhandlung</w:t>
      </w:r>
      <w:r>
        <w:rPr>
          <w:sz w:val="24"/>
          <w:szCs w:val="24"/>
        </w:rPr>
        <w:t xml:space="preserve"> wird anfangs auf die </w:t>
      </w:r>
      <w:r w:rsidR="00033744">
        <w:rPr>
          <w:sz w:val="24"/>
          <w:szCs w:val="24"/>
        </w:rPr>
        <w:t xml:space="preserve">von </w:t>
      </w:r>
      <w:proofErr w:type="spellStart"/>
      <w:r w:rsidR="00033744" w:rsidRPr="00045E8B">
        <w:rPr>
          <w:sz w:val="24"/>
          <w:szCs w:val="24"/>
        </w:rPr>
        <w:t>Gru</w:t>
      </w:r>
      <w:r w:rsidR="00033744" w:rsidRPr="00045E8B">
        <w:rPr>
          <w:rFonts w:cstheme="minorHAnsi"/>
          <w:sz w:val="24"/>
          <w:szCs w:val="24"/>
        </w:rPr>
        <w:t>š</w:t>
      </w:r>
      <w:r w:rsidR="00033744">
        <w:rPr>
          <w:rFonts w:cstheme="minorHAnsi"/>
          <w:sz w:val="24"/>
          <w:szCs w:val="24"/>
        </w:rPr>
        <w:t>a</w:t>
      </w:r>
      <w:proofErr w:type="spellEnd"/>
      <w:r w:rsidR="00033744">
        <w:rPr>
          <w:rFonts w:cstheme="minorHAnsi"/>
          <w:sz w:val="24"/>
          <w:szCs w:val="24"/>
        </w:rPr>
        <w:t xml:space="preserve"> verwendeten </w:t>
      </w:r>
      <w:r>
        <w:rPr>
          <w:sz w:val="24"/>
          <w:szCs w:val="24"/>
        </w:rPr>
        <w:t xml:space="preserve">Sprachen </w:t>
      </w:r>
      <w:r w:rsidR="00033744">
        <w:rPr>
          <w:sz w:val="24"/>
          <w:szCs w:val="24"/>
        </w:rPr>
        <w:t>seines</w:t>
      </w:r>
      <w:r>
        <w:rPr>
          <w:sz w:val="24"/>
          <w:szCs w:val="24"/>
        </w:rPr>
        <w:t xml:space="preserve"> Werks, Tschechisch und Deutsch</w:t>
      </w:r>
      <w:r w:rsidR="00033744">
        <w:rPr>
          <w:sz w:val="24"/>
          <w:szCs w:val="24"/>
        </w:rPr>
        <w:t>,</w:t>
      </w:r>
      <w:r>
        <w:rPr>
          <w:sz w:val="24"/>
          <w:szCs w:val="24"/>
        </w:rPr>
        <w:t xml:space="preserve"> eingegangen. Danach werden die Lebensetappen chronologisch aufgeführt. Das Leben </w:t>
      </w:r>
      <w:proofErr w:type="spellStart"/>
      <w:r>
        <w:rPr>
          <w:sz w:val="24"/>
          <w:szCs w:val="24"/>
        </w:rPr>
        <w:t>Gru</w:t>
      </w:r>
      <w:r>
        <w:rPr>
          <w:rFonts w:cstheme="minorHAnsi"/>
          <w:sz w:val="24"/>
          <w:szCs w:val="24"/>
        </w:rPr>
        <w:t>š</w:t>
      </w:r>
      <w:r>
        <w:rPr>
          <w:sz w:val="24"/>
          <w:szCs w:val="24"/>
        </w:rPr>
        <w:t>as</w:t>
      </w:r>
      <w:proofErr w:type="spellEnd"/>
      <w:r>
        <w:rPr>
          <w:sz w:val="24"/>
          <w:szCs w:val="24"/>
        </w:rPr>
        <w:t>, das durch die erzwungene Emigration als Samisdat-Autor und Unterzeichner des Manifests Charta 77, in mehreren Ländern verlief, wird detai</w:t>
      </w:r>
      <w:r w:rsidR="00033744">
        <w:rPr>
          <w:sz w:val="24"/>
          <w:szCs w:val="24"/>
        </w:rPr>
        <w:t>l</w:t>
      </w:r>
      <w:r>
        <w:rPr>
          <w:sz w:val="24"/>
          <w:szCs w:val="24"/>
        </w:rPr>
        <w:t xml:space="preserve">liert und aufschlussreich dargestellt. Einen interessanten Teil bildet dabei das Thema der Auseinandersetzung des jungen Schriftstellers mit der kommunistischen Partei und der Staatsmacht der Tschechoslowakei, welches bis zu einer Gefängnisstrafe in Prag führte.  Die Kandidatin gibt als Hintergrund für die literarischen Werke die politischen Konstellationen an, die nur in wenigen Zeitabschnitten in der Tschechoslowakei eine freie schriftstellerische Arbeit ohne Eingriffe der Zensur ermöglichte, da sie die Autoren auf die Doktrin des sozialistischen Realismus zu verpflichten versuchte. Sie zeigt auch, wie schwierig der Weg </w:t>
      </w:r>
      <w:proofErr w:type="spellStart"/>
      <w:r>
        <w:rPr>
          <w:sz w:val="24"/>
          <w:szCs w:val="24"/>
        </w:rPr>
        <w:t>Gru</w:t>
      </w:r>
      <w:r>
        <w:rPr>
          <w:rFonts w:cstheme="minorHAnsi"/>
          <w:sz w:val="24"/>
          <w:szCs w:val="24"/>
        </w:rPr>
        <w:t>šas</w:t>
      </w:r>
      <w:proofErr w:type="spellEnd"/>
      <w:r>
        <w:rPr>
          <w:sz w:val="24"/>
          <w:szCs w:val="24"/>
        </w:rPr>
        <w:t xml:space="preserve"> und seiner Kollegen zwischen innerer Emigration und Rebellion gegen die oktroyierte Darstellung sozialistische</w:t>
      </w:r>
      <w:r w:rsidR="009F3C13">
        <w:rPr>
          <w:sz w:val="24"/>
          <w:szCs w:val="24"/>
        </w:rPr>
        <w:t>r</w:t>
      </w:r>
      <w:r>
        <w:rPr>
          <w:sz w:val="24"/>
          <w:szCs w:val="24"/>
        </w:rPr>
        <w:t xml:space="preserve"> Umgestaltung in der Perspektive der von Moskau aus gelenkten Partei selbst in der Zeit der „</w:t>
      </w:r>
      <w:proofErr w:type="spellStart"/>
      <w:r>
        <w:rPr>
          <w:sz w:val="24"/>
          <w:szCs w:val="24"/>
        </w:rPr>
        <w:t>normalizace</w:t>
      </w:r>
      <w:proofErr w:type="spellEnd"/>
      <w:r>
        <w:rPr>
          <w:sz w:val="24"/>
          <w:szCs w:val="24"/>
        </w:rPr>
        <w:t xml:space="preserve">“ war (S.18 ff.). In den nachfolgenden </w:t>
      </w:r>
      <w:r>
        <w:rPr>
          <w:sz w:val="24"/>
          <w:szCs w:val="24"/>
        </w:rPr>
        <w:lastRenderedPageBreak/>
        <w:t xml:space="preserve">Kapiteln über die politische und diplomatische Tätigkeit </w:t>
      </w:r>
      <w:proofErr w:type="spellStart"/>
      <w:r>
        <w:rPr>
          <w:sz w:val="24"/>
          <w:szCs w:val="24"/>
        </w:rPr>
        <w:t>Gru</w:t>
      </w:r>
      <w:r>
        <w:rPr>
          <w:rFonts w:cstheme="minorHAnsi"/>
          <w:sz w:val="24"/>
          <w:szCs w:val="24"/>
        </w:rPr>
        <w:t>šas</w:t>
      </w:r>
      <w:proofErr w:type="spellEnd"/>
      <w:r>
        <w:rPr>
          <w:rFonts w:cstheme="minorHAnsi"/>
          <w:sz w:val="24"/>
          <w:szCs w:val="24"/>
        </w:rPr>
        <w:t xml:space="preserve"> als  tschechischer Botschafter geht die Kandidatin auf seine Mittlertätigkeit zwischen Deutschland, Österreich und Tschechiens ein, die u. a</w:t>
      </w:r>
      <w:proofErr w:type="gramStart"/>
      <w:r>
        <w:rPr>
          <w:rFonts w:cstheme="minorHAnsi"/>
          <w:sz w:val="24"/>
          <w:szCs w:val="24"/>
        </w:rPr>
        <w:t>..</w:t>
      </w:r>
      <w:proofErr w:type="gramEnd"/>
      <w:r>
        <w:rPr>
          <w:rFonts w:cstheme="minorHAnsi"/>
          <w:sz w:val="24"/>
          <w:szCs w:val="24"/>
        </w:rPr>
        <w:t xml:space="preserve"> zur „Deutsch-Tschechischen Erklärung über die gegenseitigen Beziehungen und deren künftige Entwicklung“ im Jahre 1997 führte. </w:t>
      </w:r>
    </w:p>
    <w:p w:rsidR="009F3C13" w:rsidRDefault="004A09FA" w:rsidP="009F3C13">
      <w:pPr>
        <w:spacing w:after="100" w:afterAutospacing="1" w:line="360" w:lineRule="auto"/>
        <w:ind w:firstLine="709"/>
        <w:rPr>
          <w:rFonts w:cstheme="minorHAnsi"/>
          <w:sz w:val="24"/>
          <w:szCs w:val="24"/>
        </w:rPr>
      </w:pPr>
      <w:r>
        <w:rPr>
          <w:rFonts w:cstheme="minorHAnsi"/>
          <w:sz w:val="24"/>
          <w:szCs w:val="24"/>
        </w:rPr>
        <w:t>In den Kapiteln 3 und 4 wird das schriftstellerische Werk behandelt. Bei der Sicht auf die Romane wird jeweils der Aufbau wie die Handlung berücksichtigt. In dem Abschnitt über den in viele Sprachen übersetzten Werk „Der 16. Fragebogen“ geht die  Kandidatin auf die manchmal ironische manchmal beißende Kritik an den mitteleuropäischen Zuständen ein. In Kapitel 5 g</w:t>
      </w:r>
      <w:r w:rsidR="00033744">
        <w:rPr>
          <w:rFonts w:cstheme="minorHAnsi"/>
          <w:sz w:val="24"/>
          <w:szCs w:val="24"/>
        </w:rPr>
        <w:t xml:space="preserve">ibt </w:t>
      </w:r>
      <w:r>
        <w:rPr>
          <w:rFonts w:cstheme="minorHAnsi"/>
          <w:sz w:val="24"/>
          <w:szCs w:val="24"/>
        </w:rPr>
        <w:t xml:space="preserve">sie </w:t>
      </w:r>
      <w:r w:rsidR="00033744">
        <w:rPr>
          <w:rFonts w:cstheme="minorHAnsi"/>
          <w:sz w:val="24"/>
          <w:szCs w:val="24"/>
        </w:rPr>
        <w:t xml:space="preserve">einen Überblick über </w:t>
      </w:r>
      <w:r>
        <w:rPr>
          <w:rFonts w:cstheme="minorHAnsi"/>
          <w:sz w:val="24"/>
          <w:szCs w:val="24"/>
        </w:rPr>
        <w:t>die Essays des Schriftstellers</w:t>
      </w:r>
      <w:r w:rsidR="00033744">
        <w:rPr>
          <w:rFonts w:cstheme="minorHAnsi"/>
          <w:sz w:val="24"/>
          <w:szCs w:val="24"/>
        </w:rPr>
        <w:t>,</w:t>
      </w:r>
      <w:r>
        <w:rPr>
          <w:rFonts w:cstheme="minorHAnsi"/>
          <w:sz w:val="24"/>
          <w:szCs w:val="24"/>
        </w:rPr>
        <w:t xml:space="preserve"> vor allem auf die Sammlung „Gebrauchsanweisung für Tschechien“ und „Glücklich heimatlos“.</w:t>
      </w:r>
    </w:p>
    <w:p w:rsidR="00680D87" w:rsidRPr="00033744" w:rsidRDefault="009F3C13" w:rsidP="009F3C13">
      <w:pPr>
        <w:spacing w:line="360" w:lineRule="auto"/>
        <w:rPr>
          <w:sz w:val="24"/>
          <w:szCs w:val="24"/>
        </w:rPr>
      </w:pPr>
      <w:r>
        <w:tab/>
      </w:r>
      <w:r w:rsidRPr="00033744">
        <w:rPr>
          <w:sz w:val="24"/>
          <w:szCs w:val="24"/>
        </w:rPr>
        <w:t xml:space="preserve">Die Abschlussarbeit ist gut gegliedert und erfasst das </w:t>
      </w:r>
      <w:r w:rsidR="00122649">
        <w:rPr>
          <w:sz w:val="24"/>
          <w:szCs w:val="24"/>
        </w:rPr>
        <w:t xml:space="preserve">gewählte </w:t>
      </w:r>
      <w:r w:rsidRPr="00033744">
        <w:rPr>
          <w:sz w:val="24"/>
          <w:szCs w:val="24"/>
        </w:rPr>
        <w:t xml:space="preserve">Thema in einer Reihe von Facetten. Positiv hervorzuheben ist die eigene Darstellung der Kandidatin auf dem Hintergrund der Einarbeitung einer großen Anzahl von Quellen inklusive der gewissenhaft recherchierten Sekundärliteratur.  </w:t>
      </w:r>
      <w:r w:rsidR="00122649">
        <w:rPr>
          <w:sz w:val="24"/>
          <w:szCs w:val="24"/>
        </w:rPr>
        <w:t>S</w:t>
      </w:r>
      <w:r w:rsidR="00033744" w:rsidRPr="00033744">
        <w:rPr>
          <w:sz w:val="24"/>
          <w:szCs w:val="24"/>
        </w:rPr>
        <w:t>prachliche Fehler</w:t>
      </w:r>
      <w:r w:rsidR="00122649">
        <w:rPr>
          <w:sz w:val="24"/>
          <w:szCs w:val="24"/>
        </w:rPr>
        <w:t xml:space="preserve"> sind vorhanden</w:t>
      </w:r>
      <w:r w:rsidR="00033744" w:rsidRPr="00033744">
        <w:rPr>
          <w:sz w:val="24"/>
          <w:szCs w:val="24"/>
        </w:rPr>
        <w:t xml:space="preserve">, jedoch </w:t>
      </w:r>
      <w:r w:rsidR="00122649">
        <w:rPr>
          <w:sz w:val="24"/>
          <w:szCs w:val="24"/>
        </w:rPr>
        <w:t xml:space="preserve">behindern sie </w:t>
      </w:r>
      <w:r w:rsidR="00033744" w:rsidRPr="00033744">
        <w:rPr>
          <w:sz w:val="24"/>
          <w:szCs w:val="24"/>
        </w:rPr>
        <w:t xml:space="preserve">den Lesefluss nicht </w:t>
      </w:r>
      <w:r w:rsidR="00122649">
        <w:rPr>
          <w:sz w:val="24"/>
          <w:szCs w:val="24"/>
        </w:rPr>
        <w:t xml:space="preserve">wesentlich. </w:t>
      </w:r>
      <w:r w:rsidR="00033744" w:rsidRPr="00033744">
        <w:rPr>
          <w:sz w:val="24"/>
          <w:szCs w:val="24"/>
        </w:rPr>
        <w:t xml:space="preserve"> </w:t>
      </w:r>
    </w:p>
    <w:p w:rsidR="00122649" w:rsidRDefault="00122649" w:rsidP="009F3C13">
      <w:pPr>
        <w:spacing w:line="360" w:lineRule="auto"/>
        <w:rPr>
          <w:sz w:val="24"/>
          <w:szCs w:val="24"/>
        </w:rPr>
      </w:pPr>
    </w:p>
    <w:p w:rsidR="00033744" w:rsidRPr="00033744" w:rsidRDefault="00033744" w:rsidP="009F3C13">
      <w:pPr>
        <w:spacing w:line="360" w:lineRule="auto"/>
        <w:rPr>
          <w:sz w:val="24"/>
          <w:szCs w:val="24"/>
        </w:rPr>
      </w:pPr>
      <w:r w:rsidRPr="00033744">
        <w:rPr>
          <w:sz w:val="24"/>
          <w:szCs w:val="24"/>
        </w:rPr>
        <w:t>Die Arbeit wird benotet mit der</w:t>
      </w:r>
    </w:p>
    <w:p w:rsidR="00033744" w:rsidRPr="00122649" w:rsidRDefault="00033744" w:rsidP="009F3C13">
      <w:pPr>
        <w:spacing w:line="360" w:lineRule="auto"/>
        <w:rPr>
          <w:b/>
          <w:sz w:val="24"/>
          <w:szCs w:val="24"/>
        </w:rPr>
      </w:pPr>
      <w:r w:rsidRPr="00122649">
        <w:rPr>
          <w:b/>
          <w:sz w:val="24"/>
          <w:szCs w:val="24"/>
        </w:rPr>
        <w:t>Note: 1 – (</w:t>
      </w:r>
      <w:proofErr w:type="spellStart"/>
      <w:r w:rsidRPr="00122649">
        <w:rPr>
          <w:b/>
          <w:sz w:val="24"/>
          <w:szCs w:val="24"/>
        </w:rPr>
        <w:t>výborně</w:t>
      </w:r>
      <w:proofErr w:type="spellEnd"/>
      <w:r w:rsidRPr="00122649">
        <w:rPr>
          <w:b/>
          <w:sz w:val="24"/>
          <w:szCs w:val="24"/>
        </w:rPr>
        <w:t xml:space="preserve"> -)</w:t>
      </w:r>
    </w:p>
    <w:p w:rsidR="00033744" w:rsidRDefault="00033744" w:rsidP="009F3C13">
      <w:pPr>
        <w:spacing w:line="360" w:lineRule="auto"/>
      </w:pPr>
    </w:p>
    <w:p w:rsidR="00033744" w:rsidRPr="00C204CD" w:rsidRDefault="00033744" w:rsidP="009F3C13">
      <w:pPr>
        <w:spacing w:line="360" w:lineRule="auto"/>
        <w:rPr>
          <w:sz w:val="24"/>
          <w:szCs w:val="24"/>
        </w:rPr>
      </w:pPr>
      <w:r w:rsidRPr="00C204CD">
        <w:rPr>
          <w:sz w:val="24"/>
          <w:szCs w:val="24"/>
        </w:rPr>
        <w:t>Gutachterin: Prof. Dr.</w:t>
      </w:r>
      <w:r w:rsidR="007226BD" w:rsidRPr="00C204CD">
        <w:rPr>
          <w:sz w:val="24"/>
          <w:szCs w:val="24"/>
        </w:rPr>
        <w:t xml:space="preserve"> habil. </w:t>
      </w:r>
      <w:r w:rsidRPr="00C204CD">
        <w:rPr>
          <w:sz w:val="24"/>
          <w:szCs w:val="24"/>
        </w:rPr>
        <w:t xml:space="preserve"> Ingrid Hudabiunigg</w:t>
      </w:r>
    </w:p>
    <w:p w:rsidR="00033744" w:rsidRPr="00C204CD" w:rsidRDefault="00033744" w:rsidP="009F3C13">
      <w:pPr>
        <w:spacing w:line="360" w:lineRule="auto"/>
        <w:rPr>
          <w:sz w:val="24"/>
          <w:szCs w:val="24"/>
        </w:rPr>
      </w:pPr>
      <w:r w:rsidRPr="00C204CD">
        <w:rPr>
          <w:sz w:val="24"/>
          <w:szCs w:val="24"/>
        </w:rPr>
        <w:t>Berlin, 22.8.2017</w:t>
      </w:r>
    </w:p>
    <w:sectPr w:rsidR="00033744" w:rsidRPr="00C204CD">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09FA"/>
    <w:rsid w:val="00033744"/>
    <w:rsid w:val="000677C3"/>
    <w:rsid w:val="00122649"/>
    <w:rsid w:val="004A09FA"/>
    <w:rsid w:val="006718CE"/>
    <w:rsid w:val="00680D87"/>
    <w:rsid w:val="007226BD"/>
    <w:rsid w:val="009F3C13"/>
    <w:rsid w:val="00AF0C4E"/>
    <w:rsid w:val="00C204C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1"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4A09FA"/>
    <w:pPr>
      <w:spacing w:after="120" w:line="276" w:lineRule="auto"/>
    </w:p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1"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4A09FA"/>
    <w:pPr>
      <w:spacing w:after="120" w:line="276" w:lineRule="auto"/>
    </w:p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487</Words>
  <Characters>2879</Characters>
  <Application>Microsoft Office Word</Application>
  <DocSecurity>0</DocSecurity>
  <Lines>23</Lines>
  <Paragraphs>6</Paragraphs>
  <ScaleCrop>false</ScaleCrop>
  <HeadingPairs>
    <vt:vector size="4" baseType="variant">
      <vt:variant>
        <vt:lpstr>Název</vt:lpstr>
      </vt:variant>
      <vt:variant>
        <vt:i4>1</vt:i4>
      </vt:variant>
      <vt:variant>
        <vt:lpstr>Titel</vt:lpstr>
      </vt:variant>
      <vt:variant>
        <vt:i4>1</vt:i4>
      </vt:variant>
    </vt:vector>
  </HeadingPairs>
  <TitlesOfParts>
    <vt:vector size="2" baseType="lpstr">
      <vt:lpstr/>
      <vt:lpstr/>
    </vt:vector>
  </TitlesOfParts>
  <Company>Univerzita Pardubice</Company>
  <LinksUpToDate>false</LinksUpToDate>
  <CharactersWithSpaces>3360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Inhu</dc:creator>
  <cp:lastModifiedBy>spravce</cp:lastModifiedBy>
  <cp:revision>2</cp:revision>
  <cp:lastPrinted>2017-08-23T05:53:00Z</cp:lastPrinted>
  <dcterms:created xsi:type="dcterms:W3CDTF">2017-08-23T05:53:00Z</dcterms:created>
  <dcterms:modified xsi:type="dcterms:W3CDTF">2017-08-23T05:53:00Z</dcterms:modified>
</cp:coreProperties>
</file>