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77230" w:rsidRPr="00225B65" w:rsidRDefault="00D77230" w:rsidP="0029540C">
      <w:pPr>
        <w:jc w:val="both"/>
        <w:rPr>
          <w:sz w:val="22"/>
          <w:szCs w:val="22"/>
        </w:rPr>
      </w:pPr>
      <w:r w:rsidRPr="00225B65">
        <w:rPr>
          <w:sz w:val="22"/>
          <w:szCs w:val="22"/>
        </w:rPr>
        <w:t>Univerzita Pardubice – Fakulta filozofická – KLKS</w:t>
      </w:r>
    </w:p>
    <w:p w:rsidR="00D77230" w:rsidRPr="00225B65" w:rsidRDefault="00476C90" w:rsidP="0029540C">
      <w:pPr>
        <w:snapToGrid w:val="0"/>
        <w:jc w:val="both"/>
        <w:rPr>
          <w:b/>
          <w:bCs/>
          <w:sz w:val="22"/>
          <w:szCs w:val="22"/>
        </w:rPr>
      </w:pPr>
      <w:r w:rsidRPr="00225B65">
        <w:rPr>
          <w:b/>
          <w:bCs/>
          <w:sz w:val="22"/>
          <w:szCs w:val="22"/>
        </w:rPr>
        <w:t>Oponentský posudek</w:t>
      </w:r>
      <w:r w:rsidR="00D77230" w:rsidRPr="00225B65">
        <w:rPr>
          <w:b/>
          <w:bCs/>
          <w:sz w:val="22"/>
          <w:szCs w:val="22"/>
        </w:rPr>
        <w:t xml:space="preserve"> bakalářské práce – akademický rok 202</w:t>
      </w:r>
      <w:r w:rsidRPr="00225B65">
        <w:rPr>
          <w:b/>
          <w:bCs/>
          <w:sz w:val="22"/>
          <w:szCs w:val="22"/>
        </w:rPr>
        <w:t>2</w:t>
      </w:r>
      <w:r w:rsidR="00D77230" w:rsidRPr="00225B65">
        <w:rPr>
          <w:b/>
          <w:bCs/>
          <w:sz w:val="22"/>
          <w:szCs w:val="22"/>
        </w:rPr>
        <w:t>/202</w:t>
      </w:r>
      <w:r w:rsidRPr="00225B65">
        <w:rPr>
          <w:b/>
          <w:bCs/>
          <w:sz w:val="22"/>
          <w:szCs w:val="22"/>
        </w:rPr>
        <w:t>3</w:t>
      </w:r>
    </w:p>
    <w:p w:rsidR="00D77230" w:rsidRPr="00225B65" w:rsidRDefault="00D77230" w:rsidP="0029540C">
      <w:pPr>
        <w:jc w:val="both"/>
        <w:rPr>
          <w:sz w:val="22"/>
          <w:szCs w:val="22"/>
        </w:rPr>
      </w:pPr>
    </w:p>
    <w:p w:rsidR="00D77230" w:rsidRPr="00225B65" w:rsidRDefault="00D77230" w:rsidP="0029540C">
      <w:pPr>
        <w:snapToGrid w:val="0"/>
        <w:spacing w:line="360" w:lineRule="auto"/>
        <w:jc w:val="both"/>
        <w:rPr>
          <w:sz w:val="22"/>
          <w:szCs w:val="22"/>
        </w:rPr>
      </w:pPr>
      <w:r w:rsidRPr="00225B65">
        <w:rPr>
          <w:sz w:val="22"/>
          <w:szCs w:val="22"/>
        </w:rPr>
        <w:t xml:space="preserve">Autor práce: </w:t>
      </w:r>
      <w:r w:rsidR="00476C90" w:rsidRPr="00225B65">
        <w:rPr>
          <w:sz w:val="22"/>
          <w:szCs w:val="22"/>
        </w:rPr>
        <w:t>Martin Tichý</w:t>
      </w:r>
    </w:p>
    <w:p w:rsidR="00476C90" w:rsidRPr="00225B65" w:rsidRDefault="00D77230" w:rsidP="00476C90">
      <w:pPr>
        <w:spacing w:line="360" w:lineRule="auto"/>
        <w:jc w:val="both"/>
        <w:rPr>
          <w:sz w:val="22"/>
          <w:szCs w:val="22"/>
        </w:rPr>
      </w:pPr>
      <w:r w:rsidRPr="00225B65">
        <w:rPr>
          <w:sz w:val="22"/>
          <w:szCs w:val="22"/>
        </w:rPr>
        <w:t>Studijní obor: Historicko-literární studia</w:t>
      </w:r>
    </w:p>
    <w:p w:rsidR="00476C90" w:rsidRPr="00225B65" w:rsidRDefault="00D77230" w:rsidP="00476C90">
      <w:pPr>
        <w:spacing w:line="360" w:lineRule="auto"/>
        <w:jc w:val="both"/>
        <w:rPr>
          <w:rFonts w:eastAsiaTheme="minorHAnsi"/>
          <w:kern w:val="0"/>
          <w:sz w:val="22"/>
          <w:szCs w:val="22"/>
          <w:lang w:eastAsia="en-US"/>
        </w:rPr>
      </w:pPr>
      <w:r w:rsidRPr="00225B65">
        <w:rPr>
          <w:sz w:val="22"/>
          <w:szCs w:val="22"/>
        </w:rPr>
        <w:t xml:space="preserve">Název práce: </w:t>
      </w:r>
      <w:r w:rsidR="00476C90" w:rsidRPr="00225B65">
        <w:rPr>
          <w:rFonts w:eastAsiaTheme="minorHAnsi"/>
          <w:kern w:val="0"/>
          <w:sz w:val="22"/>
          <w:szCs w:val="22"/>
          <w:lang w:eastAsia="en-US"/>
        </w:rPr>
        <w:t>Jiří Světozar Kupka (1921–2017). Portrét spisovatele</w:t>
      </w:r>
    </w:p>
    <w:p w:rsidR="00D77230" w:rsidRPr="00225B65" w:rsidRDefault="00D77230" w:rsidP="00476C90">
      <w:pPr>
        <w:spacing w:line="360" w:lineRule="auto"/>
        <w:jc w:val="both"/>
        <w:rPr>
          <w:sz w:val="22"/>
          <w:szCs w:val="22"/>
        </w:rPr>
      </w:pPr>
      <w:r w:rsidRPr="00225B65">
        <w:rPr>
          <w:sz w:val="22"/>
          <w:szCs w:val="22"/>
        </w:rPr>
        <w:t xml:space="preserve">Vedoucí práce: </w:t>
      </w:r>
      <w:r w:rsidR="00A66AA5" w:rsidRPr="00225B65">
        <w:rPr>
          <w:sz w:val="22"/>
          <w:szCs w:val="22"/>
        </w:rPr>
        <w:t>PhDr. Antonín Kudláč, Ph.D.</w:t>
      </w:r>
    </w:p>
    <w:p w:rsidR="00A66AA5" w:rsidRPr="00225B65" w:rsidRDefault="00D77230" w:rsidP="00A66AA5">
      <w:pPr>
        <w:spacing w:line="360" w:lineRule="auto"/>
        <w:jc w:val="both"/>
        <w:rPr>
          <w:sz w:val="22"/>
          <w:szCs w:val="22"/>
        </w:rPr>
      </w:pPr>
      <w:r w:rsidRPr="00225B65">
        <w:rPr>
          <w:sz w:val="22"/>
          <w:szCs w:val="22"/>
        </w:rPr>
        <w:t xml:space="preserve">Oponent práce: </w:t>
      </w:r>
      <w:r w:rsidR="00A66AA5" w:rsidRPr="00225B65">
        <w:rPr>
          <w:sz w:val="22"/>
          <w:szCs w:val="22"/>
        </w:rPr>
        <w:t>PhDr. Petr Šrámek, Ph.D.</w:t>
      </w:r>
    </w:p>
    <w:p w:rsidR="00D77230" w:rsidRPr="00225B65" w:rsidRDefault="00D77230" w:rsidP="0029540C">
      <w:pPr>
        <w:pBdr>
          <w:bottom w:val="single" w:sz="12" w:space="1" w:color="auto"/>
        </w:pBdr>
        <w:spacing w:line="360" w:lineRule="auto"/>
        <w:jc w:val="both"/>
        <w:rPr>
          <w:sz w:val="22"/>
          <w:szCs w:val="22"/>
        </w:rPr>
      </w:pPr>
    </w:p>
    <w:p w:rsidR="00D77230" w:rsidRPr="00225B65" w:rsidRDefault="00D77230" w:rsidP="0029540C">
      <w:pPr>
        <w:jc w:val="both"/>
        <w:rPr>
          <w:sz w:val="22"/>
          <w:szCs w:val="22"/>
        </w:rPr>
      </w:pPr>
    </w:p>
    <w:p w:rsidR="00D77230" w:rsidRPr="00225B65" w:rsidRDefault="00D77230" w:rsidP="0029540C">
      <w:pPr>
        <w:jc w:val="both"/>
        <w:rPr>
          <w:sz w:val="22"/>
          <w:szCs w:val="22"/>
        </w:rPr>
      </w:pPr>
      <w:r w:rsidRPr="00225B65">
        <w:rPr>
          <w:b/>
          <w:bCs/>
          <w:sz w:val="22"/>
          <w:szCs w:val="22"/>
        </w:rPr>
        <w:t>I. Formulace cílů práce, metodologie</w:t>
      </w:r>
      <w:r w:rsidRPr="00225B65">
        <w:rPr>
          <w:sz w:val="22"/>
          <w:szCs w:val="22"/>
        </w:rPr>
        <w:t xml:space="preserve"> </w:t>
      </w:r>
    </w:p>
    <w:p w:rsidR="00D77230" w:rsidRPr="00225B65" w:rsidRDefault="00D77230" w:rsidP="0029540C">
      <w:pPr>
        <w:jc w:val="both"/>
        <w:rPr>
          <w:sz w:val="22"/>
          <w:szCs w:val="22"/>
        </w:rPr>
      </w:pPr>
      <w:r w:rsidRPr="00225B65">
        <w:rPr>
          <w:sz w:val="22"/>
          <w:szCs w:val="22"/>
        </w:rPr>
        <w:t>(adekvátnost formulace cílů, vymezení tématu odpovídající rozsahu BP, adekvátnost zvolené metodologie)</w:t>
      </w:r>
    </w:p>
    <w:p w:rsidR="00D77230" w:rsidRPr="00225B65" w:rsidRDefault="00D77230" w:rsidP="0029540C">
      <w:pPr>
        <w:jc w:val="both"/>
        <w:rPr>
          <w:sz w:val="22"/>
          <w:szCs w:val="22"/>
        </w:rPr>
      </w:pPr>
    </w:p>
    <w:p w:rsidR="00476C90" w:rsidRPr="00225B65" w:rsidRDefault="00476C90" w:rsidP="0029540C">
      <w:pPr>
        <w:tabs>
          <w:tab w:val="left" w:pos="10928"/>
        </w:tabs>
        <w:jc w:val="both"/>
        <w:rPr>
          <w:sz w:val="22"/>
          <w:szCs w:val="22"/>
        </w:rPr>
      </w:pPr>
      <w:r w:rsidRPr="00225B65">
        <w:rPr>
          <w:sz w:val="22"/>
          <w:szCs w:val="22"/>
        </w:rPr>
        <w:t xml:space="preserve">Cílem práce je představit Jiřího Světozara Kupku a </w:t>
      </w:r>
      <w:r w:rsidR="00D2757C" w:rsidRPr="00225B65">
        <w:rPr>
          <w:sz w:val="22"/>
          <w:szCs w:val="22"/>
        </w:rPr>
        <w:t>vytvořit jeho obraz nebo (</w:t>
      </w:r>
      <w:r w:rsidRPr="00225B65">
        <w:rPr>
          <w:sz w:val="22"/>
          <w:szCs w:val="22"/>
        </w:rPr>
        <w:t>slovy úvodu</w:t>
      </w:r>
      <w:r w:rsidR="00D2757C" w:rsidRPr="00225B65">
        <w:rPr>
          <w:sz w:val="22"/>
          <w:szCs w:val="22"/>
        </w:rPr>
        <w:t>)</w:t>
      </w:r>
      <w:r w:rsidRPr="00225B65">
        <w:rPr>
          <w:sz w:val="22"/>
          <w:szCs w:val="22"/>
        </w:rPr>
        <w:t xml:space="preserve"> </w:t>
      </w:r>
      <w:r w:rsidR="009E1E60" w:rsidRPr="00225B65">
        <w:rPr>
          <w:sz w:val="22"/>
          <w:szCs w:val="22"/>
        </w:rPr>
        <w:t>„</w:t>
      </w:r>
      <w:r w:rsidRPr="00225B65">
        <w:rPr>
          <w:sz w:val="22"/>
          <w:szCs w:val="22"/>
        </w:rPr>
        <w:t>portrét jeho tvorby a života</w:t>
      </w:r>
      <w:r w:rsidR="009E1E60" w:rsidRPr="00225B65">
        <w:rPr>
          <w:sz w:val="22"/>
          <w:szCs w:val="22"/>
        </w:rPr>
        <w:t>“</w:t>
      </w:r>
      <w:r w:rsidRPr="00225B65">
        <w:rPr>
          <w:sz w:val="22"/>
          <w:szCs w:val="22"/>
        </w:rPr>
        <w:t>, přičemž se autor hodlá zaměřit na vybraná díla. Základní premisou tedy je, že „tvorba JSK se vyvíjela tak, jak se vyvíjela doba“, ale zároveň je shledán „přece jenom dost unikátním autorem“ (1)</w:t>
      </w:r>
      <w:r w:rsidR="00AE75EF" w:rsidRPr="00225B65">
        <w:rPr>
          <w:sz w:val="22"/>
          <w:szCs w:val="22"/>
        </w:rPr>
        <w:t>,</w:t>
      </w:r>
      <w:r w:rsidR="008F3FA4" w:rsidRPr="00225B65">
        <w:rPr>
          <w:sz w:val="22"/>
          <w:szCs w:val="22"/>
        </w:rPr>
        <w:t xml:space="preserve"> </w:t>
      </w:r>
      <w:r w:rsidR="00AE75EF" w:rsidRPr="00225B65">
        <w:rPr>
          <w:sz w:val="22"/>
          <w:szCs w:val="22"/>
        </w:rPr>
        <w:t>který (slovy závěru) „naši literární scénu výrazně ovlivnil“ (56)</w:t>
      </w:r>
      <w:r w:rsidRPr="00225B65">
        <w:rPr>
          <w:sz w:val="22"/>
          <w:szCs w:val="22"/>
        </w:rPr>
        <w:t xml:space="preserve">. Už v tom je metonymicky </w:t>
      </w:r>
      <w:r w:rsidR="00D2757C" w:rsidRPr="00225B65">
        <w:rPr>
          <w:sz w:val="22"/>
          <w:szCs w:val="22"/>
        </w:rPr>
        <w:t xml:space="preserve">popsána celá rozloha, ale i založen </w:t>
      </w:r>
      <w:r w:rsidR="002447D0" w:rsidRPr="00225B65">
        <w:rPr>
          <w:sz w:val="22"/>
          <w:szCs w:val="22"/>
        </w:rPr>
        <w:t xml:space="preserve">jistý </w:t>
      </w:r>
      <w:r w:rsidRPr="00225B65">
        <w:rPr>
          <w:sz w:val="22"/>
          <w:szCs w:val="22"/>
        </w:rPr>
        <w:t xml:space="preserve">rozpor </w:t>
      </w:r>
      <w:r w:rsidR="00AE75EF" w:rsidRPr="00225B65">
        <w:rPr>
          <w:sz w:val="22"/>
          <w:szCs w:val="22"/>
        </w:rPr>
        <w:t xml:space="preserve">předkládané </w:t>
      </w:r>
      <w:r w:rsidRPr="00225B65">
        <w:rPr>
          <w:sz w:val="22"/>
          <w:szCs w:val="22"/>
        </w:rPr>
        <w:t>práce</w:t>
      </w:r>
      <w:r w:rsidR="00D2757C" w:rsidRPr="00225B65">
        <w:rPr>
          <w:sz w:val="22"/>
          <w:szCs w:val="22"/>
        </w:rPr>
        <w:t>.</w:t>
      </w:r>
      <w:r w:rsidRPr="00225B65">
        <w:rPr>
          <w:sz w:val="22"/>
          <w:szCs w:val="22"/>
        </w:rPr>
        <w:t xml:space="preserve"> </w:t>
      </w:r>
      <w:r w:rsidR="00D2757C" w:rsidRPr="00225B65">
        <w:rPr>
          <w:sz w:val="22"/>
          <w:szCs w:val="22"/>
        </w:rPr>
        <w:t xml:space="preserve">Autor sleduje jednotlivé etapy dlouhého Kupkova tvůrčího období (v prvním desetiletí studené války, v 60. letech, za normalizace, v 90. letech, v novém miléniu) a snaží se jeho tvorbě </w:t>
      </w:r>
      <w:r w:rsidR="00E95267" w:rsidRPr="00225B65">
        <w:rPr>
          <w:sz w:val="22"/>
          <w:szCs w:val="22"/>
        </w:rPr>
        <w:t>„</w:t>
      </w:r>
      <w:r w:rsidR="00D2757C" w:rsidRPr="00225B65">
        <w:rPr>
          <w:sz w:val="22"/>
          <w:szCs w:val="22"/>
        </w:rPr>
        <w:t>nestranit</w:t>
      </w:r>
      <w:r w:rsidR="00E95267" w:rsidRPr="00225B65">
        <w:rPr>
          <w:sz w:val="22"/>
          <w:szCs w:val="22"/>
        </w:rPr>
        <w:t xml:space="preserve">, ale zároveň ji ani </w:t>
      </w:r>
      <w:r w:rsidR="00D2757C" w:rsidRPr="00225B65">
        <w:rPr>
          <w:sz w:val="22"/>
          <w:szCs w:val="22"/>
        </w:rPr>
        <w:t xml:space="preserve">příliš nehanit (1). </w:t>
      </w:r>
    </w:p>
    <w:p w:rsidR="00D77230" w:rsidRPr="00225B65" w:rsidRDefault="00D77230" w:rsidP="0029540C">
      <w:pPr>
        <w:tabs>
          <w:tab w:val="left" w:pos="10928"/>
        </w:tabs>
        <w:jc w:val="both"/>
        <w:rPr>
          <w:sz w:val="22"/>
          <w:szCs w:val="22"/>
        </w:rPr>
      </w:pPr>
    </w:p>
    <w:p w:rsidR="00D77230" w:rsidRPr="00225B65" w:rsidRDefault="00D77230" w:rsidP="0029540C">
      <w:pPr>
        <w:jc w:val="both"/>
        <w:rPr>
          <w:sz w:val="22"/>
          <w:szCs w:val="22"/>
        </w:rPr>
      </w:pPr>
      <w:r w:rsidRPr="00225B65">
        <w:rPr>
          <w:sz w:val="22"/>
          <w:szCs w:val="22"/>
        </w:rPr>
        <w:t>body (0–4)</w:t>
      </w:r>
      <w:r w:rsidRPr="00225B65">
        <w:rPr>
          <w:rStyle w:val="Znakapoznpodarou1"/>
          <w:sz w:val="22"/>
          <w:szCs w:val="22"/>
        </w:rPr>
        <w:footnoteReference w:customMarkFollows="1" w:id="1"/>
        <w:t>*</w:t>
      </w:r>
      <w:r w:rsidRPr="00225B65">
        <w:rPr>
          <w:sz w:val="22"/>
          <w:szCs w:val="22"/>
        </w:rPr>
        <w:t xml:space="preserve"> </w:t>
      </w:r>
    </w:p>
    <w:tbl>
      <w:tblPr>
        <w:tblW w:w="0" w:type="auto"/>
        <w:tblLayout w:type="fixed"/>
        <w:tblCellMar>
          <w:top w:w="55" w:type="dxa"/>
          <w:left w:w="55" w:type="dxa"/>
          <w:bottom w:w="55" w:type="dxa"/>
          <w:right w:w="55" w:type="dxa"/>
        </w:tblCellMar>
        <w:tblLook w:val="04A0"/>
      </w:tblPr>
      <w:tblGrid>
        <w:gridCol w:w="1146"/>
      </w:tblGrid>
      <w:tr w:rsidR="00D77230" w:rsidRPr="00225B65" w:rsidTr="00D77230">
        <w:trPr>
          <w:trHeight w:val="276"/>
        </w:trPr>
        <w:tc>
          <w:tcPr>
            <w:tcW w:w="1146" w:type="dxa"/>
            <w:tcBorders>
              <w:top w:val="single" w:sz="2" w:space="0" w:color="000000"/>
              <w:left w:val="single" w:sz="2" w:space="0" w:color="000000"/>
              <w:bottom w:val="single" w:sz="2" w:space="0" w:color="000000"/>
              <w:right w:val="single" w:sz="2" w:space="0" w:color="000000"/>
            </w:tcBorders>
            <w:hideMark/>
          </w:tcPr>
          <w:p w:rsidR="00D77230" w:rsidRPr="00225B65" w:rsidRDefault="00225B65" w:rsidP="0029540C">
            <w:pPr>
              <w:pStyle w:val="Obsahtabulky"/>
              <w:snapToGrid w:val="0"/>
              <w:spacing w:line="276" w:lineRule="auto"/>
              <w:jc w:val="both"/>
              <w:rPr>
                <w:sz w:val="22"/>
                <w:szCs w:val="22"/>
              </w:rPr>
            </w:pPr>
            <w:r w:rsidRPr="00225B65">
              <w:rPr>
                <w:sz w:val="22"/>
                <w:szCs w:val="22"/>
              </w:rPr>
              <w:t>4</w:t>
            </w:r>
          </w:p>
        </w:tc>
      </w:tr>
    </w:tbl>
    <w:p w:rsidR="00D77230" w:rsidRPr="00225B65" w:rsidRDefault="00D77230" w:rsidP="0029540C">
      <w:pPr>
        <w:jc w:val="both"/>
        <w:rPr>
          <w:b/>
          <w:bCs/>
          <w:sz w:val="22"/>
          <w:szCs w:val="22"/>
        </w:rPr>
      </w:pPr>
    </w:p>
    <w:p w:rsidR="00CB7CE6" w:rsidRPr="00225B65" w:rsidRDefault="00CB7CE6" w:rsidP="0029540C">
      <w:pPr>
        <w:jc w:val="both"/>
        <w:rPr>
          <w:b/>
          <w:bCs/>
          <w:sz w:val="22"/>
          <w:szCs w:val="22"/>
        </w:rPr>
      </w:pPr>
    </w:p>
    <w:p w:rsidR="00D77230" w:rsidRPr="00225B65" w:rsidRDefault="00D77230" w:rsidP="0029540C">
      <w:pPr>
        <w:jc w:val="both"/>
        <w:rPr>
          <w:sz w:val="22"/>
          <w:szCs w:val="22"/>
        </w:rPr>
      </w:pPr>
      <w:r w:rsidRPr="00225B65">
        <w:rPr>
          <w:b/>
          <w:bCs/>
          <w:sz w:val="22"/>
          <w:szCs w:val="22"/>
        </w:rPr>
        <w:t>II. Naplnění stanovených cílů</w:t>
      </w:r>
      <w:r w:rsidRPr="00225B65">
        <w:rPr>
          <w:sz w:val="22"/>
          <w:szCs w:val="22"/>
        </w:rPr>
        <w:t xml:space="preserve"> </w:t>
      </w:r>
    </w:p>
    <w:p w:rsidR="00D77230" w:rsidRPr="00225B65" w:rsidRDefault="00D77230" w:rsidP="0029540C">
      <w:pPr>
        <w:jc w:val="both"/>
        <w:rPr>
          <w:sz w:val="22"/>
          <w:szCs w:val="22"/>
        </w:rPr>
      </w:pPr>
      <w:r w:rsidRPr="00225B65">
        <w:rPr>
          <w:sz w:val="22"/>
          <w:szCs w:val="22"/>
        </w:rPr>
        <w:t xml:space="preserve">(odpovídající zpracování a interpretace výsledků, závěry práce, diskuse práce /porovnání výsledků práce s výsledky dosavadních bádání k tématu/, autorský přínos práce) </w:t>
      </w:r>
    </w:p>
    <w:p w:rsidR="00D77230" w:rsidRPr="00225B65" w:rsidRDefault="00D77230" w:rsidP="0029540C">
      <w:pPr>
        <w:jc w:val="both"/>
        <w:rPr>
          <w:sz w:val="22"/>
          <w:szCs w:val="22"/>
          <w:u w:val="single"/>
        </w:rPr>
      </w:pPr>
    </w:p>
    <w:p w:rsidR="00AA529D" w:rsidRPr="00225B65" w:rsidRDefault="00B35A2A" w:rsidP="000036DA">
      <w:pPr>
        <w:jc w:val="both"/>
        <w:rPr>
          <w:sz w:val="22"/>
          <w:szCs w:val="22"/>
        </w:rPr>
      </w:pPr>
      <w:r w:rsidRPr="00225B65">
        <w:rPr>
          <w:sz w:val="22"/>
          <w:szCs w:val="22"/>
        </w:rPr>
        <w:t xml:space="preserve">Po úvodní kapitole a kapitole životopisné se čtyři kapitoly věnují 60., </w:t>
      </w:r>
      <w:proofErr w:type="gramStart"/>
      <w:r w:rsidRPr="00225B65">
        <w:rPr>
          <w:sz w:val="22"/>
          <w:szCs w:val="22"/>
        </w:rPr>
        <w:t>70.</w:t>
      </w:r>
      <w:r w:rsidR="00A55AF9" w:rsidRPr="00225B65">
        <w:rPr>
          <w:sz w:val="22"/>
          <w:szCs w:val="22"/>
        </w:rPr>
        <w:t>/</w:t>
      </w:r>
      <w:r w:rsidRPr="00225B65">
        <w:rPr>
          <w:sz w:val="22"/>
          <w:szCs w:val="22"/>
        </w:rPr>
        <w:t>80</w:t>
      </w:r>
      <w:proofErr w:type="gramEnd"/>
      <w:r w:rsidRPr="00225B65">
        <w:rPr>
          <w:sz w:val="22"/>
          <w:szCs w:val="22"/>
        </w:rPr>
        <w:t>., 90. a nultým letům</w:t>
      </w:r>
      <w:r w:rsidR="00A55AF9" w:rsidRPr="00225B65">
        <w:rPr>
          <w:sz w:val="22"/>
          <w:szCs w:val="22"/>
        </w:rPr>
        <w:t xml:space="preserve">. Každá z kapitol začíná obecnou charakteristikou </w:t>
      </w:r>
      <w:r w:rsidR="009E1E60" w:rsidRPr="00225B65">
        <w:rPr>
          <w:sz w:val="22"/>
          <w:szCs w:val="22"/>
        </w:rPr>
        <w:t>společensko-</w:t>
      </w:r>
      <w:r w:rsidR="00A55AF9" w:rsidRPr="00225B65">
        <w:rPr>
          <w:sz w:val="22"/>
          <w:szCs w:val="22"/>
        </w:rPr>
        <w:t>kulturních souvislostí</w:t>
      </w:r>
      <w:r w:rsidR="009E1E60" w:rsidRPr="00225B65">
        <w:rPr>
          <w:sz w:val="22"/>
          <w:szCs w:val="22"/>
        </w:rPr>
        <w:t xml:space="preserve"> a přechází v</w:t>
      </w:r>
      <w:r w:rsidR="00AA529D" w:rsidRPr="00225B65">
        <w:rPr>
          <w:sz w:val="22"/>
          <w:szCs w:val="22"/>
        </w:rPr>
        <w:t>e sledování</w:t>
      </w:r>
      <w:r w:rsidR="009E1E60" w:rsidRPr="00225B65">
        <w:rPr>
          <w:sz w:val="22"/>
          <w:szCs w:val="22"/>
        </w:rPr>
        <w:t xml:space="preserve"> kontext</w:t>
      </w:r>
      <w:r w:rsidR="00AA529D" w:rsidRPr="00225B65">
        <w:rPr>
          <w:sz w:val="22"/>
          <w:szCs w:val="22"/>
        </w:rPr>
        <w:t>u</w:t>
      </w:r>
      <w:r w:rsidR="009E1E60" w:rsidRPr="00225B65">
        <w:rPr>
          <w:sz w:val="22"/>
          <w:szCs w:val="22"/>
        </w:rPr>
        <w:t xml:space="preserve"> Kupkova díla</w:t>
      </w:r>
      <w:r w:rsidR="00A55AF9" w:rsidRPr="00225B65">
        <w:rPr>
          <w:sz w:val="22"/>
          <w:szCs w:val="22"/>
        </w:rPr>
        <w:t xml:space="preserve">. </w:t>
      </w:r>
      <w:r w:rsidR="00EF35E8" w:rsidRPr="00225B65">
        <w:rPr>
          <w:sz w:val="22"/>
          <w:szCs w:val="22"/>
        </w:rPr>
        <w:t>Druhá polovina práce, její interpretační část</w:t>
      </w:r>
      <w:r w:rsidR="000036DA" w:rsidRPr="00225B65">
        <w:rPr>
          <w:sz w:val="22"/>
          <w:szCs w:val="22"/>
        </w:rPr>
        <w:t xml:space="preserve"> (8. kapitola, s. 26–55)</w:t>
      </w:r>
      <w:r w:rsidR="00EF35E8" w:rsidRPr="00225B65">
        <w:rPr>
          <w:sz w:val="22"/>
          <w:szCs w:val="22"/>
        </w:rPr>
        <w:t xml:space="preserve">, je věnována vybraným titulům. Autor si </w:t>
      </w:r>
      <w:r w:rsidR="000036DA" w:rsidRPr="00225B65">
        <w:rPr>
          <w:sz w:val="22"/>
          <w:szCs w:val="22"/>
        </w:rPr>
        <w:t xml:space="preserve">zvolil </w:t>
      </w:r>
      <w:r w:rsidR="00EF35E8" w:rsidRPr="00225B65">
        <w:rPr>
          <w:sz w:val="22"/>
          <w:szCs w:val="22"/>
        </w:rPr>
        <w:t xml:space="preserve">z </w:t>
      </w:r>
      <w:r w:rsidR="000036DA" w:rsidRPr="00225B65">
        <w:rPr>
          <w:sz w:val="22"/>
          <w:szCs w:val="22"/>
        </w:rPr>
        <w:t xml:space="preserve">celé </w:t>
      </w:r>
      <w:r w:rsidR="00EF35E8" w:rsidRPr="00225B65">
        <w:rPr>
          <w:sz w:val="22"/>
          <w:szCs w:val="22"/>
        </w:rPr>
        <w:t xml:space="preserve">rozlohy Kupkova odkazu třináct titulů, </w:t>
      </w:r>
      <w:r w:rsidR="000036DA" w:rsidRPr="00225B65">
        <w:rPr>
          <w:sz w:val="22"/>
          <w:szCs w:val="22"/>
        </w:rPr>
        <w:t xml:space="preserve">a </w:t>
      </w:r>
      <w:r w:rsidR="00EF35E8" w:rsidRPr="00225B65">
        <w:rPr>
          <w:sz w:val="22"/>
          <w:szCs w:val="22"/>
        </w:rPr>
        <w:t xml:space="preserve">prokázal tak </w:t>
      </w:r>
      <w:r w:rsidR="003A0CA6" w:rsidRPr="00225B65">
        <w:rPr>
          <w:sz w:val="22"/>
          <w:szCs w:val="22"/>
        </w:rPr>
        <w:t xml:space="preserve">jeho </w:t>
      </w:r>
      <w:r w:rsidR="000036DA" w:rsidRPr="00225B65">
        <w:rPr>
          <w:sz w:val="22"/>
          <w:szCs w:val="22"/>
        </w:rPr>
        <w:t xml:space="preserve">komplexní </w:t>
      </w:r>
      <w:r w:rsidR="00EF35E8" w:rsidRPr="00225B65">
        <w:rPr>
          <w:sz w:val="22"/>
          <w:szCs w:val="22"/>
        </w:rPr>
        <w:t>znalost. Sleduje jeho vývoj, genologické peripetie</w:t>
      </w:r>
      <w:r w:rsidR="001D096D" w:rsidRPr="00225B65">
        <w:rPr>
          <w:sz w:val="22"/>
          <w:szCs w:val="22"/>
        </w:rPr>
        <w:t xml:space="preserve"> </w:t>
      </w:r>
      <w:r w:rsidR="00EF35E8" w:rsidRPr="00225B65">
        <w:rPr>
          <w:sz w:val="22"/>
          <w:szCs w:val="22"/>
        </w:rPr>
        <w:t xml:space="preserve">a </w:t>
      </w:r>
      <w:r w:rsidR="001D096D" w:rsidRPr="00225B65">
        <w:rPr>
          <w:sz w:val="22"/>
          <w:szCs w:val="22"/>
        </w:rPr>
        <w:t xml:space="preserve">snaží se rozpoznat, čím </w:t>
      </w:r>
      <w:r w:rsidR="00EF35E8" w:rsidRPr="00225B65">
        <w:rPr>
          <w:sz w:val="22"/>
          <w:szCs w:val="22"/>
        </w:rPr>
        <w:t>Kupka „naši literární scénu výrazně ovlivnil“</w:t>
      </w:r>
      <w:r w:rsidR="001D096D" w:rsidRPr="00225B65">
        <w:rPr>
          <w:sz w:val="22"/>
          <w:szCs w:val="22"/>
        </w:rPr>
        <w:t xml:space="preserve">. Shledávám jako velmi přínosné, že se autor </w:t>
      </w:r>
      <w:r w:rsidR="000036DA" w:rsidRPr="00225B65">
        <w:rPr>
          <w:sz w:val="22"/>
          <w:szCs w:val="22"/>
        </w:rPr>
        <w:t xml:space="preserve">s velkým zaujetím </w:t>
      </w:r>
      <w:r w:rsidR="001D096D" w:rsidRPr="00225B65">
        <w:rPr>
          <w:sz w:val="22"/>
          <w:szCs w:val="22"/>
        </w:rPr>
        <w:t xml:space="preserve">zaměřil na </w:t>
      </w:r>
      <w:r w:rsidR="000036DA" w:rsidRPr="00225B65">
        <w:rPr>
          <w:sz w:val="22"/>
          <w:szCs w:val="22"/>
        </w:rPr>
        <w:t>spisovatele</w:t>
      </w:r>
      <w:r w:rsidR="001D096D" w:rsidRPr="00225B65">
        <w:rPr>
          <w:sz w:val="22"/>
          <w:szCs w:val="22"/>
        </w:rPr>
        <w:t>, kter</w:t>
      </w:r>
      <w:r w:rsidR="000036DA" w:rsidRPr="00225B65">
        <w:rPr>
          <w:sz w:val="22"/>
          <w:szCs w:val="22"/>
        </w:rPr>
        <w:t>ý dnes není shled</w:t>
      </w:r>
      <w:r w:rsidR="003A0CA6" w:rsidRPr="00225B65">
        <w:rPr>
          <w:sz w:val="22"/>
          <w:szCs w:val="22"/>
        </w:rPr>
        <w:t>áv</w:t>
      </w:r>
      <w:r w:rsidR="000036DA" w:rsidRPr="00225B65">
        <w:rPr>
          <w:sz w:val="22"/>
          <w:szCs w:val="22"/>
        </w:rPr>
        <w:t xml:space="preserve">án jako </w:t>
      </w:r>
      <w:r w:rsidR="001D096D" w:rsidRPr="00225B65">
        <w:rPr>
          <w:sz w:val="22"/>
          <w:szCs w:val="22"/>
        </w:rPr>
        <w:t>k</w:t>
      </w:r>
      <w:r w:rsidR="000036DA" w:rsidRPr="00225B65">
        <w:rPr>
          <w:sz w:val="22"/>
          <w:szCs w:val="22"/>
        </w:rPr>
        <w:t>a</w:t>
      </w:r>
      <w:r w:rsidR="001D096D" w:rsidRPr="00225B65">
        <w:rPr>
          <w:sz w:val="22"/>
          <w:szCs w:val="22"/>
        </w:rPr>
        <w:t>non</w:t>
      </w:r>
      <w:r w:rsidR="000036DA" w:rsidRPr="00225B65">
        <w:rPr>
          <w:sz w:val="22"/>
          <w:szCs w:val="22"/>
        </w:rPr>
        <w:t xml:space="preserve">ický </w:t>
      </w:r>
      <w:r w:rsidR="00AA529D" w:rsidRPr="00225B65">
        <w:rPr>
          <w:sz w:val="22"/>
          <w:szCs w:val="22"/>
        </w:rPr>
        <w:t>(</w:t>
      </w:r>
      <w:r w:rsidR="003A0CA6" w:rsidRPr="00225B65">
        <w:rPr>
          <w:sz w:val="22"/>
          <w:szCs w:val="22"/>
        </w:rPr>
        <w:t xml:space="preserve">nebo </w:t>
      </w:r>
      <w:r w:rsidR="001D096D" w:rsidRPr="00225B65">
        <w:rPr>
          <w:sz w:val="22"/>
          <w:szCs w:val="22"/>
        </w:rPr>
        <w:t xml:space="preserve">jehož odkaz </w:t>
      </w:r>
      <w:r w:rsidR="003A0CA6" w:rsidRPr="00225B65">
        <w:rPr>
          <w:sz w:val="22"/>
          <w:szCs w:val="22"/>
        </w:rPr>
        <w:t xml:space="preserve">prostě </w:t>
      </w:r>
      <w:r w:rsidR="001D096D" w:rsidRPr="00225B65">
        <w:rPr>
          <w:sz w:val="22"/>
          <w:szCs w:val="22"/>
        </w:rPr>
        <w:t>není jednoznačný</w:t>
      </w:r>
      <w:r w:rsidR="00AA529D" w:rsidRPr="00225B65">
        <w:rPr>
          <w:sz w:val="22"/>
          <w:szCs w:val="22"/>
        </w:rPr>
        <w:t>)</w:t>
      </w:r>
      <w:r w:rsidR="001D096D" w:rsidRPr="00225B65">
        <w:rPr>
          <w:sz w:val="22"/>
          <w:szCs w:val="22"/>
        </w:rPr>
        <w:t xml:space="preserve">, </w:t>
      </w:r>
      <w:r w:rsidR="000036DA" w:rsidRPr="00225B65">
        <w:rPr>
          <w:sz w:val="22"/>
          <w:szCs w:val="22"/>
        </w:rPr>
        <w:t xml:space="preserve">ale </w:t>
      </w:r>
      <w:r w:rsidR="001D096D" w:rsidRPr="00225B65">
        <w:rPr>
          <w:sz w:val="22"/>
          <w:szCs w:val="22"/>
        </w:rPr>
        <w:t xml:space="preserve">bohužel </w:t>
      </w:r>
      <w:r w:rsidR="000036DA" w:rsidRPr="00225B65">
        <w:rPr>
          <w:sz w:val="22"/>
          <w:szCs w:val="22"/>
        </w:rPr>
        <w:t xml:space="preserve">se mu </w:t>
      </w:r>
      <w:r w:rsidR="003A0CA6" w:rsidRPr="00225B65">
        <w:rPr>
          <w:sz w:val="22"/>
          <w:szCs w:val="22"/>
        </w:rPr>
        <w:t xml:space="preserve">po mém soudu </w:t>
      </w:r>
      <w:r w:rsidR="000036DA" w:rsidRPr="00225B65">
        <w:rPr>
          <w:sz w:val="22"/>
          <w:szCs w:val="22"/>
        </w:rPr>
        <w:t xml:space="preserve">nepodařilo </w:t>
      </w:r>
      <w:r w:rsidR="001D096D" w:rsidRPr="00225B65">
        <w:rPr>
          <w:sz w:val="22"/>
          <w:szCs w:val="22"/>
        </w:rPr>
        <w:t xml:space="preserve">prokazatelně </w:t>
      </w:r>
      <w:r w:rsidR="000036DA" w:rsidRPr="00225B65">
        <w:rPr>
          <w:sz w:val="22"/>
          <w:szCs w:val="22"/>
        </w:rPr>
        <w:t>doložit</w:t>
      </w:r>
      <w:r w:rsidR="001D096D" w:rsidRPr="00225B65">
        <w:rPr>
          <w:sz w:val="22"/>
          <w:szCs w:val="22"/>
        </w:rPr>
        <w:t xml:space="preserve">, v čem by mělo tkvít </w:t>
      </w:r>
      <w:r w:rsidR="000036DA" w:rsidRPr="00225B65">
        <w:rPr>
          <w:sz w:val="22"/>
          <w:szCs w:val="22"/>
        </w:rPr>
        <w:t xml:space="preserve">Kupkovo </w:t>
      </w:r>
      <w:r w:rsidR="001D096D" w:rsidRPr="00225B65">
        <w:rPr>
          <w:sz w:val="22"/>
          <w:szCs w:val="22"/>
        </w:rPr>
        <w:t>„nadčasové poselství“</w:t>
      </w:r>
      <w:r w:rsidR="003A0CA6" w:rsidRPr="00225B65">
        <w:rPr>
          <w:sz w:val="22"/>
          <w:szCs w:val="22"/>
        </w:rPr>
        <w:t xml:space="preserve"> (jak zní závěrečné vyjádření)</w:t>
      </w:r>
      <w:r w:rsidR="001D096D" w:rsidRPr="00225B65">
        <w:rPr>
          <w:sz w:val="22"/>
          <w:szCs w:val="22"/>
        </w:rPr>
        <w:t xml:space="preserve">. </w:t>
      </w:r>
      <w:r w:rsidR="005B2F8C" w:rsidRPr="00225B65">
        <w:rPr>
          <w:sz w:val="22"/>
          <w:szCs w:val="22"/>
        </w:rPr>
        <w:t xml:space="preserve">– </w:t>
      </w:r>
      <w:r w:rsidR="00AA529D" w:rsidRPr="00225B65">
        <w:rPr>
          <w:sz w:val="22"/>
          <w:szCs w:val="22"/>
        </w:rPr>
        <w:t xml:space="preserve">Jako oponent však musím uvést, že </w:t>
      </w:r>
      <w:r w:rsidR="001D096D" w:rsidRPr="00225B65">
        <w:rPr>
          <w:sz w:val="22"/>
          <w:szCs w:val="22"/>
        </w:rPr>
        <w:t xml:space="preserve">nebyl </w:t>
      </w:r>
      <w:r w:rsidR="00AA529D" w:rsidRPr="00225B65">
        <w:rPr>
          <w:sz w:val="22"/>
          <w:szCs w:val="22"/>
        </w:rPr>
        <w:t xml:space="preserve">zcela </w:t>
      </w:r>
      <w:r w:rsidR="001D096D" w:rsidRPr="00225B65">
        <w:rPr>
          <w:sz w:val="22"/>
          <w:szCs w:val="22"/>
        </w:rPr>
        <w:t>naplněn hlavní záměr</w:t>
      </w:r>
      <w:r w:rsidR="00AA529D" w:rsidRPr="00225B65">
        <w:rPr>
          <w:sz w:val="22"/>
          <w:szCs w:val="22"/>
        </w:rPr>
        <w:t xml:space="preserve"> </w:t>
      </w:r>
      <w:r w:rsidR="001D096D" w:rsidRPr="00225B65">
        <w:rPr>
          <w:sz w:val="22"/>
          <w:szCs w:val="22"/>
        </w:rPr>
        <w:t xml:space="preserve">sledovat </w:t>
      </w:r>
      <w:r w:rsidR="00EF35E8" w:rsidRPr="00225B65">
        <w:rPr>
          <w:sz w:val="22"/>
          <w:szCs w:val="22"/>
        </w:rPr>
        <w:t>Kupkův „literární styl“ (25)</w:t>
      </w:r>
      <w:r w:rsidR="001D096D" w:rsidRPr="00225B65">
        <w:rPr>
          <w:sz w:val="22"/>
          <w:szCs w:val="22"/>
        </w:rPr>
        <w:t xml:space="preserve">. A to ani teoreticky (nikde </w:t>
      </w:r>
      <w:r w:rsidR="00AA529D" w:rsidRPr="00225B65">
        <w:rPr>
          <w:sz w:val="22"/>
          <w:szCs w:val="22"/>
        </w:rPr>
        <w:t xml:space="preserve">není definován, ani </w:t>
      </w:r>
      <w:r w:rsidR="001D096D" w:rsidRPr="00225B65">
        <w:rPr>
          <w:sz w:val="22"/>
          <w:szCs w:val="22"/>
        </w:rPr>
        <w:t>se nedozvíme, co by jím mělo být), ani interpretačně (</w:t>
      </w:r>
      <w:r w:rsidR="000036DA" w:rsidRPr="00225B65">
        <w:rPr>
          <w:sz w:val="22"/>
          <w:szCs w:val="22"/>
        </w:rPr>
        <w:t xml:space="preserve">četné </w:t>
      </w:r>
      <w:r w:rsidR="001D096D" w:rsidRPr="00225B65">
        <w:rPr>
          <w:sz w:val="22"/>
          <w:szCs w:val="22"/>
        </w:rPr>
        <w:t>pozoruhodné</w:t>
      </w:r>
      <w:r w:rsidR="00225B65" w:rsidRPr="00225B65">
        <w:rPr>
          <w:sz w:val="22"/>
          <w:szCs w:val="22"/>
        </w:rPr>
        <w:t xml:space="preserve"> </w:t>
      </w:r>
      <w:r w:rsidR="000036DA" w:rsidRPr="00225B65">
        <w:rPr>
          <w:sz w:val="22"/>
          <w:szCs w:val="22"/>
        </w:rPr>
        <w:t xml:space="preserve">postřehy a závěry jsou bohužel </w:t>
      </w:r>
      <w:r w:rsidR="001D096D" w:rsidRPr="00225B65">
        <w:rPr>
          <w:sz w:val="22"/>
          <w:szCs w:val="22"/>
        </w:rPr>
        <w:t>zastíněny soudy</w:t>
      </w:r>
      <w:r w:rsidR="000036DA" w:rsidRPr="00225B65">
        <w:rPr>
          <w:sz w:val="22"/>
          <w:szCs w:val="22"/>
        </w:rPr>
        <w:t xml:space="preserve"> zcela nepodloženými až naivizujícími)</w:t>
      </w:r>
      <w:r w:rsidR="001D096D" w:rsidRPr="00225B65">
        <w:rPr>
          <w:sz w:val="22"/>
          <w:szCs w:val="22"/>
        </w:rPr>
        <w:t xml:space="preserve">. </w:t>
      </w:r>
      <w:r w:rsidR="000036DA" w:rsidRPr="00225B65">
        <w:rPr>
          <w:sz w:val="22"/>
          <w:szCs w:val="22"/>
        </w:rPr>
        <w:t xml:space="preserve">Tak se například dočteme, že </w:t>
      </w:r>
      <w:r w:rsidR="000036DA" w:rsidRPr="00225B65">
        <w:rPr>
          <w:rFonts w:eastAsiaTheme="minorHAnsi"/>
          <w:kern w:val="0"/>
          <w:sz w:val="22"/>
          <w:szCs w:val="22"/>
          <w:lang w:eastAsia="en-US"/>
        </w:rPr>
        <w:t xml:space="preserve">Kupkův styl je „patrný již od jeho literárního debutu“, ale jedním dechem, že je „těžké určit jednoznačný styl Kupkových románů“ (6) – a nezachrání to ani nadsázka, že se jedná o </w:t>
      </w:r>
      <w:r w:rsidR="000036DA" w:rsidRPr="00225B65">
        <w:rPr>
          <w:sz w:val="22"/>
          <w:szCs w:val="22"/>
        </w:rPr>
        <w:t xml:space="preserve">„románového všeumělce“ (7). </w:t>
      </w:r>
    </w:p>
    <w:p w:rsidR="00AA529D" w:rsidRPr="00225B65" w:rsidRDefault="00AA529D" w:rsidP="000036DA">
      <w:pPr>
        <w:jc w:val="both"/>
        <w:rPr>
          <w:sz w:val="22"/>
          <w:szCs w:val="22"/>
        </w:rPr>
      </w:pPr>
    </w:p>
    <w:p w:rsidR="007D111C" w:rsidRPr="00225B65" w:rsidRDefault="007D111C" w:rsidP="0029540C">
      <w:pPr>
        <w:tabs>
          <w:tab w:val="left" w:pos="10928"/>
        </w:tabs>
        <w:jc w:val="both"/>
        <w:rPr>
          <w:sz w:val="22"/>
          <w:szCs w:val="22"/>
        </w:rPr>
      </w:pPr>
    </w:p>
    <w:p w:rsidR="00D77230" w:rsidRPr="00225B65" w:rsidRDefault="00D77230" w:rsidP="0029540C">
      <w:pPr>
        <w:jc w:val="both"/>
        <w:rPr>
          <w:sz w:val="22"/>
          <w:szCs w:val="22"/>
        </w:rPr>
      </w:pPr>
      <w:r w:rsidRPr="00225B65">
        <w:rPr>
          <w:sz w:val="22"/>
          <w:szCs w:val="22"/>
        </w:rPr>
        <w:lastRenderedPageBreak/>
        <w:t>body (0–4)</w:t>
      </w:r>
    </w:p>
    <w:tbl>
      <w:tblPr>
        <w:tblW w:w="0" w:type="auto"/>
        <w:tblLayout w:type="fixed"/>
        <w:tblCellMar>
          <w:top w:w="55" w:type="dxa"/>
          <w:left w:w="55" w:type="dxa"/>
          <w:bottom w:w="55" w:type="dxa"/>
          <w:right w:w="55" w:type="dxa"/>
        </w:tblCellMar>
        <w:tblLook w:val="04A0"/>
      </w:tblPr>
      <w:tblGrid>
        <w:gridCol w:w="1137"/>
      </w:tblGrid>
      <w:tr w:rsidR="00D77230" w:rsidRPr="00225B65" w:rsidTr="00D77230">
        <w:trPr>
          <w:trHeight w:val="276"/>
        </w:trPr>
        <w:tc>
          <w:tcPr>
            <w:tcW w:w="1137" w:type="dxa"/>
            <w:tcBorders>
              <w:top w:val="single" w:sz="2" w:space="0" w:color="000000"/>
              <w:left w:val="single" w:sz="2" w:space="0" w:color="000000"/>
              <w:bottom w:val="single" w:sz="2" w:space="0" w:color="000000"/>
              <w:right w:val="single" w:sz="2" w:space="0" w:color="000000"/>
            </w:tcBorders>
            <w:hideMark/>
          </w:tcPr>
          <w:p w:rsidR="00D77230" w:rsidRPr="00225B65" w:rsidRDefault="002B3C16" w:rsidP="0029540C">
            <w:pPr>
              <w:pStyle w:val="Obsahtabulky"/>
              <w:snapToGrid w:val="0"/>
              <w:spacing w:line="276" w:lineRule="auto"/>
              <w:jc w:val="both"/>
              <w:rPr>
                <w:sz w:val="22"/>
                <w:szCs w:val="22"/>
              </w:rPr>
            </w:pPr>
            <w:r w:rsidRPr="00225B65">
              <w:rPr>
                <w:sz w:val="22"/>
                <w:szCs w:val="22"/>
              </w:rPr>
              <w:t>2</w:t>
            </w:r>
          </w:p>
        </w:tc>
      </w:tr>
    </w:tbl>
    <w:p w:rsidR="00D77230" w:rsidRPr="00225B65" w:rsidRDefault="00D77230" w:rsidP="0029540C">
      <w:pPr>
        <w:jc w:val="both"/>
        <w:rPr>
          <w:sz w:val="22"/>
          <w:szCs w:val="22"/>
        </w:rPr>
      </w:pPr>
    </w:p>
    <w:p w:rsidR="00D77230" w:rsidRPr="00225B65" w:rsidRDefault="00D77230" w:rsidP="0029540C">
      <w:pPr>
        <w:jc w:val="both"/>
        <w:rPr>
          <w:sz w:val="22"/>
          <w:szCs w:val="22"/>
        </w:rPr>
      </w:pPr>
      <w:r w:rsidRPr="00225B65">
        <w:rPr>
          <w:b/>
          <w:bCs/>
          <w:sz w:val="22"/>
          <w:szCs w:val="22"/>
        </w:rPr>
        <w:t>III. Obsahové zpracování, přístup k řešení, řešení dílčích problémů</w:t>
      </w:r>
      <w:r w:rsidRPr="00225B65">
        <w:rPr>
          <w:sz w:val="22"/>
          <w:szCs w:val="22"/>
        </w:rPr>
        <w:t xml:space="preserve"> </w:t>
      </w:r>
    </w:p>
    <w:p w:rsidR="00D77230" w:rsidRPr="00225B65" w:rsidRDefault="00D77230" w:rsidP="0029540C">
      <w:pPr>
        <w:jc w:val="both"/>
        <w:rPr>
          <w:sz w:val="22"/>
          <w:szCs w:val="22"/>
        </w:rPr>
      </w:pPr>
      <w:r w:rsidRPr="00225B65">
        <w:rPr>
          <w:sz w:val="22"/>
          <w:szCs w:val="22"/>
        </w:rPr>
        <w:t>(struktura a koheznost práce, vhled do problematiky, využití relevantních odborných zdrojů, adekvátní pojmový aparát, praktická aplikace teoretického rámce, samostatnost zpracování)</w:t>
      </w:r>
    </w:p>
    <w:p w:rsidR="00D77230" w:rsidRPr="00225B65" w:rsidRDefault="00D77230" w:rsidP="0029540C">
      <w:pPr>
        <w:jc w:val="both"/>
        <w:rPr>
          <w:sz w:val="22"/>
          <w:szCs w:val="22"/>
        </w:rPr>
      </w:pPr>
    </w:p>
    <w:p w:rsidR="00225B65" w:rsidRPr="00225B65" w:rsidRDefault="005B2F8C" w:rsidP="00CB6A5C">
      <w:pPr>
        <w:jc w:val="both"/>
        <w:rPr>
          <w:sz w:val="22"/>
          <w:szCs w:val="22"/>
        </w:rPr>
      </w:pPr>
      <w:r w:rsidRPr="00225B65">
        <w:rPr>
          <w:sz w:val="22"/>
          <w:szCs w:val="22"/>
        </w:rPr>
        <w:t xml:space="preserve">Ve vstupních kapitolách se autor opírá o </w:t>
      </w:r>
      <w:r w:rsidR="001D096D" w:rsidRPr="00225B65">
        <w:rPr>
          <w:sz w:val="22"/>
          <w:szCs w:val="22"/>
        </w:rPr>
        <w:t>základní</w:t>
      </w:r>
      <w:r w:rsidRPr="00225B65">
        <w:rPr>
          <w:sz w:val="22"/>
          <w:szCs w:val="22"/>
        </w:rPr>
        <w:t xml:space="preserve"> </w:t>
      </w:r>
      <w:r w:rsidR="001D096D" w:rsidRPr="00225B65">
        <w:rPr>
          <w:sz w:val="22"/>
          <w:szCs w:val="22"/>
        </w:rPr>
        <w:t>literárněhistorick</w:t>
      </w:r>
      <w:r w:rsidRPr="00225B65">
        <w:rPr>
          <w:sz w:val="22"/>
          <w:szCs w:val="22"/>
        </w:rPr>
        <w:t xml:space="preserve">é </w:t>
      </w:r>
      <w:r w:rsidR="001D096D" w:rsidRPr="00225B65">
        <w:rPr>
          <w:sz w:val="22"/>
          <w:szCs w:val="22"/>
        </w:rPr>
        <w:t>příručk</w:t>
      </w:r>
      <w:r w:rsidRPr="00225B65">
        <w:rPr>
          <w:sz w:val="22"/>
          <w:szCs w:val="22"/>
        </w:rPr>
        <w:t>y</w:t>
      </w:r>
      <w:r w:rsidR="001D096D" w:rsidRPr="00225B65">
        <w:rPr>
          <w:sz w:val="22"/>
          <w:szCs w:val="22"/>
        </w:rPr>
        <w:t>, případně doplněn</w:t>
      </w:r>
      <w:r w:rsidRPr="00225B65">
        <w:rPr>
          <w:sz w:val="22"/>
          <w:szCs w:val="22"/>
        </w:rPr>
        <w:t>é</w:t>
      </w:r>
      <w:r w:rsidR="001D096D" w:rsidRPr="00225B65">
        <w:rPr>
          <w:sz w:val="22"/>
          <w:szCs w:val="22"/>
        </w:rPr>
        <w:t xml:space="preserve"> o další </w:t>
      </w:r>
      <w:r w:rsidR="00225B65" w:rsidRPr="00225B65">
        <w:rPr>
          <w:sz w:val="22"/>
          <w:szCs w:val="22"/>
        </w:rPr>
        <w:t xml:space="preserve">dílčí </w:t>
      </w:r>
      <w:r w:rsidR="001D096D" w:rsidRPr="00225B65">
        <w:rPr>
          <w:sz w:val="22"/>
          <w:szCs w:val="22"/>
        </w:rPr>
        <w:t>literaturu</w:t>
      </w:r>
      <w:r w:rsidRPr="00225B65">
        <w:rPr>
          <w:sz w:val="22"/>
          <w:szCs w:val="22"/>
        </w:rPr>
        <w:t>:</w:t>
      </w:r>
      <w:r w:rsidR="001D096D" w:rsidRPr="00225B65">
        <w:rPr>
          <w:sz w:val="22"/>
          <w:szCs w:val="22"/>
        </w:rPr>
        <w:t xml:space="preserve"> 60. léta </w:t>
      </w:r>
      <w:r w:rsidRPr="00225B65">
        <w:rPr>
          <w:sz w:val="22"/>
          <w:szCs w:val="22"/>
        </w:rPr>
        <w:t>o</w:t>
      </w:r>
      <w:r w:rsidR="001D096D" w:rsidRPr="00225B65">
        <w:rPr>
          <w:sz w:val="22"/>
          <w:szCs w:val="22"/>
        </w:rPr>
        <w:t xml:space="preserve"> Panorama české literatury (12), </w:t>
      </w:r>
      <w:proofErr w:type="gramStart"/>
      <w:r w:rsidR="001D096D" w:rsidRPr="00225B65">
        <w:rPr>
          <w:sz w:val="22"/>
          <w:szCs w:val="22"/>
        </w:rPr>
        <w:t>70./80</w:t>
      </w:r>
      <w:proofErr w:type="gramEnd"/>
      <w:r w:rsidR="001D096D" w:rsidRPr="00225B65">
        <w:rPr>
          <w:sz w:val="22"/>
          <w:szCs w:val="22"/>
        </w:rPr>
        <w:t>. l</w:t>
      </w:r>
      <w:r w:rsidR="00225B65" w:rsidRPr="00225B65">
        <w:rPr>
          <w:sz w:val="22"/>
          <w:szCs w:val="22"/>
        </w:rPr>
        <w:t>éta</w:t>
      </w:r>
      <w:r w:rsidR="001D096D" w:rsidRPr="00225B65">
        <w:rPr>
          <w:sz w:val="22"/>
          <w:szCs w:val="22"/>
        </w:rPr>
        <w:t xml:space="preserve"> </w:t>
      </w:r>
      <w:r w:rsidRPr="00225B65">
        <w:rPr>
          <w:sz w:val="22"/>
          <w:szCs w:val="22"/>
        </w:rPr>
        <w:t>o D</w:t>
      </w:r>
      <w:r w:rsidR="001D096D" w:rsidRPr="00225B65">
        <w:rPr>
          <w:sz w:val="22"/>
          <w:szCs w:val="22"/>
        </w:rPr>
        <w:t>ějin</w:t>
      </w:r>
      <w:r w:rsidRPr="00225B65">
        <w:rPr>
          <w:sz w:val="22"/>
          <w:szCs w:val="22"/>
        </w:rPr>
        <w:t>y</w:t>
      </w:r>
      <w:r w:rsidR="001D096D" w:rsidRPr="00225B65">
        <w:rPr>
          <w:sz w:val="22"/>
          <w:szCs w:val="22"/>
        </w:rPr>
        <w:t xml:space="preserve"> české literatury 1945–1989 (16), 90. léta opět </w:t>
      </w:r>
      <w:r w:rsidRPr="00225B65">
        <w:rPr>
          <w:sz w:val="22"/>
          <w:szCs w:val="22"/>
        </w:rPr>
        <w:t xml:space="preserve">o </w:t>
      </w:r>
      <w:r w:rsidR="001D096D" w:rsidRPr="00225B65">
        <w:rPr>
          <w:sz w:val="22"/>
          <w:szCs w:val="22"/>
        </w:rPr>
        <w:t xml:space="preserve">Panorama či V souřadnicích volnosti a nulté roky </w:t>
      </w:r>
      <w:r w:rsidRPr="00225B65">
        <w:rPr>
          <w:sz w:val="22"/>
          <w:szCs w:val="22"/>
        </w:rPr>
        <w:t xml:space="preserve">o </w:t>
      </w:r>
      <w:r w:rsidR="001D096D" w:rsidRPr="00225B65">
        <w:rPr>
          <w:sz w:val="22"/>
          <w:szCs w:val="22"/>
        </w:rPr>
        <w:t xml:space="preserve">V souřadnicích mnohosti (24). Mnohdy však jde o značnou závislost, např. začátek normalizační kapitoly je de facto koláží citací (kdy se na jedné straně objeví </w:t>
      </w:r>
      <w:r w:rsidR="00225B65" w:rsidRPr="00225B65">
        <w:rPr>
          <w:sz w:val="22"/>
          <w:szCs w:val="22"/>
        </w:rPr>
        <w:t xml:space="preserve">jen pár </w:t>
      </w:r>
      <w:r w:rsidR="001D096D" w:rsidRPr="00225B65">
        <w:rPr>
          <w:sz w:val="22"/>
          <w:szCs w:val="22"/>
        </w:rPr>
        <w:t>řádek vlastního textu</w:t>
      </w:r>
      <w:r w:rsidR="00225B65" w:rsidRPr="00225B65">
        <w:rPr>
          <w:sz w:val="22"/>
          <w:szCs w:val="22"/>
        </w:rPr>
        <w:t>, 16n.)</w:t>
      </w:r>
      <w:r w:rsidR="001D096D" w:rsidRPr="00225B65">
        <w:rPr>
          <w:sz w:val="22"/>
          <w:szCs w:val="22"/>
        </w:rPr>
        <w:t xml:space="preserve">. Také překvapí minimální, rozhodně proporčně neadekvátní pozornost věnovaná poslednímu období (jen 1 strana). </w:t>
      </w:r>
      <w:r w:rsidRPr="00225B65">
        <w:rPr>
          <w:sz w:val="22"/>
          <w:szCs w:val="22"/>
        </w:rPr>
        <w:t>(</w:t>
      </w:r>
      <w:r w:rsidR="001D096D" w:rsidRPr="00225B65">
        <w:rPr>
          <w:sz w:val="22"/>
          <w:szCs w:val="22"/>
        </w:rPr>
        <w:t xml:space="preserve">A přidejme, že u žádného odkazu na učebnici Česká literatura od počátků k dnešku není citován autor </w:t>
      </w:r>
      <w:r w:rsidR="00225B65" w:rsidRPr="00225B65">
        <w:rPr>
          <w:sz w:val="22"/>
          <w:szCs w:val="22"/>
        </w:rPr>
        <w:t xml:space="preserve">pojednání </w:t>
      </w:r>
      <w:r w:rsidR="001D096D" w:rsidRPr="00225B65">
        <w:rPr>
          <w:sz w:val="22"/>
          <w:szCs w:val="22"/>
        </w:rPr>
        <w:t>o 20. století Jiří Holý.</w:t>
      </w:r>
      <w:r w:rsidRPr="00225B65">
        <w:rPr>
          <w:sz w:val="22"/>
          <w:szCs w:val="22"/>
        </w:rPr>
        <w:t>)</w:t>
      </w:r>
      <w:r w:rsidR="001D096D" w:rsidRPr="00225B65">
        <w:rPr>
          <w:sz w:val="22"/>
          <w:szCs w:val="22"/>
        </w:rPr>
        <w:t xml:space="preserve"> </w:t>
      </w:r>
    </w:p>
    <w:p w:rsidR="00225B65" w:rsidRPr="00225B65" w:rsidRDefault="00225B65" w:rsidP="001A7556">
      <w:pPr>
        <w:jc w:val="both"/>
        <w:rPr>
          <w:rFonts w:eastAsiaTheme="minorHAnsi"/>
          <w:kern w:val="0"/>
          <w:sz w:val="22"/>
          <w:szCs w:val="22"/>
          <w:lang w:eastAsia="en-US"/>
        </w:rPr>
      </w:pPr>
      <w:r w:rsidRPr="00225B65">
        <w:rPr>
          <w:sz w:val="22"/>
          <w:szCs w:val="22"/>
        </w:rPr>
        <w:tab/>
      </w:r>
      <w:r w:rsidR="005B2F8C" w:rsidRPr="00225B65">
        <w:rPr>
          <w:sz w:val="22"/>
          <w:szCs w:val="22"/>
        </w:rPr>
        <w:t xml:space="preserve">Rovněž musím konstatovat, že </w:t>
      </w:r>
      <w:r w:rsidRPr="00225B65">
        <w:rPr>
          <w:sz w:val="22"/>
          <w:szCs w:val="22"/>
        </w:rPr>
        <w:t xml:space="preserve">v práci </w:t>
      </w:r>
      <w:r w:rsidR="005B2F8C" w:rsidRPr="00225B65">
        <w:rPr>
          <w:sz w:val="22"/>
          <w:szCs w:val="22"/>
        </w:rPr>
        <w:t xml:space="preserve">k žádné naratologické ani genologické analýze nedochází. Souvisí s tím jistě i to, že zde odbornou literaturu autor téměř nepotřebuje: vystačí </w:t>
      </w:r>
      <w:r w:rsidR="00CB6A5C" w:rsidRPr="00225B65">
        <w:rPr>
          <w:sz w:val="22"/>
          <w:szCs w:val="22"/>
        </w:rPr>
        <w:t>si s občasným odkazem na Doležela a výjimečně Kubíčka (</w:t>
      </w:r>
      <w:r w:rsidRPr="00225B65">
        <w:rPr>
          <w:sz w:val="22"/>
          <w:szCs w:val="22"/>
        </w:rPr>
        <w:t xml:space="preserve">u citování této monografie </w:t>
      </w:r>
      <w:r w:rsidR="00CB6A5C" w:rsidRPr="00225B65">
        <w:rPr>
          <w:sz w:val="22"/>
          <w:szCs w:val="22"/>
        </w:rPr>
        <w:t xml:space="preserve">neuvádí </w:t>
      </w:r>
      <w:r w:rsidRPr="00225B65">
        <w:rPr>
          <w:sz w:val="22"/>
          <w:szCs w:val="22"/>
        </w:rPr>
        <w:t xml:space="preserve">celou trojici </w:t>
      </w:r>
      <w:r w:rsidR="00CB6A5C" w:rsidRPr="00225B65">
        <w:rPr>
          <w:sz w:val="22"/>
          <w:szCs w:val="22"/>
        </w:rPr>
        <w:t>autor</w:t>
      </w:r>
      <w:r w:rsidRPr="00225B65">
        <w:rPr>
          <w:sz w:val="22"/>
          <w:szCs w:val="22"/>
        </w:rPr>
        <w:t>ů</w:t>
      </w:r>
      <w:r w:rsidR="005B2F8C" w:rsidRPr="00225B65">
        <w:rPr>
          <w:sz w:val="22"/>
          <w:szCs w:val="22"/>
        </w:rPr>
        <w:t>).</w:t>
      </w:r>
      <w:r w:rsidR="00CB6A5C" w:rsidRPr="00225B65">
        <w:rPr>
          <w:sz w:val="22"/>
          <w:szCs w:val="22"/>
        </w:rPr>
        <w:t xml:space="preserve"> Při interpretaci jednotlivých titulů (žánr, téma, kompozice, vypravěč, jazyk) se autor spokojí s elementárními charakteristikami typu: dílo je psané spisovně, má chronologickou kompozici, vypravěč je vševědoucí. Touto všeobecností však sobě zabraňuje jakkoli uchopit vývoj žánru. Přitom si autor nevšimne základních rozporů</w:t>
      </w:r>
      <w:r w:rsidR="002B3C16" w:rsidRPr="00225B65">
        <w:rPr>
          <w:sz w:val="22"/>
          <w:szCs w:val="22"/>
        </w:rPr>
        <w:t>, např.</w:t>
      </w:r>
      <w:r w:rsidR="00CB6A5C" w:rsidRPr="00225B65">
        <w:rPr>
          <w:sz w:val="22"/>
          <w:szCs w:val="22"/>
        </w:rPr>
        <w:t xml:space="preserve">: </w:t>
      </w:r>
      <w:r w:rsidR="00CB6A5C" w:rsidRPr="00225B65">
        <w:rPr>
          <w:rFonts w:eastAsiaTheme="minorHAnsi"/>
          <w:kern w:val="0"/>
          <w:sz w:val="22"/>
          <w:szCs w:val="22"/>
          <w:lang w:eastAsia="en-US"/>
        </w:rPr>
        <w:t>„Kniha je psána er-formou. Vypravěč se drží dále od ostatních postav“, 26; „Vypravěč je er-formový, ale jasně se staví na stranu hlavní hrdinky“, 42; „Vypravěč je erformový. Není však nezaujatý. Dává najevo své pohledy na konkrétní postavy.</w:t>
      </w:r>
      <w:r w:rsidRPr="00225B65">
        <w:rPr>
          <w:rFonts w:eastAsiaTheme="minorHAnsi"/>
          <w:kern w:val="0"/>
          <w:sz w:val="22"/>
          <w:szCs w:val="22"/>
          <w:lang w:eastAsia="en-US"/>
        </w:rPr>
        <w:t xml:space="preserve"> </w:t>
      </w:r>
      <w:r w:rsidR="00CB6A5C" w:rsidRPr="00225B65">
        <w:rPr>
          <w:rFonts w:eastAsiaTheme="minorHAnsi"/>
          <w:kern w:val="0"/>
          <w:sz w:val="22"/>
          <w:szCs w:val="22"/>
          <w:lang w:eastAsia="en-US"/>
        </w:rPr>
        <w:t>Jedná se o objektivní er-formu, kdy textu vládne třetí osoba“, 46; „Vypravěč je er-formový, ale může působit jako by částečně fandil hlavním postavám. (51–52).</w:t>
      </w:r>
      <w:r w:rsidR="001A7556" w:rsidRPr="00225B65">
        <w:rPr>
          <w:rFonts w:eastAsiaTheme="minorHAnsi"/>
          <w:kern w:val="0"/>
          <w:sz w:val="22"/>
          <w:szCs w:val="22"/>
          <w:lang w:eastAsia="en-US"/>
        </w:rPr>
        <w:t xml:space="preserve"> </w:t>
      </w:r>
      <w:r w:rsidR="00CB6A5C" w:rsidRPr="00225B65">
        <w:rPr>
          <w:rFonts w:eastAsiaTheme="minorHAnsi"/>
          <w:kern w:val="0"/>
          <w:sz w:val="22"/>
          <w:szCs w:val="22"/>
          <w:lang w:eastAsia="en-US"/>
        </w:rPr>
        <w:t xml:space="preserve">Podobnou vágnost nalezneme v postřezích o jazyce a stylu („Jazyk je spisovný, ale místy se vyskytují i hovorové výrazy, hraničící se slangem a argotem“, 40; „Místy je jazyk spisovný a jsou zde slangové výrazy“, 49; „Kupka také v knize zvládl bravurně pracovat s jazykem, který je živý a plný tragikomičnosti“, 32), v soudech o kompozici (např. </w:t>
      </w:r>
      <w:r w:rsidR="00CB6A5C" w:rsidRPr="00225B65">
        <w:rPr>
          <w:sz w:val="22"/>
          <w:szCs w:val="22"/>
        </w:rPr>
        <w:t>„Kompozice je chronologická, ale prolíná se se vzpomínkami Sabiny na jeho dětství“, 49) či o výstavbě textu („</w:t>
      </w:r>
      <w:r w:rsidR="00CB6A5C" w:rsidRPr="00225B65">
        <w:rPr>
          <w:rFonts w:eastAsiaTheme="minorHAnsi"/>
          <w:kern w:val="0"/>
          <w:sz w:val="22"/>
          <w:szCs w:val="22"/>
          <w:lang w:eastAsia="en-US"/>
        </w:rPr>
        <w:t>Text je členěn do odstavců“, 52).</w:t>
      </w:r>
      <w:r w:rsidR="001A7556" w:rsidRPr="00225B65">
        <w:rPr>
          <w:rFonts w:eastAsiaTheme="minorHAnsi"/>
          <w:kern w:val="0"/>
          <w:sz w:val="22"/>
          <w:szCs w:val="22"/>
          <w:lang w:eastAsia="en-US"/>
        </w:rPr>
        <w:t xml:space="preserve"> </w:t>
      </w:r>
    </w:p>
    <w:p w:rsidR="002B3C16" w:rsidRPr="00225B65" w:rsidRDefault="00225B65" w:rsidP="001A7556">
      <w:pPr>
        <w:jc w:val="both"/>
        <w:rPr>
          <w:rFonts w:eastAsiaTheme="minorHAnsi"/>
          <w:kern w:val="0"/>
          <w:sz w:val="22"/>
          <w:szCs w:val="22"/>
          <w:lang w:eastAsia="en-US"/>
        </w:rPr>
      </w:pPr>
      <w:r w:rsidRPr="00225B65">
        <w:rPr>
          <w:rFonts w:eastAsiaTheme="minorHAnsi"/>
          <w:kern w:val="0"/>
          <w:sz w:val="22"/>
          <w:szCs w:val="22"/>
          <w:lang w:eastAsia="en-US"/>
        </w:rPr>
        <w:tab/>
      </w:r>
      <w:r w:rsidR="001A7556" w:rsidRPr="00225B65">
        <w:rPr>
          <w:rFonts w:eastAsiaTheme="minorHAnsi"/>
          <w:kern w:val="0"/>
          <w:sz w:val="22"/>
          <w:szCs w:val="22"/>
          <w:lang w:eastAsia="en-US"/>
        </w:rPr>
        <w:t>Z delších citací snad</w:t>
      </w:r>
      <w:r w:rsidR="002B3C16" w:rsidRPr="00225B65">
        <w:rPr>
          <w:rFonts w:eastAsiaTheme="minorHAnsi"/>
          <w:kern w:val="0"/>
          <w:sz w:val="22"/>
          <w:szCs w:val="22"/>
          <w:lang w:eastAsia="en-US"/>
        </w:rPr>
        <w:t xml:space="preserve"> vyplynula podstata problému: autor ne zcela přesvědčivé literárněteoretické a literárněhistorické myšlení nahrazuje jakýmsi volným psychologizováním (</w:t>
      </w:r>
      <w:r w:rsidRPr="00225B65">
        <w:rPr>
          <w:rFonts w:eastAsiaTheme="minorHAnsi"/>
          <w:kern w:val="0"/>
          <w:sz w:val="22"/>
          <w:szCs w:val="22"/>
          <w:lang w:eastAsia="en-US"/>
        </w:rPr>
        <w:t xml:space="preserve">např. </w:t>
      </w:r>
      <w:r w:rsidR="002B3C16" w:rsidRPr="00225B65">
        <w:rPr>
          <w:sz w:val="22"/>
          <w:szCs w:val="22"/>
        </w:rPr>
        <w:t>„</w:t>
      </w:r>
      <w:r w:rsidR="002B3C16" w:rsidRPr="00225B65">
        <w:rPr>
          <w:rFonts w:eastAsiaTheme="minorHAnsi"/>
          <w:kern w:val="0"/>
          <w:sz w:val="22"/>
          <w:szCs w:val="22"/>
          <w:lang w:eastAsia="en-US"/>
        </w:rPr>
        <w:t xml:space="preserve">Na počátku knihy má čtenář </w:t>
      </w:r>
      <w:r w:rsidR="002B3C16" w:rsidRPr="00225B65">
        <w:rPr>
          <w:rFonts w:eastAsiaTheme="minorHAnsi"/>
          <w:kern w:val="0"/>
          <w:sz w:val="22"/>
          <w:szCs w:val="22"/>
          <w:u w:val="single"/>
          <w:lang w:eastAsia="en-US"/>
        </w:rPr>
        <w:t>pocit</w:t>
      </w:r>
      <w:r w:rsidR="002B3C16" w:rsidRPr="00225B65">
        <w:rPr>
          <w:rFonts w:eastAsiaTheme="minorHAnsi"/>
          <w:kern w:val="0"/>
          <w:sz w:val="22"/>
          <w:szCs w:val="22"/>
          <w:lang w:eastAsia="en-US"/>
        </w:rPr>
        <w:t xml:space="preserve"> otevřeného a známého prostředí. Cesta vlakem na Sibiř a následný pobyt v lágru pak ve čtenáři vyvolávají </w:t>
      </w:r>
      <w:r w:rsidR="002B3C16" w:rsidRPr="00225B65">
        <w:rPr>
          <w:rFonts w:eastAsiaTheme="minorHAnsi"/>
          <w:kern w:val="0"/>
          <w:sz w:val="22"/>
          <w:szCs w:val="22"/>
          <w:u w:val="single"/>
          <w:lang w:eastAsia="en-US"/>
        </w:rPr>
        <w:t>pocit</w:t>
      </w:r>
      <w:r w:rsidR="002B3C16" w:rsidRPr="00225B65">
        <w:rPr>
          <w:rFonts w:eastAsiaTheme="minorHAnsi"/>
          <w:kern w:val="0"/>
          <w:sz w:val="22"/>
          <w:szCs w:val="22"/>
          <w:lang w:eastAsia="en-US"/>
        </w:rPr>
        <w:t xml:space="preserve"> odcizení a stísnění. Právě díky těmto </w:t>
      </w:r>
      <w:r w:rsidR="002B3C16" w:rsidRPr="00225B65">
        <w:rPr>
          <w:rFonts w:eastAsiaTheme="minorHAnsi"/>
          <w:kern w:val="0"/>
          <w:sz w:val="22"/>
          <w:szCs w:val="22"/>
          <w:u w:val="single"/>
          <w:lang w:eastAsia="en-US"/>
        </w:rPr>
        <w:t>pocitům</w:t>
      </w:r>
      <w:r w:rsidR="002B3C16" w:rsidRPr="00225B65">
        <w:rPr>
          <w:rFonts w:eastAsiaTheme="minorHAnsi"/>
          <w:kern w:val="0"/>
          <w:sz w:val="22"/>
          <w:szCs w:val="22"/>
          <w:lang w:eastAsia="en-US"/>
        </w:rPr>
        <w:t xml:space="preserve"> dokáže text dobře pracovat s psychologií čtenáře. Málokterý čtenář totiž knihu odloží, aniž by v něm zanechala nějaký </w:t>
      </w:r>
      <w:r w:rsidR="002B3C16" w:rsidRPr="00225B65">
        <w:rPr>
          <w:rFonts w:eastAsiaTheme="minorHAnsi"/>
          <w:kern w:val="0"/>
          <w:sz w:val="22"/>
          <w:szCs w:val="22"/>
          <w:u w:val="single"/>
          <w:lang w:eastAsia="en-US"/>
        </w:rPr>
        <w:t>dojem</w:t>
      </w:r>
      <w:r w:rsidR="002B3C16" w:rsidRPr="00225B65">
        <w:rPr>
          <w:rFonts w:eastAsiaTheme="minorHAnsi"/>
          <w:kern w:val="0"/>
          <w:sz w:val="22"/>
          <w:szCs w:val="22"/>
          <w:lang w:eastAsia="en-US"/>
        </w:rPr>
        <w:t>“, 43).</w:t>
      </w:r>
    </w:p>
    <w:p w:rsidR="001A7556" w:rsidRPr="00225B65" w:rsidRDefault="002B3C16" w:rsidP="001A7556">
      <w:pPr>
        <w:jc w:val="both"/>
        <w:rPr>
          <w:sz w:val="22"/>
          <w:szCs w:val="22"/>
        </w:rPr>
      </w:pPr>
      <w:r w:rsidRPr="00225B65">
        <w:rPr>
          <w:rFonts w:eastAsiaTheme="minorHAnsi"/>
          <w:kern w:val="0"/>
          <w:sz w:val="22"/>
          <w:szCs w:val="22"/>
          <w:lang w:eastAsia="en-US"/>
        </w:rPr>
        <w:tab/>
      </w:r>
    </w:p>
    <w:p w:rsidR="00D77230" w:rsidRPr="00225B65" w:rsidRDefault="00D77230" w:rsidP="0029540C">
      <w:pPr>
        <w:jc w:val="both"/>
        <w:rPr>
          <w:sz w:val="22"/>
          <w:szCs w:val="22"/>
        </w:rPr>
      </w:pPr>
      <w:r w:rsidRPr="00225B65">
        <w:rPr>
          <w:sz w:val="22"/>
          <w:szCs w:val="22"/>
        </w:rPr>
        <w:t>body (0–</w:t>
      </w:r>
      <w:r w:rsidR="00225B65" w:rsidRPr="00225B65">
        <w:rPr>
          <w:sz w:val="22"/>
          <w:szCs w:val="22"/>
        </w:rPr>
        <w:t>4</w:t>
      </w:r>
      <w:r w:rsidRPr="00225B65">
        <w:rPr>
          <w:sz w:val="22"/>
          <w:szCs w:val="22"/>
        </w:rPr>
        <w:t>)</w:t>
      </w:r>
    </w:p>
    <w:tbl>
      <w:tblPr>
        <w:tblW w:w="0" w:type="auto"/>
        <w:tblLayout w:type="fixed"/>
        <w:tblCellMar>
          <w:top w:w="55" w:type="dxa"/>
          <w:left w:w="55" w:type="dxa"/>
          <w:bottom w:w="55" w:type="dxa"/>
          <w:right w:w="55" w:type="dxa"/>
        </w:tblCellMar>
        <w:tblLook w:val="04A0"/>
      </w:tblPr>
      <w:tblGrid>
        <w:gridCol w:w="1137"/>
      </w:tblGrid>
      <w:tr w:rsidR="00D77230" w:rsidRPr="00225B65" w:rsidTr="00D77230">
        <w:trPr>
          <w:trHeight w:val="276"/>
        </w:trPr>
        <w:tc>
          <w:tcPr>
            <w:tcW w:w="1137" w:type="dxa"/>
            <w:tcBorders>
              <w:top w:val="single" w:sz="2" w:space="0" w:color="000000"/>
              <w:left w:val="single" w:sz="2" w:space="0" w:color="000000"/>
              <w:bottom w:val="single" w:sz="2" w:space="0" w:color="000000"/>
              <w:right w:val="single" w:sz="2" w:space="0" w:color="000000"/>
            </w:tcBorders>
            <w:hideMark/>
          </w:tcPr>
          <w:p w:rsidR="00D77230" w:rsidRPr="00225B65" w:rsidRDefault="00225B65" w:rsidP="0029540C">
            <w:pPr>
              <w:pStyle w:val="Obsahtabulky"/>
              <w:snapToGrid w:val="0"/>
              <w:spacing w:line="276" w:lineRule="auto"/>
              <w:jc w:val="both"/>
              <w:rPr>
                <w:sz w:val="22"/>
                <w:szCs w:val="22"/>
              </w:rPr>
            </w:pPr>
            <w:r w:rsidRPr="00225B65">
              <w:rPr>
                <w:sz w:val="22"/>
                <w:szCs w:val="22"/>
              </w:rPr>
              <w:t>2</w:t>
            </w:r>
          </w:p>
        </w:tc>
      </w:tr>
    </w:tbl>
    <w:p w:rsidR="00D77230" w:rsidRPr="00225B65" w:rsidRDefault="00D77230" w:rsidP="0029540C">
      <w:pPr>
        <w:jc w:val="both"/>
        <w:rPr>
          <w:b/>
          <w:bCs/>
          <w:sz w:val="22"/>
          <w:szCs w:val="22"/>
        </w:rPr>
      </w:pPr>
    </w:p>
    <w:p w:rsidR="00D77230" w:rsidRPr="00225B65" w:rsidRDefault="00D77230" w:rsidP="0029540C">
      <w:pPr>
        <w:jc w:val="both"/>
        <w:rPr>
          <w:sz w:val="22"/>
          <w:szCs w:val="22"/>
        </w:rPr>
      </w:pPr>
      <w:r w:rsidRPr="00225B65">
        <w:rPr>
          <w:b/>
          <w:bCs/>
          <w:sz w:val="22"/>
          <w:szCs w:val="22"/>
        </w:rPr>
        <w:t>IV. Formální náležitosti práce a její úprava</w:t>
      </w:r>
      <w:r w:rsidRPr="00225B65">
        <w:rPr>
          <w:sz w:val="22"/>
          <w:szCs w:val="22"/>
        </w:rPr>
        <w:t xml:space="preserve"> </w:t>
      </w:r>
    </w:p>
    <w:p w:rsidR="00D77230" w:rsidRPr="00225B65" w:rsidRDefault="00D77230" w:rsidP="0029540C">
      <w:pPr>
        <w:jc w:val="both"/>
        <w:rPr>
          <w:sz w:val="22"/>
          <w:szCs w:val="22"/>
        </w:rPr>
      </w:pPr>
      <w:r w:rsidRPr="00225B65">
        <w:rPr>
          <w:sz w:val="22"/>
          <w:szCs w:val="22"/>
        </w:rPr>
        <w:t xml:space="preserve">(jazyková a stylistická úroveň, grafická úprava, dodržení příslušných citačních norem) </w:t>
      </w:r>
    </w:p>
    <w:p w:rsidR="00D77230" w:rsidRPr="00225B65" w:rsidRDefault="00D77230" w:rsidP="0029540C">
      <w:pPr>
        <w:jc w:val="both"/>
        <w:rPr>
          <w:sz w:val="22"/>
          <w:szCs w:val="22"/>
        </w:rPr>
      </w:pPr>
    </w:p>
    <w:p w:rsidR="004C6078" w:rsidRPr="00225B65" w:rsidRDefault="001A7556" w:rsidP="002B3C16">
      <w:pPr>
        <w:widowControl/>
        <w:suppressAutoHyphens w:val="0"/>
        <w:autoSpaceDE w:val="0"/>
        <w:autoSpaceDN w:val="0"/>
        <w:adjustRightInd w:val="0"/>
        <w:rPr>
          <w:sz w:val="22"/>
          <w:szCs w:val="22"/>
        </w:rPr>
      </w:pPr>
      <w:r w:rsidRPr="00225B65">
        <w:rPr>
          <w:sz w:val="22"/>
          <w:szCs w:val="22"/>
        </w:rPr>
        <w:t xml:space="preserve">Bohužel nemůžu říct, že by práce byla napsána se stylizační jistotou. Blízko k sobě </w:t>
      </w:r>
      <w:r w:rsidR="00225B65" w:rsidRPr="00225B65">
        <w:rPr>
          <w:sz w:val="22"/>
          <w:szCs w:val="22"/>
        </w:rPr>
        <w:t xml:space="preserve">mají </w:t>
      </w:r>
      <w:r w:rsidRPr="00225B65">
        <w:rPr>
          <w:sz w:val="22"/>
          <w:szCs w:val="22"/>
        </w:rPr>
        <w:t>jazykové a myšlenkové klišé</w:t>
      </w:r>
      <w:r w:rsidRPr="00225B65">
        <w:rPr>
          <w:rFonts w:eastAsiaTheme="minorHAnsi"/>
          <w:b/>
          <w:kern w:val="0"/>
          <w:sz w:val="22"/>
          <w:szCs w:val="22"/>
          <w:lang w:eastAsia="en-US"/>
        </w:rPr>
        <w:t xml:space="preserve">, přičemž zvolená metaforika autora občas zradí (např. </w:t>
      </w:r>
      <w:r w:rsidRPr="00225B65">
        <w:rPr>
          <w:rFonts w:eastAsiaTheme="minorHAnsi"/>
          <w:kern w:val="0"/>
          <w:sz w:val="22"/>
          <w:szCs w:val="22"/>
          <w:lang w:eastAsia="en-US"/>
        </w:rPr>
        <w:t xml:space="preserve">„svým způsobem </w:t>
      </w:r>
      <w:r w:rsidRPr="00225B65">
        <w:rPr>
          <w:rFonts w:eastAsiaTheme="minorHAnsi"/>
          <w:kern w:val="0"/>
          <w:sz w:val="22"/>
          <w:szCs w:val="22"/>
          <w:lang w:val="en-US" w:eastAsia="en-US"/>
        </w:rPr>
        <w:t>[</w:t>
      </w:r>
      <w:proofErr w:type="spellStart"/>
      <w:r w:rsidRPr="00225B65">
        <w:rPr>
          <w:rFonts w:eastAsiaTheme="minorHAnsi"/>
          <w:kern w:val="0"/>
          <w:sz w:val="22"/>
          <w:szCs w:val="22"/>
          <w:lang w:val="en-US" w:eastAsia="en-US"/>
        </w:rPr>
        <w:t>Kupka</w:t>
      </w:r>
      <w:proofErr w:type="spellEnd"/>
      <w:r w:rsidRPr="00225B65">
        <w:rPr>
          <w:rFonts w:eastAsiaTheme="minorHAnsi"/>
          <w:kern w:val="0"/>
          <w:sz w:val="22"/>
          <w:szCs w:val="22"/>
          <w:lang w:val="en-US" w:eastAsia="en-US"/>
        </w:rPr>
        <w:t>]</w:t>
      </w:r>
      <w:r w:rsidRPr="00225B65">
        <w:rPr>
          <w:rFonts w:eastAsiaTheme="minorHAnsi"/>
          <w:kern w:val="0"/>
          <w:sz w:val="22"/>
          <w:szCs w:val="22"/>
          <w:lang w:eastAsia="en-US"/>
        </w:rPr>
        <w:t xml:space="preserve"> předběhl i zaběhnuté autory“, 14;</w:t>
      </w:r>
      <w:r w:rsidR="002B3C16" w:rsidRPr="00225B65">
        <w:rPr>
          <w:rFonts w:eastAsiaTheme="minorHAnsi"/>
          <w:kern w:val="0"/>
          <w:sz w:val="22"/>
          <w:szCs w:val="22"/>
          <w:lang w:eastAsia="en-US"/>
        </w:rPr>
        <w:t xml:space="preserve"> „Za období rozkvětu nového typu socialistického člověka můžeme považovat 20. století“, 7; </w:t>
      </w:r>
      <w:r w:rsidRPr="00225B65">
        <w:rPr>
          <w:rFonts w:eastAsiaTheme="minorHAnsi"/>
          <w:kern w:val="0"/>
          <w:sz w:val="22"/>
          <w:szCs w:val="22"/>
          <w:lang w:eastAsia="en-US"/>
        </w:rPr>
        <w:t xml:space="preserve">„Po celou dobu komunistické nadvlády se </w:t>
      </w:r>
      <w:r w:rsidR="00225B65" w:rsidRPr="00225B65">
        <w:rPr>
          <w:rFonts w:eastAsiaTheme="minorHAnsi"/>
          <w:kern w:val="0"/>
          <w:sz w:val="22"/>
          <w:szCs w:val="22"/>
          <w:lang w:val="en-US" w:eastAsia="en-US"/>
        </w:rPr>
        <w:t>[</w:t>
      </w:r>
      <w:proofErr w:type="spellStart"/>
      <w:r w:rsidR="00225B65" w:rsidRPr="00225B65">
        <w:rPr>
          <w:rFonts w:eastAsiaTheme="minorHAnsi"/>
          <w:kern w:val="0"/>
          <w:sz w:val="22"/>
          <w:szCs w:val="22"/>
          <w:lang w:val="en-US" w:eastAsia="en-US"/>
        </w:rPr>
        <w:t>Kupka</w:t>
      </w:r>
      <w:proofErr w:type="spellEnd"/>
      <w:r w:rsidR="00225B65" w:rsidRPr="00225B65">
        <w:rPr>
          <w:rFonts w:eastAsiaTheme="minorHAnsi"/>
          <w:kern w:val="0"/>
          <w:sz w:val="22"/>
          <w:szCs w:val="22"/>
          <w:lang w:val="en-US" w:eastAsia="en-US"/>
        </w:rPr>
        <w:t>]</w:t>
      </w:r>
      <w:r w:rsidR="00225B65" w:rsidRPr="00225B65">
        <w:rPr>
          <w:rFonts w:eastAsiaTheme="minorHAnsi"/>
          <w:kern w:val="0"/>
          <w:sz w:val="22"/>
          <w:szCs w:val="22"/>
          <w:lang w:eastAsia="en-US"/>
        </w:rPr>
        <w:t xml:space="preserve"> </w:t>
      </w:r>
      <w:r w:rsidRPr="00225B65">
        <w:rPr>
          <w:rFonts w:eastAsiaTheme="minorHAnsi"/>
          <w:kern w:val="0"/>
          <w:sz w:val="22"/>
          <w:szCs w:val="22"/>
          <w:lang w:eastAsia="en-US"/>
        </w:rPr>
        <w:t>držel na aktivním literárním poli“</w:t>
      </w:r>
      <w:r w:rsidR="002B3C16" w:rsidRPr="00225B65">
        <w:rPr>
          <w:rFonts w:eastAsiaTheme="minorHAnsi"/>
          <w:kern w:val="0"/>
          <w:sz w:val="22"/>
          <w:szCs w:val="22"/>
          <w:lang w:eastAsia="en-US"/>
        </w:rPr>
        <w:t>, 10</w:t>
      </w:r>
      <w:r w:rsidRPr="00225B65">
        <w:rPr>
          <w:rFonts w:eastAsiaTheme="minorHAnsi"/>
          <w:kern w:val="0"/>
          <w:sz w:val="22"/>
          <w:szCs w:val="22"/>
          <w:lang w:eastAsia="en-US"/>
        </w:rPr>
        <w:t>).</w:t>
      </w:r>
      <w:r w:rsidR="002B3C16" w:rsidRPr="00225B65">
        <w:rPr>
          <w:rFonts w:eastAsiaTheme="minorHAnsi"/>
          <w:kern w:val="0"/>
          <w:sz w:val="22"/>
          <w:szCs w:val="22"/>
          <w:lang w:eastAsia="en-US"/>
        </w:rPr>
        <w:t xml:space="preserve"> </w:t>
      </w:r>
      <w:r w:rsidRPr="00225B65">
        <w:rPr>
          <w:sz w:val="22"/>
          <w:szCs w:val="22"/>
        </w:rPr>
        <w:t>Práce v</w:t>
      </w:r>
      <w:r w:rsidR="00D77230" w:rsidRPr="00225B65">
        <w:rPr>
          <w:sz w:val="22"/>
          <w:szCs w:val="22"/>
        </w:rPr>
        <w:t xml:space="preserve">ykazuje </w:t>
      </w:r>
      <w:r w:rsidR="007D111C" w:rsidRPr="00225B65">
        <w:rPr>
          <w:sz w:val="22"/>
          <w:szCs w:val="22"/>
        </w:rPr>
        <w:t>poměrně četn</w:t>
      </w:r>
      <w:r w:rsidR="004C6078" w:rsidRPr="00225B65">
        <w:rPr>
          <w:sz w:val="22"/>
          <w:szCs w:val="22"/>
        </w:rPr>
        <w:t xml:space="preserve">é </w:t>
      </w:r>
      <w:r w:rsidR="00D77230" w:rsidRPr="00225B65">
        <w:rPr>
          <w:sz w:val="22"/>
          <w:szCs w:val="22"/>
        </w:rPr>
        <w:t>jazykov</w:t>
      </w:r>
      <w:r w:rsidR="004C6078" w:rsidRPr="00225B65">
        <w:rPr>
          <w:sz w:val="22"/>
          <w:szCs w:val="22"/>
        </w:rPr>
        <w:t xml:space="preserve">é </w:t>
      </w:r>
      <w:r w:rsidR="007D111C" w:rsidRPr="00225B65">
        <w:rPr>
          <w:sz w:val="22"/>
          <w:szCs w:val="22"/>
        </w:rPr>
        <w:t>chyb</w:t>
      </w:r>
      <w:r w:rsidR="004C6078" w:rsidRPr="00225B65">
        <w:rPr>
          <w:sz w:val="22"/>
          <w:szCs w:val="22"/>
        </w:rPr>
        <w:t>y</w:t>
      </w:r>
      <w:r w:rsidR="007D111C" w:rsidRPr="00225B65">
        <w:rPr>
          <w:sz w:val="22"/>
          <w:szCs w:val="22"/>
        </w:rPr>
        <w:t xml:space="preserve"> </w:t>
      </w:r>
      <w:r w:rsidR="001567C7" w:rsidRPr="00225B65">
        <w:rPr>
          <w:sz w:val="22"/>
          <w:szCs w:val="22"/>
        </w:rPr>
        <w:t>a nedostatky</w:t>
      </w:r>
      <w:r w:rsidRPr="00225B65">
        <w:rPr>
          <w:sz w:val="22"/>
          <w:szCs w:val="22"/>
        </w:rPr>
        <w:t xml:space="preserve">, </w:t>
      </w:r>
      <w:r w:rsidR="001567C7" w:rsidRPr="00225B65">
        <w:rPr>
          <w:sz w:val="22"/>
          <w:szCs w:val="22"/>
        </w:rPr>
        <w:t xml:space="preserve">nevykorigované chyby, </w:t>
      </w:r>
      <w:r w:rsidR="00295257" w:rsidRPr="00225B65">
        <w:rPr>
          <w:sz w:val="22"/>
          <w:szCs w:val="22"/>
        </w:rPr>
        <w:t>pravopisné prohřešky</w:t>
      </w:r>
      <w:r w:rsidR="00225B65" w:rsidRPr="00225B65">
        <w:rPr>
          <w:sz w:val="22"/>
          <w:szCs w:val="22"/>
        </w:rPr>
        <w:t>.</w:t>
      </w:r>
      <w:r w:rsidR="00295257" w:rsidRPr="00225B65">
        <w:rPr>
          <w:sz w:val="22"/>
          <w:szCs w:val="22"/>
        </w:rPr>
        <w:t xml:space="preserve"> S </w:t>
      </w:r>
      <w:r w:rsidR="004C6078" w:rsidRPr="00225B65">
        <w:rPr>
          <w:sz w:val="22"/>
          <w:szCs w:val="22"/>
        </w:rPr>
        <w:t xml:space="preserve">prameny </w:t>
      </w:r>
      <w:r w:rsidR="00295257" w:rsidRPr="00225B65">
        <w:rPr>
          <w:sz w:val="22"/>
          <w:szCs w:val="22"/>
        </w:rPr>
        <w:t xml:space="preserve">pracuje autor </w:t>
      </w:r>
      <w:r w:rsidR="004C6078" w:rsidRPr="00225B65">
        <w:rPr>
          <w:sz w:val="22"/>
          <w:szCs w:val="22"/>
        </w:rPr>
        <w:t>spolehlivě a odkazuje na použitou literaturu dle vyžadované citační normy</w:t>
      </w:r>
      <w:r w:rsidRPr="00225B65">
        <w:rPr>
          <w:sz w:val="22"/>
          <w:szCs w:val="22"/>
        </w:rPr>
        <w:t xml:space="preserve"> (nejednotnost zápisů padá spíše na vrub redakční ledabylosti než neschopnosti práce s literaturou</w:t>
      </w:r>
      <w:r w:rsidR="001D7184" w:rsidRPr="00225B65">
        <w:rPr>
          <w:sz w:val="22"/>
          <w:szCs w:val="22"/>
        </w:rPr>
        <w:t>)</w:t>
      </w:r>
      <w:r w:rsidR="004C6078" w:rsidRPr="00225B65">
        <w:rPr>
          <w:sz w:val="22"/>
          <w:szCs w:val="22"/>
        </w:rPr>
        <w:t xml:space="preserve">. </w:t>
      </w:r>
    </w:p>
    <w:p w:rsidR="001A7556" w:rsidRPr="00225B65" w:rsidRDefault="001A7556" w:rsidP="0029540C">
      <w:pPr>
        <w:jc w:val="both"/>
        <w:rPr>
          <w:sz w:val="22"/>
          <w:szCs w:val="22"/>
        </w:rPr>
      </w:pPr>
    </w:p>
    <w:p w:rsidR="00D77230" w:rsidRPr="00225B65" w:rsidRDefault="00D77230" w:rsidP="0029540C">
      <w:pPr>
        <w:jc w:val="both"/>
        <w:rPr>
          <w:sz w:val="22"/>
          <w:szCs w:val="22"/>
        </w:rPr>
      </w:pPr>
    </w:p>
    <w:p w:rsidR="00D77230" w:rsidRPr="00225B65" w:rsidRDefault="00D77230" w:rsidP="0029540C">
      <w:pPr>
        <w:jc w:val="both"/>
        <w:rPr>
          <w:sz w:val="22"/>
          <w:szCs w:val="22"/>
        </w:rPr>
      </w:pPr>
      <w:r w:rsidRPr="00225B65">
        <w:rPr>
          <w:sz w:val="22"/>
          <w:szCs w:val="22"/>
        </w:rPr>
        <w:lastRenderedPageBreak/>
        <w:t>body (0–4)</w:t>
      </w:r>
    </w:p>
    <w:tbl>
      <w:tblPr>
        <w:tblW w:w="0" w:type="auto"/>
        <w:tblLayout w:type="fixed"/>
        <w:tblCellMar>
          <w:top w:w="55" w:type="dxa"/>
          <w:left w:w="55" w:type="dxa"/>
          <w:bottom w:w="55" w:type="dxa"/>
          <w:right w:w="55" w:type="dxa"/>
        </w:tblCellMar>
        <w:tblLook w:val="04A0"/>
      </w:tblPr>
      <w:tblGrid>
        <w:gridCol w:w="1137"/>
      </w:tblGrid>
      <w:tr w:rsidR="00D77230" w:rsidRPr="00225B65" w:rsidTr="00D77230">
        <w:trPr>
          <w:trHeight w:val="276"/>
        </w:trPr>
        <w:tc>
          <w:tcPr>
            <w:tcW w:w="1137" w:type="dxa"/>
            <w:tcBorders>
              <w:top w:val="single" w:sz="2" w:space="0" w:color="000000"/>
              <w:left w:val="single" w:sz="2" w:space="0" w:color="000000"/>
              <w:bottom w:val="single" w:sz="2" w:space="0" w:color="000000"/>
              <w:right w:val="single" w:sz="2" w:space="0" w:color="000000"/>
            </w:tcBorders>
            <w:hideMark/>
          </w:tcPr>
          <w:p w:rsidR="00D77230" w:rsidRPr="00225B65" w:rsidRDefault="00225B65" w:rsidP="0029540C">
            <w:pPr>
              <w:pStyle w:val="Obsahtabulky"/>
              <w:snapToGrid w:val="0"/>
              <w:spacing w:line="276" w:lineRule="auto"/>
              <w:jc w:val="both"/>
              <w:rPr>
                <w:sz w:val="22"/>
                <w:szCs w:val="22"/>
              </w:rPr>
            </w:pPr>
            <w:r w:rsidRPr="00225B65">
              <w:rPr>
                <w:sz w:val="22"/>
                <w:szCs w:val="22"/>
              </w:rPr>
              <w:t>3</w:t>
            </w:r>
          </w:p>
        </w:tc>
      </w:tr>
    </w:tbl>
    <w:p w:rsidR="00D77230" w:rsidRPr="00225B65" w:rsidRDefault="00D77230" w:rsidP="0029540C">
      <w:pPr>
        <w:jc w:val="both"/>
        <w:rPr>
          <w:sz w:val="22"/>
          <w:szCs w:val="22"/>
        </w:rPr>
      </w:pPr>
    </w:p>
    <w:p w:rsidR="00D77230" w:rsidRPr="00225B65" w:rsidRDefault="00D77230" w:rsidP="0029540C">
      <w:pPr>
        <w:jc w:val="both"/>
        <w:rPr>
          <w:sz w:val="22"/>
          <w:szCs w:val="22"/>
        </w:rPr>
      </w:pPr>
      <w:r w:rsidRPr="00225B65">
        <w:rPr>
          <w:b/>
          <w:bCs/>
          <w:sz w:val="22"/>
          <w:szCs w:val="22"/>
        </w:rPr>
        <w:t>V. Otázky doporučené k rozpravě při obhajobě</w:t>
      </w:r>
      <w:r w:rsidRPr="00225B65">
        <w:rPr>
          <w:sz w:val="22"/>
          <w:szCs w:val="22"/>
        </w:rPr>
        <w:t xml:space="preserve"> </w:t>
      </w:r>
    </w:p>
    <w:p w:rsidR="00D77230" w:rsidRPr="00225B65" w:rsidRDefault="00D77230" w:rsidP="0029540C">
      <w:pPr>
        <w:jc w:val="both"/>
        <w:rPr>
          <w:sz w:val="22"/>
          <w:szCs w:val="22"/>
        </w:rPr>
      </w:pPr>
    </w:p>
    <w:p w:rsidR="002B3C16" w:rsidRPr="00225B65" w:rsidRDefault="00D77230" w:rsidP="002B3C16">
      <w:pPr>
        <w:jc w:val="both"/>
        <w:rPr>
          <w:sz w:val="22"/>
          <w:szCs w:val="22"/>
        </w:rPr>
      </w:pPr>
      <w:r w:rsidRPr="00225B65">
        <w:rPr>
          <w:sz w:val="22"/>
          <w:szCs w:val="22"/>
        </w:rPr>
        <w:t xml:space="preserve">1. </w:t>
      </w:r>
      <w:r w:rsidR="002B3C16" w:rsidRPr="00225B65">
        <w:rPr>
          <w:rFonts w:eastAsiaTheme="minorHAnsi"/>
          <w:kern w:val="0"/>
          <w:sz w:val="22"/>
          <w:szCs w:val="22"/>
          <w:lang w:eastAsia="en-US"/>
        </w:rPr>
        <w:t xml:space="preserve">Proč práce rezignovala </w:t>
      </w:r>
      <w:r w:rsidR="002B3C16" w:rsidRPr="00225B65">
        <w:rPr>
          <w:sz w:val="22"/>
          <w:szCs w:val="22"/>
        </w:rPr>
        <w:t xml:space="preserve">na dobový ohlas a čím by bylo toto sledování recepce práci prospěšné? Autor pouze reprodukuje několik málo recenzí (zvláště ty dostupné, internetové, např. 48). </w:t>
      </w:r>
    </w:p>
    <w:p w:rsidR="00CB2C6E" w:rsidRPr="00225B65" w:rsidRDefault="00CB7CE6" w:rsidP="00CB2C6E">
      <w:pPr>
        <w:widowControl/>
        <w:suppressAutoHyphens w:val="0"/>
        <w:autoSpaceDE w:val="0"/>
        <w:autoSpaceDN w:val="0"/>
        <w:adjustRightInd w:val="0"/>
        <w:rPr>
          <w:sz w:val="22"/>
          <w:szCs w:val="22"/>
        </w:rPr>
      </w:pPr>
      <w:r w:rsidRPr="00225B65">
        <w:rPr>
          <w:sz w:val="22"/>
          <w:szCs w:val="22"/>
        </w:rPr>
        <w:t xml:space="preserve">2. </w:t>
      </w:r>
      <w:r w:rsidR="002C3152" w:rsidRPr="00225B65">
        <w:rPr>
          <w:sz w:val="22"/>
          <w:szCs w:val="22"/>
        </w:rPr>
        <w:t xml:space="preserve">Je oceněníhodné, že se </w:t>
      </w:r>
      <w:r w:rsidR="002B3C16" w:rsidRPr="00225B65">
        <w:rPr>
          <w:sz w:val="22"/>
          <w:szCs w:val="22"/>
        </w:rPr>
        <w:t xml:space="preserve">autor </w:t>
      </w:r>
      <w:r w:rsidR="002C3152" w:rsidRPr="00225B65">
        <w:rPr>
          <w:sz w:val="22"/>
          <w:szCs w:val="22"/>
        </w:rPr>
        <w:t>nesnaží dobovou ideologickou poplatnost promítat do hodnocení literárních děl. Ale chtěl bych se zeptat, jestli takovýto typ uvažování je obhajitelný, nebo se jedná jen o formulační neobratnost: „</w:t>
      </w:r>
      <w:r w:rsidR="002C3152" w:rsidRPr="00225B65">
        <w:rPr>
          <w:rFonts w:eastAsiaTheme="minorHAnsi"/>
          <w:kern w:val="0"/>
          <w:sz w:val="22"/>
          <w:szCs w:val="22"/>
          <w:lang w:eastAsia="en-US"/>
        </w:rPr>
        <w:t xml:space="preserve">V období normalizace se rozjela naplno jeho tvorba literatury s krimi tematikou a on měl </w:t>
      </w:r>
      <w:r w:rsidR="002C3152" w:rsidRPr="00225B65">
        <w:rPr>
          <w:rFonts w:eastAsiaTheme="minorHAnsi"/>
          <w:kern w:val="0"/>
          <w:sz w:val="22"/>
          <w:szCs w:val="22"/>
          <w:u w:val="single"/>
          <w:lang w:eastAsia="en-US"/>
        </w:rPr>
        <w:t>volné pole působnosti</w:t>
      </w:r>
      <w:r w:rsidR="002C3152" w:rsidRPr="00225B65">
        <w:rPr>
          <w:rFonts w:eastAsiaTheme="minorHAnsi"/>
          <w:kern w:val="0"/>
          <w:sz w:val="22"/>
          <w:szCs w:val="22"/>
          <w:lang w:eastAsia="en-US"/>
        </w:rPr>
        <w:t xml:space="preserve">. </w:t>
      </w:r>
      <w:r w:rsidR="002C3152" w:rsidRPr="00225B65">
        <w:rPr>
          <w:rFonts w:eastAsiaTheme="minorHAnsi"/>
          <w:kern w:val="0"/>
          <w:sz w:val="22"/>
          <w:szCs w:val="22"/>
          <w:u w:val="single"/>
          <w:lang w:eastAsia="en-US"/>
        </w:rPr>
        <w:t xml:space="preserve">Ubylo mu mnoho konkurentů, kteří nemohli </w:t>
      </w:r>
      <w:proofErr w:type="gramStart"/>
      <w:r w:rsidR="002C3152" w:rsidRPr="00225B65">
        <w:rPr>
          <w:rFonts w:eastAsiaTheme="minorHAnsi"/>
          <w:kern w:val="0"/>
          <w:sz w:val="22"/>
          <w:szCs w:val="22"/>
          <w:u w:val="single"/>
          <w:lang w:eastAsia="en-US"/>
        </w:rPr>
        <w:t>tvořit</w:t>
      </w:r>
      <w:r w:rsidR="002C3152" w:rsidRPr="00225B65">
        <w:rPr>
          <w:rFonts w:eastAsiaTheme="minorHAnsi"/>
          <w:kern w:val="0"/>
          <w:sz w:val="22"/>
          <w:szCs w:val="22"/>
          <w:lang w:eastAsia="en-US"/>
        </w:rPr>
        <w:t xml:space="preserve"> a zároveň</w:t>
      </w:r>
      <w:proofErr w:type="gramEnd"/>
      <w:r w:rsidR="002C3152" w:rsidRPr="00225B65">
        <w:rPr>
          <w:rFonts w:eastAsiaTheme="minorHAnsi"/>
          <w:kern w:val="0"/>
          <w:sz w:val="22"/>
          <w:szCs w:val="22"/>
          <w:lang w:eastAsia="en-US"/>
        </w:rPr>
        <w:t xml:space="preserve"> nemusel díky svému postavení bojovat s dobovou cenzurou. Ani tvorba krimi literatury se však </w:t>
      </w:r>
      <w:r w:rsidR="002C3152" w:rsidRPr="00225B65">
        <w:rPr>
          <w:rFonts w:eastAsiaTheme="minorHAnsi"/>
          <w:kern w:val="0"/>
          <w:sz w:val="22"/>
          <w:szCs w:val="22"/>
          <w:u w:val="single"/>
          <w:lang w:eastAsia="en-US"/>
        </w:rPr>
        <w:t>pochopitelně neobešla bez alespoň mírného náznaku propagandy</w:t>
      </w:r>
      <w:r w:rsidR="002C3152" w:rsidRPr="00225B65">
        <w:rPr>
          <w:rFonts w:eastAsiaTheme="minorHAnsi"/>
          <w:kern w:val="0"/>
          <w:sz w:val="22"/>
          <w:szCs w:val="22"/>
          <w:lang w:eastAsia="en-US"/>
        </w:rPr>
        <w:t xml:space="preserve"> a politizování. </w:t>
      </w:r>
      <w:r w:rsidR="002C3152" w:rsidRPr="00225B65">
        <w:rPr>
          <w:rFonts w:eastAsiaTheme="minorHAnsi"/>
          <w:kern w:val="0"/>
          <w:sz w:val="22"/>
          <w:szCs w:val="22"/>
          <w:u w:val="single"/>
          <w:lang w:eastAsia="en-US"/>
        </w:rPr>
        <w:t xml:space="preserve">Právě jeho literární nadání </w:t>
      </w:r>
      <w:r w:rsidR="002C3152" w:rsidRPr="00225B65">
        <w:rPr>
          <w:rFonts w:eastAsiaTheme="minorHAnsi"/>
          <w:kern w:val="0"/>
          <w:sz w:val="22"/>
          <w:szCs w:val="22"/>
          <w:lang w:eastAsia="en-US"/>
        </w:rPr>
        <w:t>a</w:t>
      </w:r>
      <w:r w:rsidR="002C3152" w:rsidRPr="00225B65">
        <w:rPr>
          <w:rFonts w:eastAsiaTheme="minorHAnsi"/>
          <w:kern w:val="0"/>
          <w:sz w:val="22"/>
          <w:szCs w:val="22"/>
          <w:u w:val="single"/>
          <w:lang w:eastAsia="en-US"/>
        </w:rPr>
        <w:t xml:space="preserve"> úspěch</w:t>
      </w:r>
      <w:r w:rsidR="00CB2C6E" w:rsidRPr="00225B65">
        <w:rPr>
          <w:rFonts w:eastAsiaTheme="minorHAnsi"/>
          <w:kern w:val="0"/>
          <w:sz w:val="22"/>
          <w:szCs w:val="22"/>
          <w:u w:val="single"/>
          <w:lang w:eastAsia="en-US"/>
        </w:rPr>
        <w:t xml:space="preserve"> </w:t>
      </w:r>
      <w:r w:rsidR="002C3152" w:rsidRPr="00225B65">
        <w:rPr>
          <w:rFonts w:eastAsiaTheme="minorHAnsi"/>
          <w:kern w:val="0"/>
          <w:sz w:val="22"/>
          <w:szCs w:val="22"/>
          <w:u w:val="single"/>
          <w:lang w:eastAsia="en-US"/>
        </w:rPr>
        <w:t>v této oblasti</w:t>
      </w:r>
      <w:r w:rsidR="002C3152" w:rsidRPr="00225B65">
        <w:rPr>
          <w:rFonts w:eastAsiaTheme="minorHAnsi"/>
          <w:kern w:val="0"/>
          <w:sz w:val="22"/>
          <w:szCs w:val="22"/>
          <w:lang w:eastAsia="en-US"/>
        </w:rPr>
        <w:t xml:space="preserve"> vedly bezpochyby k tomu, že se dostal i k práci scénáristy majora Zemana.“ </w:t>
      </w:r>
      <w:r w:rsidR="00CB2C6E" w:rsidRPr="00225B65">
        <w:rPr>
          <w:rFonts w:eastAsiaTheme="minorHAnsi"/>
          <w:kern w:val="0"/>
          <w:sz w:val="22"/>
          <w:szCs w:val="22"/>
          <w:lang w:eastAsia="en-US"/>
        </w:rPr>
        <w:t>(</w:t>
      </w:r>
      <w:r w:rsidR="002C3152" w:rsidRPr="00225B65">
        <w:rPr>
          <w:rFonts w:eastAsiaTheme="minorHAnsi"/>
          <w:kern w:val="0"/>
          <w:sz w:val="22"/>
          <w:szCs w:val="22"/>
          <w:lang w:eastAsia="en-US"/>
        </w:rPr>
        <w:t>36</w:t>
      </w:r>
      <w:r w:rsidR="00CB2C6E" w:rsidRPr="00225B65">
        <w:rPr>
          <w:rFonts w:eastAsiaTheme="minorHAnsi"/>
          <w:kern w:val="0"/>
          <w:sz w:val="22"/>
          <w:szCs w:val="22"/>
          <w:lang w:eastAsia="en-US"/>
        </w:rPr>
        <w:t xml:space="preserve">) </w:t>
      </w:r>
      <w:r w:rsidR="002B3C16" w:rsidRPr="00225B65">
        <w:rPr>
          <w:rFonts w:eastAsiaTheme="minorHAnsi"/>
          <w:kern w:val="0"/>
          <w:sz w:val="22"/>
          <w:szCs w:val="22"/>
          <w:lang w:eastAsia="en-US"/>
        </w:rPr>
        <w:t>Jsou pak takovéto autorovy postřehy ironické, nebo neutrálně míněné? (Např.: „</w:t>
      </w:r>
      <w:r w:rsidR="00CB2C6E" w:rsidRPr="00225B65">
        <w:rPr>
          <w:rFonts w:eastAsiaTheme="minorHAnsi"/>
          <w:kern w:val="0"/>
          <w:sz w:val="22"/>
          <w:szCs w:val="22"/>
          <w:lang w:eastAsia="en-US"/>
        </w:rPr>
        <w:t>Opět se ukazují schopnosti J. S.</w:t>
      </w:r>
      <w:r w:rsidR="002B3C16" w:rsidRPr="00225B65">
        <w:rPr>
          <w:rFonts w:eastAsiaTheme="minorHAnsi"/>
          <w:kern w:val="0"/>
          <w:sz w:val="22"/>
          <w:szCs w:val="22"/>
          <w:lang w:eastAsia="en-US"/>
        </w:rPr>
        <w:t xml:space="preserve"> </w:t>
      </w:r>
      <w:r w:rsidR="00CB2C6E" w:rsidRPr="00225B65">
        <w:rPr>
          <w:rFonts w:eastAsiaTheme="minorHAnsi"/>
          <w:kern w:val="0"/>
          <w:sz w:val="22"/>
          <w:szCs w:val="22"/>
          <w:lang w:eastAsia="en-US"/>
        </w:rPr>
        <w:t>Kupky, neboť šanci psát scénář k takovému seriálu nedostal</w:t>
      </w:r>
      <w:r w:rsidR="002B3C16" w:rsidRPr="00225B65">
        <w:rPr>
          <w:rFonts w:eastAsiaTheme="minorHAnsi"/>
          <w:kern w:val="0"/>
          <w:sz w:val="22"/>
          <w:szCs w:val="22"/>
          <w:lang w:eastAsia="en-US"/>
        </w:rPr>
        <w:t xml:space="preserve"> </w:t>
      </w:r>
      <w:r w:rsidR="00CB2C6E" w:rsidRPr="00225B65">
        <w:rPr>
          <w:rFonts w:eastAsiaTheme="minorHAnsi"/>
          <w:kern w:val="0"/>
          <w:sz w:val="22"/>
          <w:szCs w:val="22"/>
          <w:lang w:eastAsia="en-US"/>
        </w:rPr>
        <w:t>každý tvůrce</w:t>
      </w:r>
      <w:r w:rsidR="002B3C16" w:rsidRPr="00225B65">
        <w:rPr>
          <w:rFonts w:eastAsiaTheme="minorHAnsi"/>
          <w:kern w:val="0"/>
          <w:sz w:val="22"/>
          <w:szCs w:val="22"/>
          <w:lang w:eastAsia="en-US"/>
        </w:rPr>
        <w:t>“ a „K</w:t>
      </w:r>
      <w:r w:rsidR="00CB2C6E" w:rsidRPr="00225B65">
        <w:rPr>
          <w:rFonts w:eastAsiaTheme="minorHAnsi"/>
          <w:kern w:val="0"/>
          <w:sz w:val="22"/>
          <w:szCs w:val="22"/>
          <w:lang w:eastAsia="en-US"/>
        </w:rPr>
        <w:t>upka se [po 1989] dokázal přizpůsobit dobové poptávce“</w:t>
      </w:r>
      <w:r w:rsidR="002B3C16" w:rsidRPr="00225B65">
        <w:rPr>
          <w:rFonts w:eastAsiaTheme="minorHAnsi"/>
          <w:kern w:val="0"/>
          <w:sz w:val="22"/>
          <w:szCs w:val="22"/>
          <w:lang w:eastAsia="en-US"/>
        </w:rPr>
        <w:t xml:space="preserve">, </w:t>
      </w:r>
      <w:r w:rsidR="00CB2C6E" w:rsidRPr="00225B65">
        <w:rPr>
          <w:rFonts w:eastAsiaTheme="minorHAnsi"/>
          <w:kern w:val="0"/>
          <w:sz w:val="22"/>
          <w:szCs w:val="22"/>
          <w:lang w:eastAsia="en-US"/>
        </w:rPr>
        <w:t>39</w:t>
      </w:r>
      <w:r w:rsidR="002B3C16" w:rsidRPr="00225B65">
        <w:rPr>
          <w:rFonts w:eastAsiaTheme="minorHAnsi"/>
          <w:kern w:val="0"/>
          <w:sz w:val="22"/>
          <w:szCs w:val="22"/>
          <w:lang w:eastAsia="en-US"/>
        </w:rPr>
        <w:t>.)</w:t>
      </w:r>
    </w:p>
    <w:p w:rsidR="00CB7CE6" w:rsidRPr="00225B65" w:rsidRDefault="00CB7CE6" w:rsidP="0029540C">
      <w:pPr>
        <w:jc w:val="both"/>
        <w:rPr>
          <w:sz w:val="22"/>
          <w:szCs w:val="22"/>
        </w:rPr>
      </w:pPr>
      <w:r w:rsidRPr="00225B65">
        <w:rPr>
          <w:sz w:val="22"/>
          <w:szCs w:val="22"/>
        </w:rPr>
        <w:t xml:space="preserve">3. </w:t>
      </w:r>
      <w:r w:rsidR="003A0CA6" w:rsidRPr="00225B65">
        <w:rPr>
          <w:sz w:val="22"/>
          <w:szCs w:val="22"/>
        </w:rPr>
        <w:t>U každého interpretovaného díla shledáváte nějaké paralely: přirovnáváte</w:t>
      </w:r>
      <w:r w:rsidR="00CB2C6E" w:rsidRPr="00225B65">
        <w:rPr>
          <w:sz w:val="22"/>
          <w:szCs w:val="22"/>
        </w:rPr>
        <w:t xml:space="preserve"> Kupku tu </w:t>
      </w:r>
      <w:r w:rsidR="003A0CA6" w:rsidRPr="00225B65">
        <w:rPr>
          <w:sz w:val="22"/>
          <w:szCs w:val="22"/>
        </w:rPr>
        <w:t xml:space="preserve">k Hemingwayovi, </w:t>
      </w:r>
      <w:r w:rsidR="00CB2C6E" w:rsidRPr="00225B65">
        <w:rPr>
          <w:sz w:val="22"/>
          <w:szCs w:val="22"/>
        </w:rPr>
        <w:t xml:space="preserve">tu </w:t>
      </w:r>
      <w:r w:rsidR="001349CF" w:rsidRPr="00225B65">
        <w:rPr>
          <w:sz w:val="22"/>
          <w:szCs w:val="22"/>
        </w:rPr>
        <w:t xml:space="preserve">k Jiráskovi, tu </w:t>
      </w:r>
      <w:r w:rsidR="00CB2C6E" w:rsidRPr="00225B65">
        <w:rPr>
          <w:sz w:val="22"/>
          <w:szCs w:val="22"/>
        </w:rPr>
        <w:t xml:space="preserve">k </w:t>
      </w:r>
      <w:r w:rsidR="003A0CA6" w:rsidRPr="00225B65">
        <w:rPr>
          <w:sz w:val="22"/>
          <w:szCs w:val="22"/>
        </w:rPr>
        <w:t xml:space="preserve">Shakespearovi, </w:t>
      </w:r>
      <w:r w:rsidR="00CB2C6E" w:rsidRPr="00225B65">
        <w:rPr>
          <w:sz w:val="22"/>
          <w:szCs w:val="22"/>
        </w:rPr>
        <w:t xml:space="preserve">tu k </w:t>
      </w:r>
      <w:r w:rsidR="002C3152" w:rsidRPr="00225B65">
        <w:rPr>
          <w:sz w:val="22"/>
          <w:szCs w:val="22"/>
        </w:rPr>
        <w:t>Čapkovi</w:t>
      </w:r>
      <w:r w:rsidR="002B3C16" w:rsidRPr="00225B65">
        <w:rPr>
          <w:sz w:val="22"/>
          <w:szCs w:val="22"/>
        </w:rPr>
        <w:t>,</w:t>
      </w:r>
      <w:r w:rsidR="002C3152" w:rsidRPr="00225B65">
        <w:rPr>
          <w:sz w:val="22"/>
          <w:szCs w:val="22"/>
        </w:rPr>
        <w:t xml:space="preserve"> </w:t>
      </w:r>
      <w:r w:rsidR="00CB2C6E" w:rsidRPr="00225B65">
        <w:rPr>
          <w:sz w:val="22"/>
          <w:szCs w:val="22"/>
        </w:rPr>
        <w:t xml:space="preserve">tu k Solženicynovi, tu k </w:t>
      </w:r>
      <w:r w:rsidR="002C3152" w:rsidRPr="00225B65">
        <w:rPr>
          <w:sz w:val="22"/>
          <w:szCs w:val="22"/>
        </w:rPr>
        <w:t>Mrožk</w:t>
      </w:r>
      <w:r w:rsidR="00CB2C6E" w:rsidRPr="00225B65">
        <w:rPr>
          <w:sz w:val="22"/>
          <w:szCs w:val="22"/>
        </w:rPr>
        <w:t xml:space="preserve">ovi a </w:t>
      </w:r>
      <w:r w:rsidR="002C3152" w:rsidRPr="00225B65">
        <w:rPr>
          <w:sz w:val="22"/>
          <w:szCs w:val="22"/>
        </w:rPr>
        <w:t>Ionesc</w:t>
      </w:r>
      <w:r w:rsidR="00CB2C6E" w:rsidRPr="00225B65">
        <w:rPr>
          <w:sz w:val="22"/>
          <w:szCs w:val="22"/>
        </w:rPr>
        <w:t xml:space="preserve">ovi atd. atp. </w:t>
      </w:r>
      <w:r w:rsidR="001349CF" w:rsidRPr="00225B65">
        <w:rPr>
          <w:sz w:val="22"/>
          <w:szCs w:val="22"/>
        </w:rPr>
        <w:t xml:space="preserve">K čemu taková srovnání a sledování inspirací posloužily? </w:t>
      </w:r>
    </w:p>
    <w:p w:rsidR="00D77230" w:rsidRPr="00225B65" w:rsidRDefault="00D77230" w:rsidP="0029540C">
      <w:pPr>
        <w:jc w:val="both"/>
        <w:rPr>
          <w:sz w:val="22"/>
          <w:szCs w:val="22"/>
        </w:rPr>
      </w:pPr>
    </w:p>
    <w:p w:rsidR="002B3C16" w:rsidRPr="00225B65" w:rsidRDefault="002B3C16" w:rsidP="0029540C">
      <w:pPr>
        <w:jc w:val="both"/>
        <w:rPr>
          <w:sz w:val="22"/>
          <w:szCs w:val="22"/>
        </w:rPr>
      </w:pPr>
    </w:p>
    <w:p w:rsidR="00D77230" w:rsidRPr="00225B65" w:rsidRDefault="00D77230" w:rsidP="0029540C">
      <w:pPr>
        <w:jc w:val="both"/>
        <w:rPr>
          <w:sz w:val="22"/>
          <w:szCs w:val="22"/>
        </w:rPr>
      </w:pPr>
      <w:r w:rsidRPr="00225B65">
        <w:rPr>
          <w:b/>
          <w:bCs/>
          <w:sz w:val="22"/>
          <w:szCs w:val="22"/>
        </w:rPr>
        <w:t>VI. Celkové hodnocení</w:t>
      </w:r>
      <w:r w:rsidRPr="00225B65">
        <w:rPr>
          <w:sz w:val="22"/>
          <w:szCs w:val="22"/>
        </w:rPr>
        <w:t xml:space="preserve"> (doporučení/nedoporučení k obhajobě)</w:t>
      </w:r>
    </w:p>
    <w:p w:rsidR="00D77230" w:rsidRPr="00225B65" w:rsidRDefault="00D77230" w:rsidP="0029540C">
      <w:pPr>
        <w:jc w:val="both"/>
        <w:rPr>
          <w:sz w:val="22"/>
          <w:szCs w:val="22"/>
        </w:rPr>
      </w:pPr>
    </w:p>
    <w:p w:rsidR="00D77230" w:rsidRPr="00225B65" w:rsidRDefault="00D77230" w:rsidP="0029540C">
      <w:pPr>
        <w:jc w:val="both"/>
        <w:rPr>
          <w:sz w:val="22"/>
          <w:szCs w:val="22"/>
        </w:rPr>
      </w:pPr>
      <w:r w:rsidRPr="00225B65">
        <w:rPr>
          <w:sz w:val="22"/>
          <w:szCs w:val="22"/>
        </w:rPr>
        <w:t xml:space="preserve">Bakalářskou práci doporučuji k obhajobě. </w:t>
      </w:r>
    </w:p>
    <w:p w:rsidR="00D77230" w:rsidRPr="00225B65" w:rsidRDefault="00D77230" w:rsidP="0029540C">
      <w:pPr>
        <w:jc w:val="both"/>
        <w:rPr>
          <w:sz w:val="22"/>
          <w:szCs w:val="22"/>
        </w:rPr>
      </w:pPr>
    </w:p>
    <w:p w:rsidR="00D77230" w:rsidRPr="00225B65" w:rsidRDefault="00D77230" w:rsidP="0029540C">
      <w:pPr>
        <w:jc w:val="both"/>
        <w:rPr>
          <w:b/>
          <w:bCs/>
          <w:sz w:val="22"/>
          <w:szCs w:val="22"/>
        </w:rPr>
      </w:pPr>
    </w:p>
    <w:p w:rsidR="00D77230" w:rsidRPr="00225B65" w:rsidRDefault="00D77230" w:rsidP="0029540C">
      <w:pPr>
        <w:jc w:val="both"/>
        <w:rPr>
          <w:sz w:val="22"/>
          <w:szCs w:val="22"/>
        </w:rPr>
      </w:pPr>
      <w:r w:rsidRPr="00225B65">
        <w:rPr>
          <w:b/>
          <w:bCs/>
          <w:sz w:val="22"/>
          <w:szCs w:val="22"/>
        </w:rPr>
        <w:t>VII. Návrh klasifikace</w:t>
      </w:r>
      <w:r w:rsidRPr="00225B65">
        <w:rPr>
          <w:sz w:val="22"/>
          <w:szCs w:val="22"/>
        </w:rPr>
        <w:t xml:space="preserve"> (podle bodového ohodnocení)</w:t>
      </w:r>
    </w:p>
    <w:p w:rsidR="00D77230" w:rsidRPr="00225B65" w:rsidRDefault="00D77230" w:rsidP="0029540C">
      <w:pPr>
        <w:jc w:val="both"/>
        <w:rPr>
          <w:sz w:val="22"/>
          <w:szCs w:val="22"/>
        </w:rPr>
      </w:pPr>
    </w:p>
    <w:p w:rsidR="00D77230" w:rsidRPr="00225B65" w:rsidRDefault="00D77230" w:rsidP="0029540C">
      <w:pPr>
        <w:jc w:val="both"/>
        <w:rPr>
          <w:sz w:val="22"/>
          <w:szCs w:val="22"/>
        </w:rPr>
      </w:pPr>
      <w:r w:rsidRPr="00225B65">
        <w:rPr>
          <w:sz w:val="22"/>
          <w:szCs w:val="22"/>
        </w:rPr>
        <w:t xml:space="preserve">Bakalářskou práci navrhuji klasifikovat známkou </w:t>
      </w:r>
      <w:r w:rsidR="00225B65" w:rsidRPr="00225B65">
        <w:rPr>
          <w:b/>
          <w:sz w:val="22"/>
          <w:szCs w:val="22"/>
        </w:rPr>
        <w:t xml:space="preserve">velmi dobře minus </w:t>
      </w:r>
      <w:r w:rsidRPr="00225B65">
        <w:rPr>
          <w:b/>
          <w:sz w:val="22"/>
          <w:szCs w:val="22"/>
        </w:rPr>
        <w:t>–</w:t>
      </w:r>
      <w:r w:rsidR="00295257" w:rsidRPr="00225B65">
        <w:rPr>
          <w:b/>
          <w:sz w:val="22"/>
          <w:szCs w:val="22"/>
        </w:rPr>
        <w:t xml:space="preserve"> </w:t>
      </w:r>
      <w:r w:rsidR="00225B65" w:rsidRPr="00225B65">
        <w:rPr>
          <w:b/>
          <w:sz w:val="22"/>
          <w:szCs w:val="22"/>
        </w:rPr>
        <w:t>D</w:t>
      </w:r>
      <w:r w:rsidR="0029540C" w:rsidRPr="00225B65">
        <w:rPr>
          <w:b/>
          <w:sz w:val="22"/>
          <w:szCs w:val="22"/>
        </w:rPr>
        <w:t xml:space="preserve"> </w:t>
      </w:r>
      <w:r w:rsidRPr="00225B65">
        <w:rPr>
          <w:sz w:val="22"/>
          <w:szCs w:val="22"/>
        </w:rPr>
        <w:t>(</w:t>
      </w:r>
      <w:r w:rsidR="00225B65" w:rsidRPr="00225B65">
        <w:rPr>
          <w:sz w:val="22"/>
          <w:szCs w:val="22"/>
        </w:rPr>
        <w:t>11</w:t>
      </w:r>
      <w:r w:rsidRPr="00225B65">
        <w:rPr>
          <w:sz w:val="22"/>
          <w:szCs w:val="22"/>
        </w:rPr>
        <w:t xml:space="preserve"> bodů). </w:t>
      </w:r>
    </w:p>
    <w:p w:rsidR="00D77230" w:rsidRPr="00225B65" w:rsidRDefault="00D77230" w:rsidP="0029540C">
      <w:pPr>
        <w:jc w:val="both"/>
        <w:rPr>
          <w:sz w:val="22"/>
          <w:szCs w:val="22"/>
        </w:rPr>
      </w:pPr>
    </w:p>
    <w:p w:rsidR="00D77230" w:rsidRPr="00225B65" w:rsidRDefault="00D77230" w:rsidP="0029540C">
      <w:pPr>
        <w:jc w:val="both"/>
        <w:rPr>
          <w:sz w:val="22"/>
          <w:szCs w:val="22"/>
        </w:rPr>
      </w:pPr>
      <w:r w:rsidRPr="00225B65">
        <w:rPr>
          <w:sz w:val="22"/>
          <w:szCs w:val="22"/>
        </w:rPr>
        <w:t xml:space="preserve">datum: </w:t>
      </w:r>
      <w:r w:rsidR="00225B65" w:rsidRPr="00225B65">
        <w:rPr>
          <w:sz w:val="22"/>
          <w:szCs w:val="22"/>
        </w:rPr>
        <w:t>19</w:t>
      </w:r>
      <w:r w:rsidRPr="00225B65">
        <w:rPr>
          <w:sz w:val="22"/>
          <w:szCs w:val="22"/>
        </w:rPr>
        <w:t>. 5. 202</w:t>
      </w:r>
      <w:r w:rsidR="00225B65" w:rsidRPr="00225B65">
        <w:rPr>
          <w:sz w:val="22"/>
          <w:szCs w:val="22"/>
        </w:rPr>
        <w:t>3</w:t>
      </w:r>
      <w:r w:rsidRPr="00225B65">
        <w:rPr>
          <w:sz w:val="22"/>
          <w:szCs w:val="22"/>
        </w:rPr>
        <w:t xml:space="preserve"> </w:t>
      </w:r>
    </w:p>
    <w:p w:rsidR="00D77230" w:rsidRPr="00225B65" w:rsidRDefault="00D77230" w:rsidP="0029540C">
      <w:pPr>
        <w:jc w:val="both"/>
        <w:rPr>
          <w:sz w:val="22"/>
          <w:szCs w:val="22"/>
        </w:rPr>
      </w:pPr>
    </w:p>
    <w:p w:rsidR="00D77230" w:rsidRPr="00225B65" w:rsidRDefault="00D77230" w:rsidP="0029540C">
      <w:pPr>
        <w:jc w:val="both"/>
        <w:rPr>
          <w:sz w:val="22"/>
          <w:szCs w:val="22"/>
        </w:rPr>
      </w:pPr>
      <w:r w:rsidRPr="00225B65">
        <w:rPr>
          <w:sz w:val="22"/>
          <w:szCs w:val="22"/>
        </w:rPr>
        <w:t>______________________________________________________________________________</w:t>
      </w:r>
    </w:p>
    <w:p w:rsidR="00D77230" w:rsidRPr="00225B65" w:rsidRDefault="00D77230" w:rsidP="0029540C">
      <w:pPr>
        <w:jc w:val="both"/>
        <w:rPr>
          <w:sz w:val="22"/>
          <w:szCs w:val="22"/>
        </w:rPr>
      </w:pPr>
    </w:p>
    <w:p w:rsidR="00D77230" w:rsidRPr="00225B65" w:rsidRDefault="00D77230" w:rsidP="0029540C">
      <w:pPr>
        <w:jc w:val="both"/>
        <w:rPr>
          <w:sz w:val="22"/>
          <w:szCs w:val="22"/>
        </w:rPr>
      </w:pPr>
      <w:r w:rsidRPr="00225B65">
        <w:rPr>
          <w:sz w:val="22"/>
          <w:szCs w:val="22"/>
        </w:rPr>
        <w:t xml:space="preserve">Tabulka bodového hodnocení </w:t>
      </w:r>
    </w:p>
    <w:p w:rsidR="00D77230" w:rsidRPr="00225B65" w:rsidRDefault="00D77230" w:rsidP="0029540C">
      <w:pPr>
        <w:jc w:val="both"/>
        <w:rPr>
          <w:sz w:val="22"/>
          <w:szCs w:val="22"/>
        </w:rPr>
      </w:pPr>
    </w:p>
    <w:tbl>
      <w:tblPr>
        <w:tblW w:w="0" w:type="auto"/>
        <w:tblLayout w:type="fixed"/>
        <w:tblCellMar>
          <w:top w:w="55" w:type="dxa"/>
          <w:left w:w="55" w:type="dxa"/>
          <w:bottom w:w="55" w:type="dxa"/>
          <w:right w:w="55" w:type="dxa"/>
        </w:tblCellMar>
        <w:tblLook w:val="04A0"/>
      </w:tblPr>
      <w:tblGrid>
        <w:gridCol w:w="906"/>
        <w:gridCol w:w="1843"/>
        <w:gridCol w:w="708"/>
        <w:gridCol w:w="2930"/>
      </w:tblGrid>
      <w:tr w:rsidR="00D77230" w:rsidRPr="00225B65" w:rsidTr="00D77230">
        <w:trPr>
          <w:trHeight w:val="276"/>
        </w:trPr>
        <w:tc>
          <w:tcPr>
            <w:tcW w:w="906" w:type="dxa"/>
            <w:tcBorders>
              <w:top w:val="single" w:sz="2" w:space="0" w:color="000000"/>
              <w:left w:val="single" w:sz="2" w:space="0" w:color="000000"/>
              <w:bottom w:val="single" w:sz="2" w:space="0" w:color="000000"/>
              <w:right w:val="nil"/>
            </w:tcBorders>
            <w:hideMark/>
          </w:tcPr>
          <w:p w:rsidR="00D77230" w:rsidRPr="00225B65" w:rsidRDefault="00D77230" w:rsidP="0029540C">
            <w:pPr>
              <w:pStyle w:val="Obsahtabulky"/>
              <w:snapToGrid w:val="0"/>
              <w:spacing w:line="276" w:lineRule="auto"/>
              <w:jc w:val="both"/>
              <w:rPr>
                <w:b/>
                <w:bCs/>
                <w:sz w:val="22"/>
                <w:szCs w:val="22"/>
              </w:rPr>
            </w:pPr>
            <w:r w:rsidRPr="00225B65">
              <w:rPr>
                <w:b/>
                <w:bCs/>
                <w:sz w:val="22"/>
                <w:szCs w:val="22"/>
              </w:rPr>
              <w:t>body</w:t>
            </w:r>
          </w:p>
        </w:tc>
        <w:tc>
          <w:tcPr>
            <w:tcW w:w="1843" w:type="dxa"/>
            <w:tcBorders>
              <w:top w:val="single" w:sz="2" w:space="0" w:color="000000"/>
              <w:left w:val="single" w:sz="2" w:space="0" w:color="000000"/>
              <w:bottom w:val="single" w:sz="2" w:space="0" w:color="000000"/>
              <w:right w:val="nil"/>
            </w:tcBorders>
            <w:hideMark/>
          </w:tcPr>
          <w:p w:rsidR="00D77230" w:rsidRPr="00225B65" w:rsidRDefault="00D77230" w:rsidP="0029540C">
            <w:pPr>
              <w:pStyle w:val="Obsahtabulky"/>
              <w:snapToGrid w:val="0"/>
              <w:spacing w:line="276" w:lineRule="auto"/>
              <w:jc w:val="both"/>
              <w:rPr>
                <w:b/>
                <w:bCs/>
                <w:sz w:val="22"/>
                <w:szCs w:val="22"/>
              </w:rPr>
            </w:pPr>
            <w:r w:rsidRPr="00225B65">
              <w:rPr>
                <w:b/>
                <w:bCs/>
                <w:sz w:val="22"/>
                <w:szCs w:val="22"/>
              </w:rPr>
              <w:t>klasifikace</w:t>
            </w:r>
          </w:p>
        </w:tc>
        <w:tc>
          <w:tcPr>
            <w:tcW w:w="708" w:type="dxa"/>
            <w:tcBorders>
              <w:top w:val="single" w:sz="2" w:space="0" w:color="000000"/>
              <w:left w:val="single" w:sz="2" w:space="0" w:color="000000"/>
              <w:bottom w:val="single" w:sz="2" w:space="0" w:color="000000"/>
              <w:right w:val="single" w:sz="2" w:space="0" w:color="000000"/>
            </w:tcBorders>
          </w:tcPr>
          <w:p w:rsidR="00D77230" w:rsidRPr="00225B65" w:rsidRDefault="00D77230" w:rsidP="0029540C">
            <w:pPr>
              <w:pStyle w:val="Obsahtabulky"/>
              <w:snapToGrid w:val="0"/>
              <w:spacing w:line="276" w:lineRule="auto"/>
              <w:jc w:val="both"/>
              <w:rPr>
                <w:b/>
                <w:bCs/>
                <w:sz w:val="22"/>
                <w:szCs w:val="22"/>
              </w:rPr>
            </w:pPr>
          </w:p>
        </w:tc>
        <w:tc>
          <w:tcPr>
            <w:tcW w:w="2930" w:type="dxa"/>
            <w:tcBorders>
              <w:top w:val="single" w:sz="2" w:space="0" w:color="000000"/>
              <w:left w:val="single" w:sz="2" w:space="0" w:color="000000"/>
              <w:bottom w:val="single" w:sz="2" w:space="0" w:color="000000"/>
              <w:right w:val="single" w:sz="2" w:space="0" w:color="000000"/>
            </w:tcBorders>
            <w:hideMark/>
          </w:tcPr>
          <w:p w:rsidR="00D77230" w:rsidRPr="00225B65" w:rsidRDefault="00D77230" w:rsidP="0029540C">
            <w:pPr>
              <w:pStyle w:val="Obsahtabulky"/>
              <w:snapToGrid w:val="0"/>
              <w:spacing w:line="276" w:lineRule="auto"/>
              <w:jc w:val="both"/>
              <w:rPr>
                <w:b/>
                <w:bCs/>
                <w:sz w:val="22"/>
                <w:szCs w:val="22"/>
              </w:rPr>
            </w:pPr>
            <w:r w:rsidRPr="00225B65">
              <w:rPr>
                <w:b/>
                <w:bCs/>
                <w:sz w:val="22"/>
                <w:szCs w:val="22"/>
              </w:rPr>
              <w:t>podmínka</w:t>
            </w:r>
          </w:p>
        </w:tc>
      </w:tr>
      <w:tr w:rsidR="00D77230" w:rsidRPr="00225B65" w:rsidTr="00D77230">
        <w:trPr>
          <w:trHeight w:val="276"/>
        </w:trPr>
        <w:tc>
          <w:tcPr>
            <w:tcW w:w="906" w:type="dxa"/>
            <w:tcBorders>
              <w:top w:val="nil"/>
              <w:left w:val="single" w:sz="2" w:space="0" w:color="000000"/>
              <w:bottom w:val="single" w:sz="2" w:space="0" w:color="000000"/>
              <w:right w:val="nil"/>
            </w:tcBorders>
            <w:hideMark/>
          </w:tcPr>
          <w:p w:rsidR="00D77230" w:rsidRPr="00225B65" w:rsidRDefault="00D77230" w:rsidP="0029540C">
            <w:pPr>
              <w:pStyle w:val="Obsahtabulky"/>
              <w:snapToGrid w:val="0"/>
              <w:spacing w:line="276" w:lineRule="auto"/>
              <w:jc w:val="both"/>
              <w:rPr>
                <w:b/>
                <w:sz w:val="22"/>
                <w:szCs w:val="22"/>
              </w:rPr>
            </w:pPr>
            <w:r w:rsidRPr="00225B65">
              <w:rPr>
                <w:b/>
                <w:sz w:val="22"/>
                <w:szCs w:val="22"/>
              </w:rPr>
              <w:t>15 až 16</w:t>
            </w:r>
          </w:p>
        </w:tc>
        <w:tc>
          <w:tcPr>
            <w:tcW w:w="1843" w:type="dxa"/>
            <w:tcBorders>
              <w:top w:val="nil"/>
              <w:left w:val="single" w:sz="2" w:space="0" w:color="000000"/>
              <w:bottom w:val="single" w:sz="2" w:space="0" w:color="000000"/>
              <w:right w:val="nil"/>
            </w:tcBorders>
            <w:hideMark/>
          </w:tcPr>
          <w:p w:rsidR="00D77230" w:rsidRPr="00225B65" w:rsidRDefault="00D77230" w:rsidP="0029540C">
            <w:pPr>
              <w:pStyle w:val="Obsahtabulky"/>
              <w:snapToGrid w:val="0"/>
              <w:spacing w:line="276" w:lineRule="auto"/>
              <w:jc w:val="both"/>
              <w:rPr>
                <w:sz w:val="22"/>
                <w:szCs w:val="22"/>
              </w:rPr>
            </w:pPr>
            <w:r w:rsidRPr="00225B65">
              <w:rPr>
                <w:sz w:val="22"/>
                <w:szCs w:val="22"/>
              </w:rPr>
              <w:t>výborně</w:t>
            </w:r>
          </w:p>
        </w:tc>
        <w:tc>
          <w:tcPr>
            <w:tcW w:w="708" w:type="dxa"/>
            <w:tcBorders>
              <w:top w:val="nil"/>
              <w:left w:val="single" w:sz="2" w:space="0" w:color="000000"/>
              <w:bottom w:val="single" w:sz="2" w:space="0" w:color="000000"/>
              <w:right w:val="single" w:sz="2" w:space="0" w:color="000000"/>
            </w:tcBorders>
            <w:hideMark/>
          </w:tcPr>
          <w:p w:rsidR="00D77230" w:rsidRPr="00225B65" w:rsidRDefault="00D77230" w:rsidP="0029540C">
            <w:pPr>
              <w:pStyle w:val="Obsahtabulky"/>
              <w:snapToGrid w:val="0"/>
              <w:spacing w:line="276" w:lineRule="auto"/>
              <w:jc w:val="both"/>
              <w:rPr>
                <w:b/>
                <w:sz w:val="22"/>
                <w:szCs w:val="22"/>
              </w:rPr>
            </w:pPr>
            <w:r w:rsidRPr="00225B65">
              <w:rPr>
                <w:b/>
                <w:sz w:val="22"/>
                <w:szCs w:val="22"/>
              </w:rPr>
              <w:t>A</w:t>
            </w:r>
          </w:p>
        </w:tc>
        <w:tc>
          <w:tcPr>
            <w:tcW w:w="2930" w:type="dxa"/>
            <w:tcBorders>
              <w:top w:val="nil"/>
              <w:left w:val="single" w:sz="2" w:space="0" w:color="000000"/>
              <w:bottom w:val="single" w:sz="2" w:space="0" w:color="000000"/>
              <w:right w:val="single" w:sz="2" w:space="0" w:color="000000"/>
            </w:tcBorders>
            <w:hideMark/>
          </w:tcPr>
          <w:p w:rsidR="00D77230" w:rsidRPr="00225B65" w:rsidRDefault="00D77230" w:rsidP="0029540C">
            <w:pPr>
              <w:pStyle w:val="Obsahtabulky"/>
              <w:snapToGrid w:val="0"/>
              <w:spacing w:line="276" w:lineRule="auto"/>
              <w:jc w:val="both"/>
              <w:rPr>
                <w:sz w:val="22"/>
                <w:szCs w:val="22"/>
              </w:rPr>
            </w:pPr>
            <w:r w:rsidRPr="00225B65">
              <w:rPr>
                <w:sz w:val="22"/>
                <w:szCs w:val="22"/>
              </w:rPr>
              <w:t>žádná nulová položka</w:t>
            </w:r>
          </w:p>
        </w:tc>
      </w:tr>
      <w:tr w:rsidR="00D77230" w:rsidRPr="00225B65" w:rsidTr="00D77230">
        <w:trPr>
          <w:trHeight w:val="276"/>
        </w:trPr>
        <w:tc>
          <w:tcPr>
            <w:tcW w:w="906" w:type="dxa"/>
            <w:tcBorders>
              <w:top w:val="nil"/>
              <w:left w:val="single" w:sz="2" w:space="0" w:color="000000"/>
              <w:bottom w:val="single" w:sz="2" w:space="0" w:color="000000"/>
              <w:right w:val="nil"/>
            </w:tcBorders>
            <w:hideMark/>
          </w:tcPr>
          <w:p w:rsidR="00D77230" w:rsidRPr="00225B65" w:rsidRDefault="00D77230" w:rsidP="0029540C">
            <w:pPr>
              <w:pStyle w:val="Obsahtabulky"/>
              <w:snapToGrid w:val="0"/>
              <w:spacing w:line="276" w:lineRule="auto"/>
              <w:jc w:val="both"/>
              <w:rPr>
                <w:b/>
                <w:sz w:val="22"/>
                <w:szCs w:val="22"/>
              </w:rPr>
            </w:pPr>
            <w:r w:rsidRPr="00225B65">
              <w:rPr>
                <w:b/>
                <w:sz w:val="22"/>
                <w:szCs w:val="22"/>
              </w:rPr>
              <w:t>14</w:t>
            </w:r>
          </w:p>
        </w:tc>
        <w:tc>
          <w:tcPr>
            <w:tcW w:w="1843" w:type="dxa"/>
            <w:tcBorders>
              <w:top w:val="nil"/>
              <w:left w:val="single" w:sz="2" w:space="0" w:color="000000"/>
              <w:bottom w:val="single" w:sz="2" w:space="0" w:color="000000"/>
              <w:right w:val="nil"/>
            </w:tcBorders>
            <w:hideMark/>
          </w:tcPr>
          <w:p w:rsidR="00D77230" w:rsidRPr="00225B65" w:rsidRDefault="00D77230" w:rsidP="0029540C">
            <w:pPr>
              <w:pStyle w:val="Obsahtabulky"/>
              <w:snapToGrid w:val="0"/>
              <w:spacing w:line="276" w:lineRule="auto"/>
              <w:jc w:val="both"/>
              <w:rPr>
                <w:sz w:val="22"/>
                <w:szCs w:val="22"/>
              </w:rPr>
            </w:pPr>
            <w:r w:rsidRPr="00225B65">
              <w:rPr>
                <w:sz w:val="22"/>
                <w:szCs w:val="22"/>
              </w:rPr>
              <w:t>výborně mínus</w:t>
            </w:r>
          </w:p>
        </w:tc>
        <w:tc>
          <w:tcPr>
            <w:tcW w:w="708" w:type="dxa"/>
            <w:tcBorders>
              <w:top w:val="nil"/>
              <w:left w:val="single" w:sz="2" w:space="0" w:color="000000"/>
              <w:bottom w:val="single" w:sz="2" w:space="0" w:color="000000"/>
              <w:right w:val="single" w:sz="2" w:space="0" w:color="000000"/>
            </w:tcBorders>
            <w:hideMark/>
          </w:tcPr>
          <w:p w:rsidR="00D77230" w:rsidRPr="00225B65" w:rsidRDefault="00D77230" w:rsidP="0029540C">
            <w:pPr>
              <w:pStyle w:val="Obsahtabulky"/>
              <w:snapToGrid w:val="0"/>
              <w:spacing w:line="276" w:lineRule="auto"/>
              <w:jc w:val="both"/>
              <w:rPr>
                <w:b/>
                <w:sz w:val="22"/>
                <w:szCs w:val="22"/>
              </w:rPr>
            </w:pPr>
            <w:r w:rsidRPr="00225B65">
              <w:rPr>
                <w:b/>
                <w:sz w:val="22"/>
                <w:szCs w:val="22"/>
              </w:rPr>
              <w:t>B</w:t>
            </w:r>
          </w:p>
        </w:tc>
        <w:tc>
          <w:tcPr>
            <w:tcW w:w="2930" w:type="dxa"/>
            <w:tcBorders>
              <w:top w:val="nil"/>
              <w:left w:val="single" w:sz="2" w:space="0" w:color="000000"/>
              <w:bottom w:val="single" w:sz="2" w:space="0" w:color="000000"/>
              <w:right w:val="single" w:sz="2" w:space="0" w:color="000000"/>
            </w:tcBorders>
            <w:hideMark/>
          </w:tcPr>
          <w:p w:rsidR="00D77230" w:rsidRPr="00225B65" w:rsidRDefault="00D77230" w:rsidP="0029540C">
            <w:pPr>
              <w:pStyle w:val="Obsahtabulky"/>
              <w:snapToGrid w:val="0"/>
              <w:spacing w:line="276" w:lineRule="auto"/>
              <w:jc w:val="both"/>
              <w:rPr>
                <w:sz w:val="22"/>
                <w:szCs w:val="22"/>
              </w:rPr>
            </w:pPr>
            <w:r w:rsidRPr="00225B65">
              <w:rPr>
                <w:sz w:val="22"/>
                <w:szCs w:val="22"/>
              </w:rPr>
              <w:t>žádná nulová položka</w:t>
            </w:r>
          </w:p>
        </w:tc>
      </w:tr>
      <w:tr w:rsidR="00D77230" w:rsidRPr="00225B65" w:rsidTr="00D77230">
        <w:trPr>
          <w:trHeight w:val="276"/>
        </w:trPr>
        <w:tc>
          <w:tcPr>
            <w:tcW w:w="906" w:type="dxa"/>
            <w:tcBorders>
              <w:top w:val="nil"/>
              <w:left w:val="single" w:sz="2" w:space="0" w:color="000000"/>
              <w:bottom w:val="single" w:sz="2" w:space="0" w:color="000000"/>
              <w:right w:val="nil"/>
            </w:tcBorders>
            <w:hideMark/>
          </w:tcPr>
          <w:p w:rsidR="00D77230" w:rsidRPr="00225B65" w:rsidRDefault="00D77230" w:rsidP="0029540C">
            <w:pPr>
              <w:pStyle w:val="Obsahtabulky"/>
              <w:snapToGrid w:val="0"/>
              <w:spacing w:line="276" w:lineRule="auto"/>
              <w:jc w:val="both"/>
              <w:rPr>
                <w:b/>
                <w:sz w:val="22"/>
                <w:szCs w:val="22"/>
              </w:rPr>
            </w:pPr>
            <w:r w:rsidRPr="00225B65">
              <w:rPr>
                <w:b/>
                <w:sz w:val="22"/>
                <w:szCs w:val="22"/>
              </w:rPr>
              <w:t>12 až 13</w:t>
            </w:r>
          </w:p>
        </w:tc>
        <w:tc>
          <w:tcPr>
            <w:tcW w:w="1843" w:type="dxa"/>
            <w:tcBorders>
              <w:top w:val="nil"/>
              <w:left w:val="single" w:sz="2" w:space="0" w:color="000000"/>
              <w:bottom w:val="single" w:sz="2" w:space="0" w:color="000000"/>
              <w:right w:val="nil"/>
            </w:tcBorders>
            <w:hideMark/>
          </w:tcPr>
          <w:p w:rsidR="00D77230" w:rsidRPr="00225B65" w:rsidRDefault="00D77230" w:rsidP="0029540C">
            <w:pPr>
              <w:pStyle w:val="Obsahtabulky"/>
              <w:snapToGrid w:val="0"/>
              <w:spacing w:line="276" w:lineRule="auto"/>
              <w:jc w:val="both"/>
              <w:rPr>
                <w:sz w:val="22"/>
                <w:szCs w:val="22"/>
              </w:rPr>
            </w:pPr>
            <w:r w:rsidRPr="00225B65">
              <w:rPr>
                <w:sz w:val="22"/>
                <w:szCs w:val="22"/>
              </w:rPr>
              <w:t>velmi dobře</w:t>
            </w:r>
          </w:p>
        </w:tc>
        <w:tc>
          <w:tcPr>
            <w:tcW w:w="708" w:type="dxa"/>
            <w:tcBorders>
              <w:top w:val="nil"/>
              <w:left w:val="single" w:sz="2" w:space="0" w:color="000000"/>
              <w:bottom w:val="single" w:sz="2" w:space="0" w:color="000000"/>
              <w:right w:val="single" w:sz="2" w:space="0" w:color="000000"/>
            </w:tcBorders>
            <w:hideMark/>
          </w:tcPr>
          <w:p w:rsidR="00D77230" w:rsidRPr="00225B65" w:rsidRDefault="00D77230" w:rsidP="0029540C">
            <w:pPr>
              <w:pStyle w:val="Obsahtabulky"/>
              <w:snapToGrid w:val="0"/>
              <w:spacing w:line="276" w:lineRule="auto"/>
              <w:jc w:val="both"/>
              <w:rPr>
                <w:b/>
                <w:sz w:val="22"/>
                <w:szCs w:val="22"/>
              </w:rPr>
            </w:pPr>
            <w:r w:rsidRPr="00225B65">
              <w:rPr>
                <w:b/>
                <w:sz w:val="22"/>
                <w:szCs w:val="22"/>
              </w:rPr>
              <w:t>C</w:t>
            </w:r>
          </w:p>
        </w:tc>
        <w:tc>
          <w:tcPr>
            <w:tcW w:w="2930" w:type="dxa"/>
            <w:tcBorders>
              <w:top w:val="nil"/>
              <w:left w:val="single" w:sz="2" w:space="0" w:color="000000"/>
              <w:bottom w:val="single" w:sz="2" w:space="0" w:color="000000"/>
              <w:right w:val="single" w:sz="2" w:space="0" w:color="000000"/>
            </w:tcBorders>
            <w:hideMark/>
          </w:tcPr>
          <w:p w:rsidR="00D77230" w:rsidRPr="00225B65" w:rsidRDefault="00D77230" w:rsidP="0029540C">
            <w:pPr>
              <w:pStyle w:val="Obsahtabulky"/>
              <w:snapToGrid w:val="0"/>
              <w:spacing w:line="276" w:lineRule="auto"/>
              <w:jc w:val="both"/>
              <w:rPr>
                <w:sz w:val="22"/>
                <w:szCs w:val="22"/>
              </w:rPr>
            </w:pPr>
            <w:r w:rsidRPr="00225B65">
              <w:rPr>
                <w:sz w:val="22"/>
                <w:szCs w:val="22"/>
              </w:rPr>
              <w:t>žádná nulová položka</w:t>
            </w:r>
          </w:p>
        </w:tc>
      </w:tr>
      <w:tr w:rsidR="00D77230" w:rsidRPr="00225B65" w:rsidTr="00D77230">
        <w:trPr>
          <w:trHeight w:val="276"/>
        </w:trPr>
        <w:tc>
          <w:tcPr>
            <w:tcW w:w="906" w:type="dxa"/>
            <w:tcBorders>
              <w:top w:val="nil"/>
              <w:left w:val="single" w:sz="2" w:space="0" w:color="000000"/>
              <w:bottom w:val="single" w:sz="2" w:space="0" w:color="000000"/>
              <w:right w:val="nil"/>
            </w:tcBorders>
            <w:hideMark/>
          </w:tcPr>
          <w:p w:rsidR="00D77230" w:rsidRPr="00225B65" w:rsidRDefault="00D77230" w:rsidP="0029540C">
            <w:pPr>
              <w:pStyle w:val="Obsahtabulky"/>
              <w:snapToGrid w:val="0"/>
              <w:spacing w:line="276" w:lineRule="auto"/>
              <w:jc w:val="both"/>
              <w:rPr>
                <w:b/>
                <w:sz w:val="22"/>
                <w:szCs w:val="22"/>
              </w:rPr>
            </w:pPr>
            <w:r w:rsidRPr="00225B65">
              <w:rPr>
                <w:b/>
                <w:sz w:val="22"/>
                <w:szCs w:val="22"/>
              </w:rPr>
              <w:t>11</w:t>
            </w:r>
          </w:p>
        </w:tc>
        <w:tc>
          <w:tcPr>
            <w:tcW w:w="1843" w:type="dxa"/>
            <w:tcBorders>
              <w:top w:val="nil"/>
              <w:left w:val="single" w:sz="2" w:space="0" w:color="000000"/>
              <w:bottom w:val="single" w:sz="2" w:space="0" w:color="000000"/>
              <w:right w:val="nil"/>
            </w:tcBorders>
            <w:hideMark/>
          </w:tcPr>
          <w:p w:rsidR="00D77230" w:rsidRPr="00225B65" w:rsidRDefault="00D77230" w:rsidP="0029540C">
            <w:pPr>
              <w:pStyle w:val="Obsahtabulky"/>
              <w:snapToGrid w:val="0"/>
              <w:spacing w:line="276" w:lineRule="auto"/>
              <w:jc w:val="both"/>
              <w:rPr>
                <w:sz w:val="22"/>
                <w:szCs w:val="22"/>
              </w:rPr>
            </w:pPr>
            <w:r w:rsidRPr="00225B65">
              <w:rPr>
                <w:sz w:val="22"/>
                <w:szCs w:val="22"/>
              </w:rPr>
              <w:t>velmi dobře mínus</w:t>
            </w:r>
          </w:p>
        </w:tc>
        <w:tc>
          <w:tcPr>
            <w:tcW w:w="708" w:type="dxa"/>
            <w:tcBorders>
              <w:top w:val="nil"/>
              <w:left w:val="single" w:sz="2" w:space="0" w:color="000000"/>
              <w:bottom w:val="single" w:sz="2" w:space="0" w:color="000000"/>
              <w:right w:val="single" w:sz="2" w:space="0" w:color="000000"/>
            </w:tcBorders>
            <w:hideMark/>
          </w:tcPr>
          <w:p w:rsidR="00D77230" w:rsidRPr="00225B65" w:rsidRDefault="00D77230" w:rsidP="0029540C">
            <w:pPr>
              <w:pStyle w:val="Obsahtabulky"/>
              <w:snapToGrid w:val="0"/>
              <w:spacing w:line="276" w:lineRule="auto"/>
              <w:jc w:val="both"/>
              <w:rPr>
                <w:b/>
                <w:sz w:val="22"/>
                <w:szCs w:val="22"/>
              </w:rPr>
            </w:pPr>
            <w:r w:rsidRPr="00225B65">
              <w:rPr>
                <w:b/>
                <w:sz w:val="22"/>
                <w:szCs w:val="22"/>
              </w:rPr>
              <w:t>D</w:t>
            </w:r>
          </w:p>
        </w:tc>
        <w:tc>
          <w:tcPr>
            <w:tcW w:w="2930" w:type="dxa"/>
            <w:tcBorders>
              <w:top w:val="nil"/>
              <w:left w:val="single" w:sz="2" w:space="0" w:color="000000"/>
              <w:bottom w:val="single" w:sz="2" w:space="0" w:color="000000"/>
              <w:right w:val="single" w:sz="2" w:space="0" w:color="000000"/>
            </w:tcBorders>
            <w:hideMark/>
          </w:tcPr>
          <w:p w:rsidR="00D77230" w:rsidRPr="00225B65" w:rsidRDefault="00D77230" w:rsidP="0029540C">
            <w:pPr>
              <w:pStyle w:val="Obsahtabulky"/>
              <w:snapToGrid w:val="0"/>
              <w:spacing w:line="276" w:lineRule="auto"/>
              <w:jc w:val="both"/>
              <w:rPr>
                <w:sz w:val="22"/>
                <w:szCs w:val="22"/>
              </w:rPr>
            </w:pPr>
            <w:r w:rsidRPr="00225B65">
              <w:rPr>
                <w:sz w:val="22"/>
                <w:szCs w:val="22"/>
              </w:rPr>
              <w:t>žádná nulová položka</w:t>
            </w:r>
          </w:p>
        </w:tc>
      </w:tr>
      <w:tr w:rsidR="00D77230" w:rsidRPr="00225B65" w:rsidTr="00D77230">
        <w:trPr>
          <w:trHeight w:val="276"/>
        </w:trPr>
        <w:tc>
          <w:tcPr>
            <w:tcW w:w="906" w:type="dxa"/>
            <w:tcBorders>
              <w:top w:val="nil"/>
              <w:left w:val="single" w:sz="2" w:space="0" w:color="000000"/>
              <w:bottom w:val="single" w:sz="2" w:space="0" w:color="000000"/>
              <w:right w:val="nil"/>
            </w:tcBorders>
            <w:hideMark/>
          </w:tcPr>
          <w:p w:rsidR="00D77230" w:rsidRPr="00225B65" w:rsidRDefault="00D77230" w:rsidP="0029540C">
            <w:pPr>
              <w:pStyle w:val="Obsahtabulky"/>
              <w:snapToGrid w:val="0"/>
              <w:spacing w:line="276" w:lineRule="auto"/>
              <w:jc w:val="both"/>
              <w:rPr>
                <w:b/>
                <w:sz w:val="22"/>
                <w:szCs w:val="22"/>
              </w:rPr>
            </w:pPr>
            <w:r w:rsidRPr="00225B65">
              <w:rPr>
                <w:b/>
                <w:sz w:val="22"/>
                <w:szCs w:val="22"/>
              </w:rPr>
              <w:t>5 až 10</w:t>
            </w:r>
          </w:p>
        </w:tc>
        <w:tc>
          <w:tcPr>
            <w:tcW w:w="1843" w:type="dxa"/>
            <w:tcBorders>
              <w:top w:val="nil"/>
              <w:left w:val="single" w:sz="2" w:space="0" w:color="000000"/>
              <w:bottom w:val="single" w:sz="2" w:space="0" w:color="000000"/>
              <w:right w:val="nil"/>
            </w:tcBorders>
            <w:hideMark/>
          </w:tcPr>
          <w:p w:rsidR="00D77230" w:rsidRPr="00225B65" w:rsidRDefault="00D77230" w:rsidP="0029540C">
            <w:pPr>
              <w:pStyle w:val="Obsahtabulky"/>
              <w:snapToGrid w:val="0"/>
              <w:spacing w:line="276" w:lineRule="auto"/>
              <w:jc w:val="both"/>
              <w:rPr>
                <w:sz w:val="22"/>
                <w:szCs w:val="22"/>
              </w:rPr>
            </w:pPr>
            <w:r w:rsidRPr="00225B65">
              <w:rPr>
                <w:sz w:val="22"/>
                <w:szCs w:val="22"/>
              </w:rPr>
              <w:t>dobře</w:t>
            </w:r>
          </w:p>
        </w:tc>
        <w:tc>
          <w:tcPr>
            <w:tcW w:w="708" w:type="dxa"/>
            <w:tcBorders>
              <w:top w:val="nil"/>
              <w:left w:val="single" w:sz="2" w:space="0" w:color="000000"/>
              <w:bottom w:val="single" w:sz="2" w:space="0" w:color="000000"/>
              <w:right w:val="single" w:sz="2" w:space="0" w:color="000000"/>
            </w:tcBorders>
            <w:hideMark/>
          </w:tcPr>
          <w:p w:rsidR="00D77230" w:rsidRPr="00225B65" w:rsidRDefault="00D77230" w:rsidP="0029540C">
            <w:pPr>
              <w:pStyle w:val="Obsahtabulky"/>
              <w:snapToGrid w:val="0"/>
              <w:spacing w:line="276" w:lineRule="auto"/>
              <w:jc w:val="both"/>
              <w:rPr>
                <w:b/>
                <w:sz w:val="22"/>
                <w:szCs w:val="22"/>
              </w:rPr>
            </w:pPr>
            <w:r w:rsidRPr="00225B65">
              <w:rPr>
                <w:b/>
                <w:sz w:val="22"/>
                <w:szCs w:val="22"/>
              </w:rPr>
              <w:t>E</w:t>
            </w:r>
          </w:p>
        </w:tc>
        <w:tc>
          <w:tcPr>
            <w:tcW w:w="2930" w:type="dxa"/>
            <w:tcBorders>
              <w:top w:val="nil"/>
              <w:left w:val="single" w:sz="2" w:space="0" w:color="000000"/>
              <w:bottom w:val="single" w:sz="2" w:space="0" w:color="000000"/>
              <w:right w:val="single" w:sz="2" w:space="0" w:color="000000"/>
            </w:tcBorders>
            <w:hideMark/>
          </w:tcPr>
          <w:p w:rsidR="00D77230" w:rsidRPr="00225B65" w:rsidRDefault="00D77230" w:rsidP="0029540C">
            <w:pPr>
              <w:pStyle w:val="Obsahtabulky"/>
              <w:snapToGrid w:val="0"/>
              <w:spacing w:line="276" w:lineRule="auto"/>
              <w:jc w:val="both"/>
              <w:rPr>
                <w:sz w:val="22"/>
                <w:szCs w:val="22"/>
              </w:rPr>
            </w:pPr>
            <w:r w:rsidRPr="00225B65">
              <w:rPr>
                <w:sz w:val="22"/>
                <w:szCs w:val="22"/>
              </w:rPr>
              <w:t>žádná nulová položka</w:t>
            </w:r>
          </w:p>
        </w:tc>
      </w:tr>
      <w:tr w:rsidR="00D77230" w:rsidRPr="00225B65" w:rsidTr="00D77230">
        <w:trPr>
          <w:trHeight w:val="276"/>
        </w:trPr>
        <w:tc>
          <w:tcPr>
            <w:tcW w:w="906" w:type="dxa"/>
            <w:tcBorders>
              <w:top w:val="nil"/>
              <w:left w:val="single" w:sz="2" w:space="0" w:color="000000"/>
              <w:bottom w:val="single" w:sz="2" w:space="0" w:color="000000"/>
              <w:right w:val="nil"/>
            </w:tcBorders>
            <w:hideMark/>
          </w:tcPr>
          <w:p w:rsidR="00D77230" w:rsidRPr="00225B65" w:rsidRDefault="00D77230" w:rsidP="0029540C">
            <w:pPr>
              <w:pStyle w:val="Obsahtabulky"/>
              <w:snapToGrid w:val="0"/>
              <w:spacing w:line="276" w:lineRule="auto"/>
              <w:jc w:val="both"/>
              <w:rPr>
                <w:b/>
                <w:sz w:val="22"/>
                <w:szCs w:val="22"/>
              </w:rPr>
            </w:pPr>
            <w:smartTag w:uri="urn:schemas-microsoft-com:office:smarttags" w:element="metricconverter">
              <w:smartTagPr>
                <w:attr w:name="ProductID" w:val="4 a"/>
              </w:smartTagPr>
              <w:r w:rsidRPr="00225B65">
                <w:rPr>
                  <w:b/>
                  <w:sz w:val="22"/>
                  <w:szCs w:val="22"/>
                </w:rPr>
                <w:t>4 a</w:t>
              </w:r>
            </w:smartTag>
            <w:r w:rsidRPr="00225B65">
              <w:rPr>
                <w:b/>
                <w:sz w:val="22"/>
                <w:szCs w:val="22"/>
              </w:rPr>
              <w:t xml:space="preserve"> méně</w:t>
            </w:r>
          </w:p>
        </w:tc>
        <w:tc>
          <w:tcPr>
            <w:tcW w:w="1843" w:type="dxa"/>
            <w:tcBorders>
              <w:top w:val="nil"/>
              <w:left w:val="single" w:sz="2" w:space="0" w:color="000000"/>
              <w:bottom w:val="single" w:sz="2" w:space="0" w:color="000000"/>
              <w:right w:val="nil"/>
            </w:tcBorders>
            <w:hideMark/>
          </w:tcPr>
          <w:p w:rsidR="00D77230" w:rsidRPr="00225B65" w:rsidRDefault="00D77230" w:rsidP="0029540C">
            <w:pPr>
              <w:pStyle w:val="Obsahtabulky"/>
              <w:snapToGrid w:val="0"/>
              <w:spacing w:line="276" w:lineRule="auto"/>
              <w:jc w:val="both"/>
              <w:rPr>
                <w:sz w:val="22"/>
                <w:szCs w:val="22"/>
              </w:rPr>
            </w:pPr>
            <w:r w:rsidRPr="00225B65">
              <w:rPr>
                <w:sz w:val="22"/>
                <w:szCs w:val="22"/>
              </w:rPr>
              <w:t>nevyhověl</w:t>
            </w:r>
          </w:p>
        </w:tc>
        <w:tc>
          <w:tcPr>
            <w:tcW w:w="708" w:type="dxa"/>
            <w:tcBorders>
              <w:top w:val="nil"/>
              <w:left w:val="single" w:sz="2" w:space="0" w:color="000000"/>
              <w:bottom w:val="single" w:sz="2" w:space="0" w:color="000000"/>
              <w:right w:val="single" w:sz="2" w:space="0" w:color="000000"/>
            </w:tcBorders>
            <w:hideMark/>
          </w:tcPr>
          <w:p w:rsidR="00D77230" w:rsidRPr="00225B65" w:rsidRDefault="00D77230" w:rsidP="0029540C">
            <w:pPr>
              <w:pStyle w:val="Obsahtabulky"/>
              <w:snapToGrid w:val="0"/>
              <w:spacing w:line="276" w:lineRule="auto"/>
              <w:jc w:val="both"/>
              <w:rPr>
                <w:b/>
                <w:sz w:val="22"/>
                <w:szCs w:val="22"/>
              </w:rPr>
            </w:pPr>
            <w:r w:rsidRPr="00225B65">
              <w:rPr>
                <w:b/>
                <w:sz w:val="22"/>
                <w:szCs w:val="22"/>
              </w:rPr>
              <w:t>F</w:t>
            </w:r>
          </w:p>
        </w:tc>
        <w:tc>
          <w:tcPr>
            <w:tcW w:w="2930" w:type="dxa"/>
            <w:tcBorders>
              <w:top w:val="nil"/>
              <w:left w:val="single" w:sz="2" w:space="0" w:color="000000"/>
              <w:bottom w:val="single" w:sz="2" w:space="0" w:color="000000"/>
              <w:right w:val="single" w:sz="2" w:space="0" w:color="000000"/>
            </w:tcBorders>
            <w:hideMark/>
          </w:tcPr>
          <w:p w:rsidR="00D77230" w:rsidRPr="00225B65" w:rsidRDefault="00D77230" w:rsidP="0029540C">
            <w:pPr>
              <w:pStyle w:val="Obsahtabulky"/>
              <w:snapToGrid w:val="0"/>
              <w:spacing w:line="276" w:lineRule="auto"/>
              <w:jc w:val="both"/>
              <w:rPr>
                <w:sz w:val="22"/>
                <w:szCs w:val="22"/>
              </w:rPr>
            </w:pPr>
            <w:r w:rsidRPr="00225B65">
              <w:rPr>
                <w:sz w:val="22"/>
                <w:szCs w:val="22"/>
              </w:rPr>
              <w:t xml:space="preserve">min. 1 nulová položka </w:t>
            </w:r>
          </w:p>
        </w:tc>
      </w:tr>
    </w:tbl>
    <w:p w:rsidR="00D77230" w:rsidRPr="00225B65" w:rsidRDefault="00D77230" w:rsidP="0029540C">
      <w:pPr>
        <w:jc w:val="both"/>
        <w:rPr>
          <w:sz w:val="22"/>
          <w:szCs w:val="22"/>
        </w:rPr>
      </w:pPr>
    </w:p>
    <w:p w:rsidR="00CB2C6E" w:rsidRPr="00225B65" w:rsidRDefault="00CB2C6E" w:rsidP="0029540C">
      <w:pPr>
        <w:jc w:val="both"/>
        <w:rPr>
          <w:sz w:val="22"/>
          <w:szCs w:val="22"/>
        </w:rPr>
      </w:pPr>
    </w:p>
    <w:p w:rsidR="00E95267" w:rsidRPr="00225B65" w:rsidRDefault="00E95267" w:rsidP="0029540C">
      <w:pPr>
        <w:jc w:val="both"/>
        <w:rPr>
          <w:sz w:val="22"/>
          <w:szCs w:val="22"/>
        </w:rPr>
      </w:pPr>
    </w:p>
    <w:p w:rsidR="00E95267" w:rsidRPr="00225B65" w:rsidRDefault="00E95267">
      <w:pPr>
        <w:widowControl/>
        <w:suppressAutoHyphens w:val="0"/>
        <w:spacing w:after="200" w:line="276" w:lineRule="auto"/>
        <w:rPr>
          <w:sz w:val="22"/>
          <w:szCs w:val="22"/>
        </w:rPr>
      </w:pPr>
      <w:r w:rsidRPr="00225B65">
        <w:rPr>
          <w:sz w:val="22"/>
          <w:szCs w:val="22"/>
        </w:rPr>
        <w:br w:type="page"/>
      </w:r>
    </w:p>
    <w:p w:rsidR="00E95267" w:rsidRPr="00225B65" w:rsidRDefault="00E95267" w:rsidP="0029540C">
      <w:pPr>
        <w:jc w:val="both"/>
        <w:rPr>
          <w:sz w:val="22"/>
          <w:szCs w:val="22"/>
        </w:rPr>
      </w:pPr>
    </w:p>
    <w:sectPr w:rsidR="00E95267" w:rsidRPr="00225B65" w:rsidSect="00B02CBF">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D5089" w:rsidRDefault="006D5089" w:rsidP="00D77230">
      <w:r>
        <w:separator/>
      </w:r>
    </w:p>
  </w:endnote>
  <w:endnote w:type="continuationSeparator" w:id="0">
    <w:p w:rsidR="006D5089" w:rsidRDefault="006D5089" w:rsidP="00D77230">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D5089" w:rsidRDefault="006D5089" w:rsidP="00D77230">
      <w:r>
        <w:separator/>
      </w:r>
    </w:p>
  </w:footnote>
  <w:footnote w:type="continuationSeparator" w:id="0">
    <w:p w:rsidR="006D5089" w:rsidRDefault="006D5089" w:rsidP="00D77230">
      <w:r>
        <w:continuationSeparator/>
      </w:r>
    </w:p>
  </w:footnote>
  <w:footnote w:id="1">
    <w:p w:rsidR="00CB2C6E" w:rsidRDefault="00CB2C6E" w:rsidP="00D77230">
      <w:pPr>
        <w:pStyle w:val="Textpoznpodarou"/>
      </w:pPr>
      <w:r>
        <w:rPr>
          <w:rStyle w:val="Znakypropoznmkupodarou"/>
        </w:rPr>
        <w:t>*</w:t>
      </w:r>
      <w:r>
        <w:tab/>
        <w:t>legenda k bodovému hodnocení: 4 = zcela adekvátně zpracováno; 3 = poměrně vhodně zpracováno; 2 = dostatečně zpracováno; 1 = pouze částečně splněno; 0 = neadekvátně zpracováno</w:t>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zoom w:percent="130"/>
  <w:proofState w:spelling="clean" w:grammar="clean"/>
  <w:defaultTabStop w:val="708"/>
  <w:hyphenationZone w:val="425"/>
  <w:characterSpacingControl w:val="doNotCompress"/>
  <w:footnotePr>
    <w:footnote w:id="-1"/>
    <w:footnote w:id="0"/>
  </w:footnotePr>
  <w:endnotePr>
    <w:endnote w:id="-1"/>
    <w:endnote w:id="0"/>
  </w:endnotePr>
  <w:compat/>
  <w:rsids>
    <w:rsidRoot w:val="00D77230"/>
    <w:rsid w:val="000036DA"/>
    <w:rsid w:val="000D48ED"/>
    <w:rsid w:val="00102C89"/>
    <w:rsid w:val="001349CF"/>
    <w:rsid w:val="001567C7"/>
    <w:rsid w:val="001812F1"/>
    <w:rsid w:val="001A7556"/>
    <w:rsid w:val="001D096D"/>
    <w:rsid w:val="001D7184"/>
    <w:rsid w:val="00225B65"/>
    <w:rsid w:val="0023633B"/>
    <w:rsid w:val="002447D0"/>
    <w:rsid w:val="00295257"/>
    <w:rsid w:val="0029540C"/>
    <w:rsid w:val="002B3C16"/>
    <w:rsid w:val="002C3152"/>
    <w:rsid w:val="002C42F2"/>
    <w:rsid w:val="003563E2"/>
    <w:rsid w:val="003A0CA6"/>
    <w:rsid w:val="003C4CC9"/>
    <w:rsid w:val="00417C3A"/>
    <w:rsid w:val="00456E22"/>
    <w:rsid w:val="00476C90"/>
    <w:rsid w:val="004C6078"/>
    <w:rsid w:val="005029AF"/>
    <w:rsid w:val="005B2F8C"/>
    <w:rsid w:val="006D5089"/>
    <w:rsid w:val="007169B6"/>
    <w:rsid w:val="007242DD"/>
    <w:rsid w:val="007D111C"/>
    <w:rsid w:val="008650E7"/>
    <w:rsid w:val="0089709A"/>
    <w:rsid w:val="008F3FA4"/>
    <w:rsid w:val="00942A6A"/>
    <w:rsid w:val="009E1E60"/>
    <w:rsid w:val="00A449BD"/>
    <w:rsid w:val="00A55AF9"/>
    <w:rsid w:val="00A66AA5"/>
    <w:rsid w:val="00A714A3"/>
    <w:rsid w:val="00AA529D"/>
    <w:rsid w:val="00AE75EF"/>
    <w:rsid w:val="00B02CBF"/>
    <w:rsid w:val="00B35A2A"/>
    <w:rsid w:val="00B67505"/>
    <w:rsid w:val="00B7262A"/>
    <w:rsid w:val="00B77B73"/>
    <w:rsid w:val="00C509D3"/>
    <w:rsid w:val="00C8225E"/>
    <w:rsid w:val="00C858A1"/>
    <w:rsid w:val="00CB2C6E"/>
    <w:rsid w:val="00CB6A5C"/>
    <w:rsid w:val="00CB7CE6"/>
    <w:rsid w:val="00CE7715"/>
    <w:rsid w:val="00D2757C"/>
    <w:rsid w:val="00D77230"/>
    <w:rsid w:val="00DA797B"/>
    <w:rsid w:val="00E64F46"/>
    <w:rsid w:val="00E95267"/>
    <w:rsid w:val="00ED5DFB"/>
    <w:rsid w:val="00EF35E8"/>
    <w:rsid w:val="00F763A1"/>
    <w:rsid w:val="00FA5809"/>
    <w:rsid w:val="00FC0707"/>
  </w:rsids>
  <m:mathPr>
    <m:mathFont m:val="Cambria Math"/>
    <m:brkBin m:val="before"/>
    <m:brkBinSub m:val="--"/>
    <m:smallFrac m:val="off"/>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D77230"/>
    <w:pPr>
      <w:widowControl w:val="0"/>
      <w:suppressAutoHyphens/>
      <w:spacing w:after="0" w:line="240" w:lineRule="auto"/>
    </w:pPr>
    <w:rPr>
      <w:rFonts w:ascii="Times New Roman" w:eastAsia="Arial Unicode MS" w:hAnsi="Times New Roman" w:cs="Times New Roman"/>
      <w:kern w:val="2"/>
      <w:sz w:val="24"/>
      <w:szCs w:val="24"/>
      <w:lang w:eastAsia="ar-SA"/>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Textpoznpodarou">
    <w:name w:val="footnote text"/>
    <w:basedOn w:val="Normln"/>
    <w:link w:val="TextpoznpodarouChar"/>
    <w:semiHidden/>
    <w:unhideWhenUsed/>
    <w:rsid w:val="00D77230"/>
    <w:pPr>
      <w:suppressLineNumbers/>
      <w:ind w:left="283" w:hanging="283"/>
    </w:pPr>
    <w:rPr>
      <w:sz w:val="20"/>
      <w:szCs w:val="20"/>
    </w:rPr>
  </w:style>
  <w:style w:type="character" w:customStyle="1" w:styleId="TextpoznpodarouChar">
    <w:name w:val="Text pozn. pod čarou Char"/>
    <w:basedOn w:val="Standardnpsmoodstavce"/>
    <w:link w:val="Textpoznpodarou"/>
    <w:semiHidden/>
    <w:rsid w:val="00D77230"/>
    <w:rPr>
      <w:rFonts w:ascii="Times New Roman" w:eastAsia="Arial Unicode MS" w:hAnsi="Times New Roman" w:cs="Times New Roman"/>
      <w:kern w:val="2"/>
      <w:sz w:val="20"/>
      <w:szCs w:val="20"/>
      <w:lang w:eastAsia="ar-SA"/>
    </w:rPr>
  </w:style>
  <w:style w:type="paragraph" w:customStyle="1" w:styleId="Obsahtabulky">
    <w:name w:val="Obsah tabulky"/>
    <w:basedOn w:val="Normln"/>
    <w:rsid w:val="00D77230"/>
    <w:pPr>
      <w:suppressLineNumbers/>
    </w:pPr>
  </w:style>
  <w:style w:type="character" w:customStyle="1" w:styleId="Znakypropoznmkupodarou">
    <w:name w:val="Znaky pro poznámku pod čarou"/>
    <w:rsid w:val="00D77230"/>
  </w:style>
  <w:style w:type="character" w:customStyle="1" w:styleId="Znakapoznpodarou1">
    <w:name w:val="Značka pozn. pod čarou1"/>
    <w:rsid w:val="00D77230"/>
    <w:rPr>
      <w:vertAlign w:val="superscript"/>
    </w:rPr>
  </w:style>
</w:styles>
</file>

<file path=word/webSettings.xml><?xml version="1.0" encoding="utf-8"?>
<w:webSettings xmlns:r="http://schemas.openxmlformats.org/officeDocument/2006/relationships" xmlns:w="http://schemas.openxmlformats.org/wordprocessingml/2006/main">
  <w:divs>
    <w:div w:id="21460425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4</Pages>
  <Words>1279</Words>
  <Characters>7548</Characters>
  <Application>Microsoft Office Word</Application>
  <DocSecurity>0</DocSecurity>
  <Lines>62</Lines>
  <Paragraphs>17</Paragraphs>
  <ScaleCrop>false</ScaleCrop>
  <HeadingPairs>
    <vt:vector size="2" baseType="variant">
      <vt:variant>
        <vt:lpstr>Název</vt:lpstr>
      </vt:variant>
      <vt:variant>
        <vt:i4>1</vt:i4>
      </vt:variant>
    </vt:vector>
  </HeadingPairs>
  <TitlesOfParts>
    <vt:vector size="1" baseType="lpstr">
      <vt:lpstr/>
    </vt:vector>
  </TitlesOfParts>
  <Company>Hewlett-Packard Company</Company>
  <LinksUpToDate>false</LinksUpToDate>
  <CharactersWithSpaces>8810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petr</dc:creator>
  <cp:lastModifiedBy>petr</cp:lastModifiedBy>
  <cp:revision>2</cp:revision>
  <dcterms:created xsi:type="dcterms:W3CDTF">2023-05-26T09:20:00Z</dcterms:created>
  <dcterms:modified xsi:type="dcterms:W3CDTF">2023-05-26T09:20:00Z</dcterms:modified>
</cp:coreProperties>
</file>