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034" w:rsidRDefault="00410034" w:rsidP="006629A5">
      <w:pPr>
        <w:jc w:val="center"/>
      </w:pPr>
      <w:r>
        <w:t>Fakulta filozofická Univerzity Pardubice</w:t>
      </w:r>
    </w:p>
    <w:p w:rsidR="00410034" w:rsidRDefault="00410034" w:rsidP="006629A5">
      <w:pPr>
        <w:jc w:val="center"/>
      </w:pPr>
    </w:p>
    <w:p w:rsidR="00F538F5" w:rsidRPr="00F538F5" w:rsidRDefault="00680428" w:rsidP="00F538F5">
      <w:pPr>
        <w:jc w:val="center"/>
      </w:pPr>
      <w:r>
        <w:t>Jiří ŠVANCAR</w:t>
      </w:r>
    </w:p>
    <w:p w:rsidR="00F538F5" w:rsidRDefault="00680428" w:rsidP="00680428">
      <w:pPr>
        <w:spacing w:after="0"/>
        <w:jc w:val="center"/>
        <w:rPr>
          <w:b/>
          <w:bCs/>
        </w:rPr>
      </w:pPr>
      <w:r w:rsidRPr="00680428">
        <w:rPr>
          <w:b/>
          <w:bCs/>
        </w:rPr>
        <w:t xml:space="preserve"> Systém zemských hotovostí v Čechách a na Moravě na přelomu 16. a 17. století</w:t>
      </w:r>
    </w:p>
    <w:p w:rsidR="00680428" w:rsidRDefault="00680428" w:rsidP="00680428">
      <w:pPr>
        <w:spacing w:after="0"/>
        <w:jc w:val="center"/>
        <w:rPr>
          <w:b/>
          <w:bCs/>
        </w:rPr>
      </w:pPr>
    </w:p>
    <w:p w:rsidR="00410034" w:rsidRDefault="003F5339" w:rsidP="00F538F5">
      <w:pPr>
        <w:jc w:val="center"/>
      </w:pPr>
      <w:r>
        <w:t>Baka</w:t>
      </w:r>
      <w:r w:rsidR="00680428">
        <w:t>lářská práce, Pardubice 2013, 8</w:t>
      </w:r>
      <w:r w:rsidR="000E1806">
        <w:t>7</w:t>
      </w:r>
      <w:r w:rsidR="00410034">
        <w:t xml:space="preserve"> s.</w:t>
      </w:r>
    </w:p>
    <w:p w:rsidR="00410034" w:rsidRDefault="00410034" w:rsidP="005F086E">
      <w:pPr>
        <w:jc w:val="center"/>
      </w:pPr>
      <w:r>
        <w:t>Posudek vedoucího práce</w:t>
      </w:r>
    </w:p>
    <w:p w:rsidR="00410034" w:rsidRDefault="00410034"/>
    <w:p w:rsidR="004B29CE" w:rsidRDefault="00BD17AC" w:rsidP="00680428">
      <w:pPr>
        <w:ind w:firstLine="567"/>
        <w:jc w:val="both"/>
      </w:pPr>
      <w:r>
        <w:t xml:space="preserve">Instituce zemské hotovosti bezesporu patří k fundamentálním prvkům, na kterých vyrůstala složitá stavba středověkého a raně novověkého státu. </w:t>
      </w:r>
      <w:r w:rsidR="002A2D67">
        <w:t>Zároveň představuje důležitý sociální s</w:t>
      </w:r>
      <w:r w:rsidR="00AA7B8D">
        <w:t xml:space="preserve">vorník, neboť na obraně země </w:t>
      </w:r>
      <w:r w:rsidR="002A2D67">
        <w:t xml:space="preserve">za určitých podmínek </w:t>
      </w:r>
      <w:r w:rsidR="00AA7B8D">
        <w:t>participovali</w:t>
      </w:r>
      <w:r w:rsidR="002A2D67">
        <w:t xml:space="preserve"> </w:t>
      </w:r>
      <w:r w:rsidR="00180FCE">
        <w:t>všichni</w:t>
      </w:r>
      <w:r w:rsidR="002A2D67">
        <w:t xml:space="preserve"> jej</w:t>
      </w:r>
      <w:r w:rsidR="0043099E">
        <w:t>í obyvatelé. Téma, které</w:t>
      </w:r>
      <w:r w:rsidR="002A2D67">
        <w:t xml:space="preserve"> tak </w:t>
      </w:r>
      <w:r w:rsidR="002A2D67" w:rsidRPr="00AA7B8D">
        <w:t>na první pohled</w:t>
      </w:r>
      <w:r w:rsidR="002A2D67">
        <w:t xml:space="preserve"> vypadá jako čistě vojenské, má však značný přesah i do roviny</w:t>
      </w:r>
      <w:r w:rsidR="008202BF">
        <w:t xml:space="preserve"> politických dějin, neboť právě zemskou hotovost můžeme považovat za jeden z výrazných rysů stavovské suverenity, pomocí níž byla </w:t>
      </w:r>
      <w:r w:rsidR="00180FCE">
        <w:t>demonstrována</w:t>
      </w:r>
      <w:r w:rsidR="008202BF">
        <w:t xml:space="preserve"> spoluzodpovědnost za blahobyt, chod a správu země. V tomto směru může výzkum fungování zemských hotovostí také mnohé dodat k tradičnímu tématu vývoje státního zřízení od mocenské duality stavy –</w:t>
      </w:r>
      <w:r w:rsidR="005A1486">
        <w:t xml:space="preserve"> </w:t>
      </w:r>
      <w:r w:rsidR="008202BF">
        <w:t xml:space="preserve">panovník směrem k centralizovanému pojetí státu. Téma bakalářské práce, které si Jiří Švancar zvolil, má tak širší vypovídací záběr, než by </w:t>
      </w:r>
      <w:r w:rsidR="00AA7B8D">
        <w:t>při zběžném čtení</w:t>
      </w:r>
      <w:r w:rsidR="008202BF">
        <w:t xml:space="preserve"> mohlo být patrné.</w:t>
      </w:r>
    </w:p>
    <w:p w:rsidR="008202BF" w:rsidRDefault="008202BF" w:rsidP="00680428">
      <w:pPr>
        <w:ind w:firstLine="567"/>
        <w:jc w:val="both"/>
      </w:pPr>
      <w:r>
        <w:t>Posuzo</w:t>
      </w:r>
      <w:r w:rsidR="005A1486">
        <w:t>vaná absolventská práce je beze</w:t>
      </w:r>
      <w:r>
        <w:t xml:space="preserve">sporu přínosná ještě díky jedné skutečnosti. Přes vše výše řečené zatím nemáme k dispozici žádnou detailní studii, která by analyzovala funkčnost celého mechanismu svolávání </w:t>
      </w:r>
      <w:r w:rsidR="00180FCE">
        <w:t>zemských</w:t>
      </w:r>
      <w:r>
        <w:t xml:space="preserve"> hotovostí právě v krizových desetiletích před Bílou horou</w:t>
      </w:r>
      <w:r w:rsidR="00A44B57">
        <w:t xml:space="preserve"> (s nečetnými výjimkami studií J. Pánka a V. Bůžka, které však nemají tak široký časový záběr)</w:t>
      </w:r>
      <w:r>
        <w:t xml:space="preserve">, kdy obrazně </w:t>
      </w:r>
      <w:r w:rsidR="00487513">
        <w:t xml:space="preserve">řečeno pomalu </w:t>
      </w:r>
      <w:r>
        <w:t>dochází dech nejen stavovskému korporativismu, ale rovněž (a to je</w:t>
      </w:r>
      <w:r w:rsidR="001400A7">
        <w:t>,</w:t>
      </w:r>
      <w:r>
        <w:t xml:space="preserve"> soudím</w:t>
      </w:r>
      <w:r w:rsidR="001400A7">
        <w:t>,</w:t>
      </w:r>
      <w:r>
        <w:t xml:space="preserve"> stejně důležité), dochází k výrazným kvalitativním i kvantitativním změnám v soudobém válečnictví. </w:t>
      </w:r>
      <w:r w:rsidR="00487513">
        <w:t>Ty ve svém důsledku zcela změní podobu evropských armád raného novověku i systém vedení válek jako takový. Všechny tyto významné faktory Jiří Švancar zvažoval a zohlednil, a to nejen volbou časového ohraničení svého výzkumu 80. lety 16. století na jedné a druhou dekádou 17. století na druhé straně.</w:t>
      </w:r>
    </w:p>
    <w:p w:rsidR="00487513" w:rsidRDefault="00A44B57" w:rsidP="00680428">
      <w:pPr>
        <w:ind w:firstLine="567"/>
        <w:jc w:val="both"/>
      </w:pPr>
      <w:r>
        <w:t xml:space="preserve">Je třeba podotknout, že celá práce je primárně založena na pramenném výzkumu, vzhledem </w:t>
      </w:r>
      <w:r w:rsidR="00180FCE">
        <w:t>k výše</w:t>
      </w:r>
      <w:r>
        <w:t xml:space="preserve"> zmíněné skutečnosti měla literatura roli veskrze doplňující a podpůrnou. Autor poctivě prošel zápisy ze zasedání zemských sněmů v Čechách i na Moravě během celých čtyřiceti let, která sledoval. Takto získané informace pak významně doplnil o příslušná akta centrálních zemských úřadů (komora</w:t>
      </w:r>
      <w:r w:rsidR="00AA7B8D">
        <w:t>, místodržitelství</w:t>
      </w:r>
      <w:r>
        <w:t xml:space="preserve"> atp.), dnes uchovávaných ve fondu Staré Militare v NA </w:t>
      </w:r>
      <w:proofErr w:type="gramStart"/>
      <w:r>
        <w:t>Praha</w:t>
      </w:r>
      <w:proofErr w:type="gramEnd"/>
      <w:r>
        <w:t>. V obou případech sice pracoval s pramennými edicemi, to ale na záslužnosti jeho počínání nic neubírá.</w:t>
      </w:r>
    </w:p>
    <w:p w:rsidR="008918DE" w:rsidRDefault="00A44B57" w:rsidP="00FD27C6">
      <w:pPr>
        <w:ind w:firstLine="567"/>
        <w:jc w:val="both"/>
      </w:pPr>
      <w:r>
        <w:t>Z několika nabízených cest, jak uchopit a strukturovat téma, si autor vybral chronologický přístup. Po krátké uvozovací kapitole</w:t>
      </w:r>
      <w:r w:rsidR="008918DE">
        <w:t xml:space="preserve">, v níž seznamuje s dějinným kontextem, pokračuje přísně chronologickým líčením koloběhu zasedání zemských sněmů, nařizování hotovostí, jejich případného tažení a rozpuštění, nářků na jejich nefunkčnost, snahy zefektivnit parametry, krach takových pokusů o inovaci a zase znovu. </w:t>
      </w:r>
      <w:r w:rsidR="00180FCE">
        <w:t>Zvlášť</w:t>
      </w:r>
      <w:r w:rsidR="008918DE">
        <w:t xml:space="preserve"> přitom </w:t>
      </w:r>
      <w:r w:rsidR="00180FCE">
        <w:t>sleduje</w:t>
      </w:r>
      <w:r w:rsidR="008918DE">
        <w:t xml:space="preserve"> situaci v Čechách (kap. 4) a na Moravě (kap. 5).</w:t>
      </w:r>
      <w:r w:rsidR="00FD27C6">
        <w:t xml:space="preserve"> </w:t>
      </w:r>
      <w:r w:rsidR="008918DE">
        <w:t xml:space="preserve">To je jistě relevantní a patrně nejjednodušší metodický </w:t>
      </w:r>
      <w:r w:rsidR="001400A7" w:rsidRPr="00AA7B8D">
        <w:t>postup</w:t>
      </w:r>
      <w:r w:rsidR="008918DE">
        <w:t xml:space="preserve">, nicméně skrývá jedno úskalí, spočívající v tom, že v záplavě líčení konkrétností bude unikat vývojová podstata včetně důležitých </w:t>
      </w:r>
      <w:r w:rsidR="00AA7B8D">
        <w:t>rozdílů</w:t>
      </w:r>
      <w:r w:rsidR="008918DE">
        <w:t xml:space="preserve"> v rámci jednotlivých zemí. Autor si je tohoto rizika vědom a snaží se ho eliminovat jednak tím, že při </w:t>
      </w:r>
      <w:r w:rsidR="008918DE">
        <w:lastRenderedPageBreak/>
        <w:t xml:space="preserve">každé vhodné příležitosti svůj výklad povyšuje z prostého popisů událostí tím, že </w:t>
      </w:r>
      <w:r w:rsidR="00AA7B8D">
        <w:t xml:space="preserve">poukazuje </w:t>
      </w:r>
      <w:r w:rsidR="008918DE">
        <w:t xml:space="preserve">na obecné rysy stojící v pozadí konkrétní situace, jednak tím, že se snaží o </w:t>
      </w:r>
      <w:r w:rsidR="00180FCE">
        <w:t>jakousi moravsko-českou konf</w:t>
      </w:r>
      <w:r w:rsidR="008918DE">
        <w:t>r</w:t>
      </w:r>
      <w:r w:rsidR="00180FCE">
        <w:t>o</w:t>
      </w:r>
      <w:r w:rsidR="008918DE">
        <w:t xml:space="preserve">ntaci zjištěných </w:t>
      </w:r>
      <w:r w:rsidR="005A1486">
        <w:t>skutečností</w:t>
      </w:r>
      <w:r w:rsidR="001E60E9">
        <w:t xml:space="preserve">. Přesto však mohlo být rekapitulaci odlišného přístupu k zemskému vojsku v Čechách a na Moravě, daného v prvé řadě odlišnou mírou ohrožení obou teritorií (a částečně také parciálními rozdíly ve výchozích parametrech, které ovlivňovaly </w:t>
      </w:r>
      <w:r w:rsidR="001A1070">
        <w:t>podobu zem</w:t>
      </w:r>
      <w:r w:rsidR="001E60E9">
        <w:t>ských jednotek</w:t>
      </w:r>
      <w:r w:rsidR="001A1070">
        <w:t xml:space="preserve">, jež vyrůstaly z konkrétních kroků stavovské reprezentace Markrabství – viz nový šacuňk z roku </w:t>
      </w:r>
      <w:r w:rsidR="000F2DBF">
        <w:t>1601</w:t>
      </w:r>
      <w:r w:rsidR="001A1070">
        <w:t xml:space="preserve">, zatímco Čechy se stále řídily zastaralým </w:t>
      </w:r>
      <w:r w:rsidR="00AC4B3C">
        <w:t>majetkovým přiznáním z roku 1557</w:t>
      </w:r>
      <w:r w:rsidR="001A1070">
        <w:t xml:space="preserve"> – </w:t>
      </w:r>
      <w:r w:rsidR="001A1070" w:rsidRPr="000F2DBF">
        <w:t>s.</w:t>
      </w:r>
      <w:r w:rsidR="000F2DBF" w:rsidRPr="000F2DBF">
        <w:t xml:space="preserve"> 68</w:t>
      </w:r>
      <w:r w:rsidR="001A1070" w:rsidRPr="000F2DBF">
        <w:t>)</w:t>
      </w:r>
      <w:r w:rsidR="001E60E9" w:rsidRPr="000F2DBF">
        <w:t>,</w:t>
      </w:r>
      <w:r w:rsidR="001E60E9">
        <w:t xml:space="preserve"> věnováno v závěru trochu více prostoru, protože se jedná o jeden z nejdůležitějších </w:t>
      </w:r>
      <w:r w:rsidR="00AA7B8D">
        <w:t>momentů, které předkládaný</w:t>
      </w:r>
      <w:r w:rsidR="001A1070">
        <w:t xml:space="preserve"> </w:t>
      </w:r>
      <w:r w:rsidR="00AA7B8D">
        <w:t>text</w:t>
      </w:r>
      <w:r w:rsidR="001E60E9">
        <w:t xml:space="preserve"> osvětluje. Zde se nejspíše podepsalo ne zcela bezchyb</w:t>
      </w:r>
      <w:r w:rsidR="001A1070">
        <w:t xml:space="preserve">né rozložení </w:t>
      </w:r>
      <w:r w:rsidR="001A1070" w:rsidRPr="00AA7B8D">
        <w:t>práce</w:t>
      </w:r>
      <w:r w:rsidR="001A1070">
        <w:t>, dané</w:t>
      </w:r>
      <w:r w:rsidR="001E60E9">
        <w:t xml:space="preserve"> </w:t>
      </w:r>
      <w:r w:rsidR="001A1070">
        <w:t>časovou náročnosti pramenných reš</w:t>
      </w:r>
      <w:r w:rsidR="001E60E9">
        <w:t>erší</w:t>
      </w:r>
      <w:r w:rsidR="001400A7">
        <w:t>,</w:t>
      </w:r>
      <w:r w:rsidR="001E60E9">
        <w:t xml:space="preserve"> a z toho vyplývající závěrečný chvat</w:t>
      </w:r>
      <w:r w:rsidR="001A1070">
        <w:t>.</w:t>
      </w:r>
    </w:p>
    <w:p w:rsidR="00883FA4" w:rsidRDefault="00883FA4" w:rsidP="00883FA4">
      <w:pPr>
        <w:ind w:firstLine="567"/>
        <w:jc w:val="both"/>
      </w:pPr>
      <w:r>
        <w:t xml:space="preserve">Stejnému důvodu </w:t>
      </w:r>
      <w:r w:rsidR="00AA7B8D" w:rsidRPr="00AA7B8D">
        <w:t>možná</w:t>
      </w:r>
      <w:r>
        <w:t xml:space="preserve"> můžeme připsat místy trochu </w:t>
      </w:r>
      <w:r w:rsidR="00F03FF0">
        <w:t>benevolentní</w:t>
      </w:r>
      <w:r>
        <w:t xml:space="preserve"> práci s literaturou, zejména kontextuální.</w:t>
      </w:r>
      <w:r w:rsidRPr="00883FA4">
        <w:t xml:space="preserve"> </w:t>
      </w:r>
      <w:r w:rsidR="00F03FF0">
        <w:t>To je možné demonstrovat na několika úsecích textu, které se zabývají obecnými dějinnými okolnostmi – při výkladu o patnáctileté válce by se vedle letité práce J. Matouška mohl objevit ještě alespoň J. Janáček, V. Kopčan či příslušné pasáže z Vojenských dějin Československa, v kapitole o zemské hotovosti roku 1594 (s.</w:t>
      </w:r>
      <w:r w:rsidR="001470CA">
        <w:t xml:space="preserve"> 19-40)</w:t>
      </w:r>
      <w:r w:rsidR="00F03FF0">
        <w:t xml:space="preserve"> pak vyloženě překvapí absence Bůžkových studií ke generalátu Petra Voka, s nimiž </w:t>
      </w:r>
      <w:r w:rsidR="001470CA">
        <w:t>by se autor měl ně</w:t>
      </w:r>
      <w:r w:rsidR="00F03FF0">
        <w:t>jakým způsobem vyrovnat, třebas polemickou formou.</w:t>
      </w:r>
      <w:r w:rsidR="001470CA">
        <w:t xml:space="preserve"> To samé může zaznít i v případě událostí kolem „bratrské roztržky“ roku 1608, kdy je nejnovější literatura (monotematické číslo 14 </w:t>
      </w:r>
      <w:r w:rsidR="00AA7B8D">
        <w:t xml:space="preserve">sborníku </w:t>
      </w:r>
      <w:r w:rsidR="001470CA">
        <w:t xml:space="preserve">Opera </w:t>
      </w:r>
      <w:proofErr w:type="spellStart"/>
      <w:r w:rsidR="001470CA">
        <w:t>Historica</w:t>
      </w:r>
      <w:proofErr w:type="spellEnd"/>
      <w:r w:rsidR="001470CA">
        <w:t>) využita jen marginálně, atd.</w:t>
      </w:r>
    </w:p>
    <w:p w:rsidR="001470CA" w:rsidRDefault="001470CA" w:rsidP="00883FA4">
      <w:pPr>
        <w:ind w:firstLine="567"/>
        <w:jc w:val="both"/>
      </w:pPr>
      <w:r>
        <w:t xml:space="preserve">Na druhou stranu práci výrazně pomáhá nejen čtivá a nenudící stylistika autora a text bez zbytečných jazykových chyb (drobné problémy v interpunkci či opomenutí typu záměna příjmení – v pozn. 171 na s. 34 je Zdeněk Šimeček překřtěn na Němečka – by se sice našly, ale je jich opravdu minimum), ale zejména </w:t>
      </w:r>
      <w:r w:rsidR="00C45211">
        <w:t>ty pasáže,</w:t>
      </w:r>
      <w:r w:rsidR="003A579B">
        <w:t xml:space="preserve"> </w:t>
      </w:r>
      <w:r w:rsidR="00C45211">
        <w:t>jež jasně prozrazují, že autor nechtěl být jen „tupým přepisovačem“ historickýc</w:t>
      </w:r>
      <w:r w:rsidR="00AA7B8D">
        <w:t>h dat a informací z</w:t>
      </w:r>
      <w:r w:rsidR="002364D6">
        <w:t> </w:t>
      </w:r>
      <w:r w:rsidR="00AA7B8D">
        <w:t>pramenů</w:t>
      </w:r>
      <w:r w:rsidR="002364D6">
        <w:t>,</w:t>
      </w:r>
      <w:bookmarkStart w:id="0" w:name="_GoBack"/>
      <w:bookmarkEnd w:id="0"/>
      <w:r w:rsidR="00AA7B8D">
        <w:t xml:space="preserve"> a</w:t>
      </w:r>
      <w:r w:rsidR="00C45211">
        <w:t xml:space="preserve"> že se nebojí vlastních pokusů o </w:t>
      </w:r>
      <w:r w:rsidR="00FD27C6">
        <w:t>interpretaci</w:t>
      </w:r>
      <w:r w:rsidR="00C45211">
        <w:t>. Mezi takové pasáže, které text povyšují a jsou beze sporu výsledkem autorovy invence a</w:t>
      </w:r>
      <w:r w:rsidR="00AA7B8D">
        <w:t xml:space="preserve"> snahy vysvětlit určité jevy, lze zařadit</w:t>
      </w:r>
      <w:r w:rsidR="00C45211">
        <w:t xml:space="preserve"> například výklad o ručnicích a výmluvách obyvatel, že s nimi neumějí zacházet (s. 20), o dělbě velitelských pravomocí (s. 31), o fámách a panice v zázemí (s. 33), o nedostatku prachu v českých zemích (s. 38-39), či návrzích na najímání profesionální pěchoty (s. 53). </w:t>
      </w:r>
      <w:r w:rsidR="003A579B">
        <w:t>V takových chvílích se budoucí historik učí tomu, co je na jeho „řemesle“ nejdůležitější.</w:t>
      </w:r>
    </w:p>
    <w:p w:rsidR="003A579B" w:rsidRDefault="003A579B" w:rsidP="00883FA4">
      <w:pPr>
        <w:ind w:firstLine="567"/>
        <w:jc w:val="both"/>
      </w:pPr>
      <w:r>
        <w:t xml:space="preserve">Někomu by se závěry Jiřího Švancara mohly zdát málo původní a objevné, protože se to přeci „tak nějak vědělo“. Jeden z přínosů práce však podle mého názoru </w:t>
      </w:r>
      <w:r w:rsidR="008F5AC2">
        <w:t xml:space="preserve">naopak </w:t>
      </w:r>
      <w:r>
        <w:t xml:space="preserve">spočívá právě v tom, že Jiří Švancar jasně podepřel argumenty a pramennými doklady právě to, co historici </w:t>
      </w:r>
      <w:r w:rsidR="008F5AC2">
        <w:t xml:space="preserve">tiše </w:t>
      </w:r>
      <w:r>
        <w:t>předpokládají, ale nikdo se ověřením</w:t>
      </w:r>
      <w:r w:rsidR="008F5AC2">
        <w:t xml:space="preserve"> a zkoumáním důvodů</w:t>
      </w:r>
      <w:r>
        <w:t xml:space="preserve"> </w:t>
      </w:r>
      <w:r w:rsidR="008F5AC2">
        <w:t>neobtěžoval</w:t>
      </w:r>
      <w:r>
        <w:t xml:space="preserve">. Některé tradované představy pak posuzovaný text naopak jasně vyvrací – např. tu, že poslední zemská hotovost byla svolána roku 1605 (naposledy P. Maťa, </w:t>
      </w:r>
      <w:r w:rsidRPr="003A579B">
        <w:rPr>
          <w:i/>
        </w:rPr>
        <w:t>Svět české aristokracie</w:t>
      </w:r>
      <w:r>
        <w:t xml:space="preserve">, Praha 2004, s. 452). </w:t>
      </w:r>
      <w:r w:rsidR="00FD27C6">
        <w:t>Zde je jen škoda, že se někde v textu neobjevila přehledová tabulka, aby bylo jasné, o kolika hotovostech zemské sněmy v dané době jednaly, kolik jich bylo svoláno, kolik se jich skutečně sešlo a kolik jich také někam táhlo – myslím, že by to byla značně rozdílná čísla.</w:t>
      </w:r>
    </w:p>
    <w:p w:rsidR="00883FA4" w:rsidRDefault="00F63757" w:rsidP="001322C7">
      <w:pPr>
        <w:ind w:firstLine="567"/>
        <w:jc w:val="both"/>
      </w:pPr>
      <w:r>
        <w:t>Za jeden z nejpřínosnějších momentů bakalářské práce Jiřího Švancara pak považuji to, že jasně ukázal, jak obojaký postoj k zemským hotovostem zastávaly stavovské reprezentace. Nic jiného jim vlastně ani nezbývalo, neboť se ocitaly v průsečíku několika protichůdných zájmů. Na jedné straně zde byla otázka symbolická a mocensko-politická: Zodpovědnost za obranu země patřila odedávna k povinnostem a privile</w:t>
      </w:r>
      <w:r w:rsidR="001322C7">
        <w:t>giím stavů, které</w:t>
      </w:r>
      <w:r>
        <w:t xml:space="preserve"> tím </w:t>
      </w:r>
      <w:r w:rsidR="001322C7">
        <w:t xml:space="preserve">mj. </w:t>
      </w:r>
      <w:r>
        <w:t>demonstrov</w:t>
      </w:r>
      <w:r w:rsidR="001322C7">
        <w:t>aly</w:t>
      </w:r>
      <w:r>
        <w:t xml:space="preserve"> svou politi</w:t>
      </w:r>
      <w:r w:rsidR="00FD27C6">
        <w:t>ckou nezávislost na panovníkovi. J</w:t>
      </w:r>
      <w:r>
        <w:t xml:space="preserve">akkoliv v praxi mu již část pravomocí ohledně svolávání hotovosti </w:t>
      </w:r>
      <w:r w:rsidRPr="008F5AC2">
        <w:rPr>
          <w:i/>
        </w:rPr>
        <w:t>de facto</w:t>
      </w:r>
      <w:r>
        <w:t xml:space="preserve"> </w:t>
      </w:r>
      <w:r w:rsidR="00FD27C6">
        <w:t>předali</w:t>
      </w:r>
      <w:r>
        <w:t xml:space="preserve"> (ještě v roce 1547 bylo </w:t>
      </w:r>
      <w:r w:rsidR="00FD27C6">
        <w:t>nemyslitelné</w:t>
      </w:r>
      <w:r>
        <w:t xml:space="preserve">, že by se hotovost svolávala bez vůle sněmu jen panovníkovým mandátem!), stále zdůrazňovali, že veškeré vystrojení vojska je jejich dobrou vůlí a že záleží jen na </w:t>
      </w:r>
      <w:r>
        <w:lastRenderedPageBreak/>
        <w:t>nich, kam potáhne. Pak tu byla otázka finanční: je jasné</w:t>
      </w:r>
      <w:r w:rsidR="00FD27C6">
        <w:t>,</w:t>
      </w:r>
      <w:r>
        <w:t xml:space="preserve"> že každá taková armáda stála obrovské množství peněz, proto je pochopitelné, že stavy kličkovaly, jak jen mohly, nechtělo se jim táhnout do pole a raději nabízeli </w:t>
      </w:r>
      <w:r w:rsidR="001322C7">
        <w:t>jednorázovou peně</w:t>
      </w:r>
      <w:r>
        <w:t>žní náhradu. S tím souvisí třetí rovina problému: málokdo si tehdy již nebyl ochoten připustit, že zemská hotovost je drahá a neefektivní a že vlastně představuje přítěž</w:t>
      </w:r>
      <w:r w:rsidR="00FD27C6">
        <w:t>.  Z</w:t>
      </w:r>
      <w:r w:rsidR="001322C7">
        <w:t> prestižních důvodů ji ale zrušit nešlo, tak se stavy alespoň snažily ji co nejvíce zefektivnit pomocí několikerého jednání o společné koncepci obrany korunních zemí (zde však dohoda narážela na politickou řevnivost zemské reprezentace jednotlivých území) nebo lepší a modernější výzbrojí, aby byl</w:t>
      </w:r>
      <w:r w:rsidR="008F5AC2">
        <w:t>a</w:t>
      </w:r>
      <w:r w:rsidR="001322C7">
        <w:t xml:space="preserve"> schopna alespoň částečně reagovat na nejnovější technologický a taktický vývoj na bitevním poli (zda však veškeré snahy troskotaly pro změnu zase na financích). </w:t>
      </w:r>
      <w:r w:rsidR="00FD27C6">
        <w:t>Takový</w:t>
      </w:r>
      <w:r w:rsidR="001322C7">
        <w:t xml:space="preserve"> propletenec </w:t>
      </w:r>
      <w:r w:rsidR="00FD27C6">
        <w:t>postojů</w:t>
      </w:r>
      <w:r w:rsidR="001322C7">
        <w:t xml:space="preserve"> a motivací v podstatě představoval bludný kruh, který držel stavy v šachu a znemožňoval jakoukoliv reformu zkostnatělého systému.</w:t>
      </w:r>
    </w:p>
    <w:p w:rsidR="00F03FF0" w:rsidRDefault="00F03FF0" w:rsidP="00680428">
      <w:pPr>
        <w:ind w:firstLine="567"/>
        <w:jc w:val="both"/>
      </w:pPr>
      <w:r>
        <w:t xml:space="preserve">Tato neustále přítomná, byť pod nánosem líčení dějinných událostí možná trochu latentní linka, je </w:t>
      </w:r>
      <w:r w:rsidR="008F5AC2">
        <w:t>završena</w:t>
      </w:r>
      <w:r w:rsidR="00AA7B8D">
        <w:t xml:space="preserve"> poslední kapitolou</w:t>
      </w:r>
      <w:r w:rsidR="001322C7">
        <w:t xml:space="preserve"> (věnovanou právě technologickému, taktickému a organizačnímu vývoji v soudobém </w:t>
      </w:r>
      <w:r w:rsidR="00FD27C6">
        <w:t>vojenství, jež</w:t>
      </w:r>
      <w:r w:rsidR="001322C7">
        <w:t xml:space="preserve"> </w:t>
      </w:r>
      <w:r w:rsidR="00FD27C6">
        <w:t>předznamenával</w:t>
      </w:r>
      <w:r w:rsidR="001322C7">
        <w:t xml:space="preserve"> nástup profesionálních armád v režii státu), </w:t>
      </w:r>
      <w:r w:rsidR="00FD27C6">
        <w:t>která</w:t>
      </w:r>
      <w:r>
        <w:t xml:space="preserve"> autorovu myšlenkovou koncepci </w:t>
      </w:r>
      <w:r w:rsidR="008F5AC2">
        <w:t>dokonává</w:t>
      </w:r>
      <w:r>
        <w:t xml:space="preserve"> a jasně dovysvětluje, proč systém zemských hotovo</w:t>
      </w:r>
      <w:r w:rsidR="001470CA">
        <w:t>stí byl již přežilý</w:t>
      </w:r>
      <w:r>
        <w:t xml:space="preserve"> a události nadcházející třicetileté války mu zasadily poslední ránu z milosti.</w:t>
      </w:r>
    </w:p>
    <w:p w:rsidR="008918DE" w:rsidRDefault="008918DE" w:rsidP="00680428">
      <w:pPr>
        <w:ind w:firstLine="567"/>
        <w:jc w:val="both"/>
      </w:pPr>
      <w:r>
        <w:t>Bakalářskou práci Jiřího Švancara považuji za dobře zvládnutý první samostatný autorův vědecký text, který má nezanedbatelný přínos</w:t>
      </w:r>
      <w:r w:rsidR="00180FCE">
        <w:t xml:space="preserve"> k současnému odbornému poznání nejen na poli dějin vojenství, navíc je svěže a poutavě sepsán. Domnívám se, že bez problému splňuje všechna kritéria, kladená na tento typ absolventské práce. Proto jej z pozice vedoucího práce rád doporučuji k obhajobě a navrhuji hodnotit stupněm </w:t>
      </w:r>
      <w:r w:rsidR="00180FCE" w:rsidRPr="00180FCE">
        <w:rPr>
          <w:b/>
        </w:rPr>
        <w:t>výborně</w:t>
      </w:r>
      <w:r w:rsidR="00180FCE">
        <w:t>.</w:t>
      </w:r>
    </w:p>
    <w:p w:rsidR="00180FCE" w:rsidRDefault="00180FCE" w:rsidP="00680428">
      <w:pPr>
        <w:ind w:firstLine="567"/>
        <w:jc w:val="both"/>
      </w:pPr>
    </w:p>
    <w:p w:rsidR="008F5AC2" w:rsidRDefault="008F5AC2" w:rsidP="00680428">
      <w:pPr>
        <w:ind w:firstLine="567"/>
        <w:jc w:val="both"/>
      </w:pPr>
    </w:p>
    <w:p w:rsidR="008F5AC2" w:rsidRDefault="008F5AC2" w:rsidP="00680428">
      <w:pPr>
        <w:ind w:firstLine="567"/>
        <w:jc w:val="both"/>
      </w:pPr>
    </w:p>
    <w:p w:rsidR="00180FCE" w:rsidRDefault="00180FCE" w:rsidP="00180FCE">
      <w:pPr>
        <w:jc w:val="both"/>
      </w:pPr>
      <w:r>
        <w:t>V Olomouci, 15. 8. 2013</w:t>
      </w:r>
      <w:r>
        <w:tab/>
      </w:r>
      <w:r>
        <w:tab/>
      </w:r>
      <w:r>
        <w:tab/>
      </w:r>
      <w:r>
        <w:tab/>
      </w:r>
      <w:r>
        <w:tab/>
      </w:r>
      <w:r>
        <w:tab/>
        <w:t>PhDr. Vítězslav Prchal, Ph.D.</w:t>
      </w:r>
    </w:p>
    <w:p w:rsidR="008202BF" w:rsidRDefault="008202BF" w:rsidP="00680428">
      <w:pPr>
        <w:ind w:firstLine="567"/>
        <w:jc w:val="both"/>
      </w:pPr>
    </w:p>
    <w:sectPr w:rsidR="008202BF" w:rsidSect="00AB56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30E" w:rsidRDefault="0023230E" w:rsidP="008F5AC2">
      <w:pPr>
        <w:spacing w:after="0" w:line="240" w:lineRule="auto"/>
      </w:pPr>
      <w:r>
        <w:separator/>
      </w:r>
    </w:p>
  </w:endnote>
  <w:endnote w:type="continuationSeparator" w:id="0">
    <w:p w:rsidR="0023230E" w:rsidRDefault="0023230E" w:rsidP="008F5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5114745"/>
      <w:docPartObj>
        <w:docPartGallery w:val="Page Numbers (Bottom of Page)"/>
        <w:docPartUnique/>
      </w:docPartObj>
    </w:sdtPr>
    <w:sdtContent>
      <w:p w:rsidR="008F5AC2" w:rsidRDefault="008F5AC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4D6">
          <w:rPr>
            <w:noProof/>
          </w:rPr>
          <w:t>1</w:t>
        </w:r>
        <w:r>
          <w:fldChar w:fldCharType="end"/>
        </w:r>
      </w:p>
    </w:sdtContent>
  </w:sdt>
  <w:p w:rsidR="008F5AC2" w:rsidRDefault="008F5AC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30E" w:rsidRDefault="0023230E" w:rsidP="008F5AC2">
      <w:pPr>
        <w:spacing w:after="0" w:line="240" w:lineRule="auto"/>
      </w:pPr>
      <w:r>
        <w:separator/>
      </w:r>
    </w:p>
  </w:footnote>
  <w:footnote w:type="continuationSeparator" w:id="0">
    <w:p w:rsidR="0023230E" w:rsidRDefault="0023230E" w:rsidP="008F5A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B042E"/>
    <w:multiLevelType w:val="hybridMultilevel"/>
    <w:tmpl w:val="F79EFE94"/>
    <w:lvl w:ilvl="0" w:tplc="D1B0DA9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86E"/>
    <w:rsid w:val="000E1806"/>
    <w:rsid w:val="000F2DBF"/>
    <w:rsid w:val="000F31DB"/>
    <w:rsid w:val="00100F03"/>
    <w:rsid w:val="001322C7"/>
    <w:rsid w:val="001400A7"/>
    <w:rsid w:val="0014329B"/>
    <w:rsid w:val="001470CA"/>
    <w:rsid w:val="00180FCE"/>
    <w:rsid w:val="00181614"/>
    <w:rsid w:val="001A1070"/>
    <w:rsid w:val="001A1CB3"/>
    <w:rsid w:val="001B3810"/>
    <w:rsid w:val="001E60E9"/>
    <w:rsid w:val="00204359"/>
    <w:rsid w:val="0023230E"/>
    <w:rsid w:val="002327C7"/>
    <w:rsid w:val="002364D6"/>
    <w:rsid w:val="002A2D67"/>
    <w:rsid w:val="002B26B1"/>
    <w:rsid w:val="002C2B6F"/>
    <w:rsid w:val="002C72D4"/>
    <w:rsid w:val="002C7678"/>
    <w:rsid w:val="002F520A"/>
    <w:rsid w:val="00310751"/>
    <w:rsid w:val="00322688"/>
    <w:rsid w:val="00332183"/>
    <w:rsid w:val="00393B22"/>
    <w:rsid w:val="003A579B"/>
    <w:rsid w:val="003D4B02"/>
    <w:rsid w:val="003F5339"/>
    <w:rsid w:val="00410034"/>
    <w:rsid w:val="00424341"/>
    <w:rsid w:val="0043099E"/>
    <w:rsid w:val="004431E1"/>
    <w:rsid w:val="00464782"/>
    <w:rsid w:val="00487513"/>
    <w:rsid w:val="004B29CE"/>
    <w:rsid w:val="004D2C1E"/>
    <w:rsid w:val="004D7BBA"/>
    <w:rsid w:val="00531610"/>
    <w:rsid w:val="00542CAA"/>
    <w:rsid w:val="005912D1"/>
    <w:rsid w:val="005A1486"/>
    <w:rsid w:val="005A7E43"/>
    <w:rsid w:val="005F086E"/>
    <w:rsid w:val="006047B6"/>
    <w:rsid w:val="00647ADC"/>
    <w:rsid w:val="0065745C"/>
    <w:rsid w:val="006629A5"/>
    <w:rsid w:val="00680428"/>
    <w:rsid w:val="00690B3F"/>
    <w:rsid w:val="00693D67"/>
    <w:rsid w:val="006C28E8"/>
    <w:rsid w:val="006E4D72"/>
    <w:rsid w:val="006E6FCE"/>
    <w:rsid w:val="00755A1E"/>
    <w:rsid w:val="007C01D1"/>
    <w:rsid w:val="007C0A5F"/>
    <w:rsid w:val="008202BF"/>
    <w:rsid w:val="00834309"/>
    <w:rsid w:val="00883FA4"/>
    <w:rsid w:val="008918DE"/>
    <w:rsid w:val="008921B0"/>
    <w:rsid w:val="008F5AC2"/>
    <w:rsid w:val="009C1140"/>
    <w:rsid w:val="009F1A72"/>
    <w:rsid w:val="00A060B7"/>
    <w:rsid w:val="00A138DD"/>
    <w:rsid w:val="00A44B57"/>
    <w:rsid w:val="00AA7B8D"/>
    <w:rsid w:val="00AB5637"/>
    <w:rsid w:val="00AC4B3C"/>
    <w:rsid w:val="00B02822"/>
    <w:rsid w:val="00B24F49"/>
    <w:rsid w:val="00B92700"/>
    <w:rsid w:val="00BC200C"/>
    <w:rsid w:val="00BC3D0A"/>
    <w:rsid w:val="00BC4000"/>
    <w:rsid w:val="00BD17AC"/>
    <w:rsid w:val="00C45211"/>
    <w:rsid w:val="00C51A17"/>
    <w:rsid w:val="00C52209"/>
    <w:rsid w:val="00CD3E31"/>
    <w:rsid w:val="00CE0B35"/>
    <w:rsid w:val="00CF031A"/>
    <w:rsid w:val="00DC4D2A"/>
    <w:rsid w:val="00DC6922"/>
    <w:rsid w:val="00DF3B91"/>
    <w:rsid w:val="00E3663B"/>
    <w:rsid w:val="00F03FF0"/>
    <w:rsid w:val="00F5168F"/>
    <w:rsid w:val="00F538F5"/>
    <w:rsid w:val="00F63757"/>
    <w:rsid w:val="00FA52A3"/>
    <w:rsid w:val="00FD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5637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6629A5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647ADC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F5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5AC2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F5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5AC2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5637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6629A5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647ADC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F5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5AC2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F5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5AC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3</Pages>
  <Words>1382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Vítězslav</dc:creator>
  <cp:lastModifiedBy>spravce</cp:lastModifiedBy>
  <cp:revision>11</cp:revision>
  <cp:lastPrinted>2013-01-21T20:13:00Z</cp:lastPrinted>
  <dcterms:created xsi:type="dcterms:W3CDTF">2013-08-15T22:29:00Z</dcterms:created>
  <dcterms:modified xsi:type="dcterms:W3CDTF">2013-08-18T17:23:00Z</dcterms:modified>
</cp:coreProperties>
</file>