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E1D" w:rsidRDefault="00966E1D" w:rsidP="00966E1D">
      <w:pPr>
        <w:pStyle w:val="Nadpis4"/>
        <w:spacing w:before="60"/>
        <w:jc w:val="center"/>
        <w:rPr>
          <w:bCs/>
          <w:iCs/>
          <w:sz w:val="28"/>
          <w:szCs w:val="28"/>
          <w:u w:val="none"/>
        </w:rPr>
      </w:pPr>
      <w:r>
        <w:rPr>
          <w:bCs/>
          <w:iCs/>
          <w:sz w:val="28"/>
          <w:szCs w:val="28"/>
          <w:u w:val="none"/>
        </w:rPr>
        <w:t>UNIVERZITA PARDUBICE</w:t>
      </w:r>
    </w:p>
    <w:p w:rsidR="00966E1D" w:rsidRDefault="00966E1D" w:rsidP="00966E1D">
      <w:pPr>
        <w:pStyle w:val="Nadpis4"/>
        <w:spacing w:before="60"/>
        <w:jc w:val="center"/>
        <w:rPr>
          <w:b/>
          <w:bCs/>
          <w:iCs/>
          <w:u w:val="none"/>
        </w:rPr>
      </w:pPr>
      <w:r>
        <w:rPr>
          <w:b/>
          <w:bCs/>
          <w:iCs/>
          <w:u w:val="none"/>
        </w:rPr>
        <w:t>Fakulta filozofická</w:t>
      </w:r>
    </w:p>
    <w:p w:rsidR="00966E1D" w:rsidRDefault="00966E1D" w:rsidP="00966E1D">
      <w:pPr>
        <w:jc w:val="center"/>
        <w:rPr>
          <w:b/>
        </w:rPr>
      </w:pPr>
      <w:r>
        <w:rPr>
          <w:b/>
        </w:rPr>
        <w:t>Katedra anglistiky a amerikanistiky</w:t>
      </w:r>
    </w:p>
    <w:p w:rsidR="00966E1D" w:rsidRDefault="00966E1D" w:rsidP="00966E1D">
      <w:pPr>
        <w:spacing w:before="60"/>
        <w:jc w:val="center"/>
        <w:rPr>
          <w:b/>
          <w:sz w:val="32"/>
          <w:szCs w:val="32"/>
        </w:rPr>
      </w:pPr>
    </w:p>
    <w:p w:rsidR="00966E1D" w:rsidRDefault="00966E1D" w:rsidP="00966E1D">
      <w:pPr>
        <w:spacing w:before="60"/>
        <w:jc w:val="center"/>
        <w:rPr>
          <w:b/>
          <w:sz w:val="32"/>
          <w:szCs w:val="32"/>
        </w:rPr>
      </w:pPr>
      <w:r>
        <w:rPr>
          <w:b/>
          <w:sz w:val="32"/>
          <w:szCs w:val="32"/>
        </w:rPr>
        <w:t>Posudek vedoucího bakalářské práce</w:t>
      </w:r>
    </w:p>
    <w:p w:rsidR="00966E1D" w:rsidRDefault="00966E1D" w:rsidP="00966E1D">
      <w:pPr>
        <w:spacing w:before="60"/>
        <w:jc w:val="both"/>
        <w:rPr>
          <w:b/>
        </w:rPr>
      </w:pPr>
    </w:p>
    <w:p w:rsidR="00966E1D" w:rsidRDefault="00966E1D" w:rsidP="00966E1D">
      <w:pPr>
        <w:spacing w:before="60"/>
        <w:jc w:val="both"/>
        <w:rPr>
          <w:b/>
        </w:rPr>
      </w:pPr>
    </w:p>
    <w:p w:rsidR="00966E1D" w:rsidRDefault="00966E1D" w:rsidP="00966E1D">
      <w:pPr>
        <w:spacing w:before="60"/>
        <w:jc w:val="both"/>
      </w:pPr>
      <w:r>
        <w:rPr>
          <w:b/>
        </w:rPr>
        <w:t>Autor práce: Katarína Murínová</w:t>
      </w:r>
    </w:p>
    <w:p w:rsidR="00966E1D" w:rsidRDefault="00966E1D" w:rsidP="00966E1D">
      <w:pPr>
        <w:spacing w:before="60"/>
        <w:jc w:val="both"/>
      </w:pPr>
      <w:r>
        <w:rPr>
          <w:b/>
        </w:rPr>
        <w:t>Studijní obor: Anglický jazyk pro odbornou praxi</w:t>
      </w:r>
    </w:p>
    <w:p w:rsidR="00966E1D" w:rsidRDefault="00966E1D" w:rsidP="00966E1D">
      <w:pPr>
        <w:spacing w:before="60"/>
        <w:jc w:val="both"/>
      </w:pPr>
      <w:r>
        <w:rPr>
          <w:b/>
        </w:rPr>
        <w:t xml:space="preserve">Název práce: Second </w:t>
      </w:r>
      <w:proofErr w:type="spellStart"/>
      <w:r>
        <w:rPr>
          <w:b/>
        </w:rPr>
        <w:t>World</w:t>
      </w:r>
      <w:proofErr w:type="spellEnd"/>
      <w:r>
        <w:rPr>
          <w:b/>
        </w:rPr>
        <w:t xml:space="preserve"> </w:t>
      </w:r>
      <w:proofErr w:type="spellStart"/>
      <w:r>
        <w:rPr>
          <w:b/>
        </w:rPr>
        <w:t>Satire</w:t>
      </w:r>
      <w:proofErr w:type="spellEnd"/>
      <w:r>
        <w:rPr>
          <w:b/>
        </w:rPr>
        <w:t xml:space="preserve"> in Joseph </w:t>
      </w:r>
      <w:proofErr w:type="spellStart"/>
      <w:r>
        <w:rPr>
          <w:b/>
        </w:rPr>
        <w:t>Heller’s</w:t>
      </w:r>
      <w:proofErr w:type="spellEnd"/>
      <w:r>
        <w:rPr>
          <w:b/>
        </w:rPr>
        <w:t xml:space="preserve"> Catch-22</w:t>
      </w:r>
    </w:p>
    <w:p w:rsidR="00966E1D" w:rsidRDefault="00966E1D" w:rsidP="00966E1D">
      <w:pPr>
        <w:spacing w:before="60"/>
      </w:pPr>
      <w:r>
        <w:rPr>
          <w:b/>
        </w:rPr>
        <w:t>Akademický rok: 2017/2018</w:t>
      </w:r>
    </w:p>
    <w:p w:rsidR="00966E1D" w:rsidRDefault="00966E1D" w:rsidP="00966E1D">
      <w:pPr>
        <w:jc w:val="both"/>
      </w:pPr>
      <w:r>
        <w:rPr>
          <w:b/>
        </w:rPr>
        <w:t xml:space="preserve">Vedoucí práce: Mgr. Michal </w:t>
      </w:r>
      <w:proofErr w:type="spellStart"/>
      <w:r>
        <w:rPr>
          <w:b/>
        </w:rPr>
        <w:t>Kleprlík</w:t>
      </w:r>
      <w:proofErr w:type="spellEnd"/>
      <w:r>
        <w:rPr>
          <w:b/>
        </w:rPr>
        <w:t>, Ph.D.</w:t>
      </w:r>
    </w:p>
    <w:p w:rsidR="00966E1D" w:rsidRDefault="00966E1D" w:rsidP="00966E1D">
      <w:pPr>
        <w:jc w:val="both"/>
      </w:pPr>
      <w:r>
        <w:rPr>
          <w:b/>
        </w:rPr>
        <w:t xml:space="preserve">Oponent práce: doc. Mgr. Šárka </w:t>
      </w:r>
      <w:proofErr w:type="spellStart"/>
      <w:r>
        <w:rPr>
          <w:b/>
        </w:rPr>
        <w:t>Bubíková</w:t>
      </w:r>
      <w:proofErr w:type="spellEnd"/>
      <w:r>
        <w:rPr>
          <w:b/>
        </w:rPr>
        <w:t>, Ph.D.</w:t>
      </w: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66E1D" w:rsidTr="00966E1D">
        <w:tc>
          <w:tcPr>
            <w:tcW w:w="9524" w:type="dxa"/>
            <w:gridSpan w:val="2"/>
            <w:tcBorders>
              <w:top w:val="double" w:sz="4" w:space="0" w:color="auto"/>
              <w:left w:val="double" w:sz="4" w:space="0" w:color="auto"/>
              <w:bottom w:val="double" w:sz="4" w:space="0" w:color="auto"/>
              <w:right w:val="single" w:sz="2" w:space="0" w:color="auto"/>
            </w:tcBorders>
            <w:vAlign w:val="center"/>
            <w:hideMark/>
          </w:tcPr>
          <w:p w:rsidR="00966E1D" w:rsidRDefault="00966E1D">
            <w:pPr>
              <w:spacing w:line="276" w:lineRule="auto"/>
              <w:jc w:val="center"/>
              <w:rPr>
                <w:b/>
                <w:lang w:eastAsia="en-US"/>
              </w:rPr>
            </w:pPr>
            <w:proofErr w:type="gramStart"/>
            <w:r>
              <w:rPr>
                <w:b/>
                <w:sz w:val="28"/>
                <w:szCs w:val="28"/>
                <w:lang w:eastAsia="en-US"/>
              </w:rPr>
              <w:t>Kritéria  hodnocení</w:t>
            </w:r>
            <w:proofErr w:type="gramEnd"/>
            <w:r>
              <w:rPr>
                <w:b/>
                <w:sz w:val="28"/>
                <w:szCs w:val="28"/>
                <w:lang w:eastAsia="en-US"/>
              </w:rPr>
              <w:t xml:space="preserve"> </w:t>
            </w:r>
          </w:p>
        </w:tc>
        <w:tc>
          <w:tcPr>
            <w:tcW w:w="1477" w:type="dxa"/>
            <w:tcBorders>
              <w:top w:val="double" w:sz="4" w:space="0" w:color="auto"/>
              <w:left w:val="single" w:sz="2" w:space="0" w:color="auto"/>
              <w:bottom w:val="doub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Hodnocení</w:t>
            </w:r>
          </w:p>
          <w:p w:rsidR="00966E1D" w:rsidRDefault="00966E1D">
            <w:pPr>
              <w:spacing w:line="276" w:lineRule="auto"/>
              <w:jc w:val="center"/>
              <w:rPr>
                <w:b/>
                <w:lang w:eastAsia="en-US"/>
              </w:rPr>
            </w:pPr>
            <w:r>
              <w:rPr>
                <w:b/>
                <w:lang w:eastAsia="en-US"/>
              </w:rPr>
              <w:t>1 - 2 - 3 – 4</w:t>
            </w:r>
          </w:p>
        </w:tc>
      </w:tr>
      <w:tr w:rsidR="00966E1D" w:rsidTr="00966E1D">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966E1D" w:rsidRDefault="00966E1D">
            <w:pPr>
              <w:spacing w:line="276" w:lineRule="auto"/>
              <w:jc w:val="center"/>
              <w:rPr>
                <w:b/>
                <w:lang w:eastAsia="en-US"/>
              </w:rPr>
            </w:pPr>
            <w:r>
              <w:rPr>
                <w:b/>
                <w:lang w:eastAsia="en-US"/>
              </w:rPr>
              <w:t>Všeobecná charakteristika</w:t>
            </w:r>
          </w:p>
          <w:p w:rsidR="00966E1D" w:rsidRDefault="00966E1D">
            <w:pPr>
              <w:spacing w:line="276" w:lineRule="auto"/>
              <w:jc w:val="center"/>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Splnění zásad zpracování práce a naplnění stanoveného cíle</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C</w:t>
            </w:r>
          </w:p>
        </w:tc>
      </w:tr>
      <w:tr w:rsidR="00966E1D" w:rsidTr="00966E1D">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6E1D" w:rsidRDefault="00966E1D">
            <w:pPr>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Logická struktura práce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6E1D" w:rsidRDefault="00966E1D">
            <w:pPr>
              <w:rPr>
                <w:b/>
                <w:highlight w:val="yellow"/>
                <w:lang w:eastAsia="en-US"/>
              </w:rPr>
            </w:pPr>
          </w:p>
        </w:tc>
        <w:tc>
          <w:tcPr>
            <w:tcW w:w="7364" w:type="dxa"/>
            <w:tcBorders>
              <w:top w:val="single" w:sz="4" w:space="0" w:color="auto"/>
              <w:left w:val="single" w:sz="4"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Vyváženost teoretické a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966E1D" w:rsidRDefault="00966E1D">
            <w:pPr>
              <w:spacing w:line="276" w:lineRule="auto"/>
              <w:jc w:val="center"/>
              <w:rPr>
                <w:b/>
                <w:lang w:eastAsia="en-US"/>
              </w:rPr>
            </w:pPr>
            <w:r>
              <w:rPr>
                <w:b/>
                <w:lang w:eastAsia="en-US"/>
              </w:rPr>
              <w:t xml:space="preserve">Teoretická část </w:t>
            </w: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Prezentace různých teoretických přístupů k řešenému problému</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C</w:t>
            </w: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Kritické posouzení prezentovaných přístupů a zvolení relevantní teoretické základny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Zpracování kvalitní teoretické základny pro realizaci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966E1D" w:rsidRDefault="00966E1D">
            <w:pPr>
              <w:spacing w:line="276" w:lineRule="auto"/>
              <w:jc w:val="center"/>
              <w:rPr>
                <w:b/>
                <w:lang w:eastAsia="en-US"/>
              </w:rPr>
            </w:pPr>
            <w:r>
              <w:rPr>
                <w:b/>
                <w:lang w:eastAsia="en-US"/>
              </w:rPr>
              <w:t xml:space="preserve">Praktická část </w:t>
            </w: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Vhodnost zvolené výzkumné metodologie</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B</w:t>
            </w: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Aplikace zvolené výzkumné metodologie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Relevantní a srozumitelná argumentace a interpretace získaných výsledků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966E1D" w:rsidRDefault="00966E1D">
            <w:pPr>
              <w:spacing w:line="276" w:lineRule="auto"/>
              <w:jc w:val="center"/>
              <w:rPr>
                <w:b/>
                <w:lang w:eastAsia="en-US"/>
              </w:rPr>
            </w:pPr>
            <w:r>
              <w:rPr>
                <w:b/>
                <w:lang w:eastAsia="en-US"/>
              </w:rPr>
              <w:t>Práce s odbornou literaturou</w:t>
            </w: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Kvalita, množství a relevance zpracované literatury</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B</w:t>
            </w: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Kritický přístup ke zdrojům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966E1D" w:rsidRDefault="00966E1D">
            <w:pPr>
              <w:spacing w:line="276" w:lineRule="auto"/>
              <w:jc w:val="center"/>
              <w:rPr>
                <w:b/>
                <w:lang w:eastAsia="en-US"/>
              </w:rPr>
            </w:pPr>
            <w:r>
              <w:rPr>
                <w:b/>
                <w:lang w:eastAsia="en-US"/>
              </w:rPr>
              <w:t>Formální stránka</w:t>
            </w: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 xml:space="preserve">Dodržení doporučených pravidel a norem formální úpravy (směrnice FF </w:t>
            </w:r>
            <w:proofErr w:type="spellStart"/>
            <w:r>
              <w:rPr>
                <w:sz w:val="22"/>
                <w:szCs w:val="22"/>
                <w:lang w:eastAsia="en-US"/>
              </w:rPr>
              <w:t>UPa</w:t>
            </w:r>
            <w:proofErr w:type="spellEnd"/>
            <w:r>
              <w:rPr>
                <w:sz w:val="22"/>
                <w:szCs w:val="22"/>
                <w:lang w:eastAsia="en-US"/>
              </w:rPr>
              <w:t>, požadavky KAA)</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A</w:t>
            </w: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Kvalita vědeckého aparátu, příloh, tabulek a obrázků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lang w:eastAsia="en-US"/>
              </w:rPr>
            </w:pPr>
            <w:r>
              <w:rPr>
                <w:sz w:val="22"/>
                <w:szCs w:val="22"/>
                <w:lang w:eastAsia="en-US"/>
              </w:rPr>
              <w:t>Dodržení bibliografických norem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966E1D" w:rsidRDefault="00966E1D">
            <w:pPr>
              <w:spacing w:line="276" w:lineRule="auto"/>
              <w:jc w:val="center"/>
              <w:rPr>
                <w:b/>
                <w:lang w:eastAsia="en-US"/>
              </w:rPr>
            </w:pPr>
            <w:r>
              <w:rPr>
                <w:b/>
                <w:lang w:eastAsia="en-US"/>
              </w:rPr>
              <w:t xml:space="preserve">Jazyková úroveň </w:t>
            </w: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Gramatická přesnost a komplexnost</w:t>
            </w:r>
          </w:p>
        </w:tc>
        <w:tc>
          <w:tcPr>
            <w:tcW w:w="1477" w:type="dxa"/>
            <w:vMerge w:val="restart"/>
            <w:tcBorders>
              <w:top w:val="single" w:sz="4" w:space="0" w:color="auto"/>
              <w:left w:val="single" w:sz="2" w:space="0" w:color="auto"/>
              <w:bottom w:val="single" w:sz="4" w:space="0" w:color="auto"/>
              <w:right w:val="double" w:sz="4" w:space="0" w:color="auto"/>
            </w:tcBorders>
            <w:vAlign w:val="center"/>
            <w:hideMark/>
          </w:tcPr>
          <w:p w:rsidR="00966E1D" w:rsidRDefault="00966E1D">
            <w:pPr>
              <w:spacing w:line="276" w:lineRule="auto"/>
              <w:jc w:val="center"/>
              <w:rPr>
                <w:b/>
                <w:lang w:eastAsia="en-US"/>
              </w:rPr>
            </w:pPr>
            <w:r>
              <w:rPr>
                <w:b/>
                <w:lang w:eastAsia="en-US"/>
              </w:rPr>
              <w:t>B</w:t>
            </w: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Slovní zásoba</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Koheze a koherence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r w:rsidR="00966E1D" w:rsidTr="00966E1D">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966E1D" w:rsidRDefault="00966E1D">
            <w:pPr>
              <w:rPr>
                <w:b/>
                <w:lang w:eastAsia="en-US"/>
              </w:rPr>
            </w:pPr>
          </w:p>
        </w:tc>
        <w:tc>
          <w:tcPr>
            <w:tcW w:w="7364" w:type="dxa"/>
            <w:tcBorders>
              <w:top w:val="single" w:sz="4" w:space="0" w:color="auto"/>
              <w:left w:val="single" w:sz="2" w:space="0" w:color="auto"/>
              <w:bottom w:val="single" w:sz="4" w:space="0" w:color="auto"/>
              <w:right w:val="single" w:sz="2" w:space="0" w:color="auto"/>
            </w:tcBorders>
            <w:hideMark/>
          </w:tcPr>
          <w:p w:rsidR="00966E1D" w:rsidRDefault="00966E1D">
            <w:pPr>
              <w:spacing w:line="276" w:lineRule="auto"/>
              <w:rPr>
                <w:b/>
                <w:lang w:eastAsia="en-US"/>
              </w:rPr>
            </w:pPr>
            <w:r>
              <w:rPr>
                <w:sz w:val="22"/>
                <w:szCs w:val="22"/>
                <w:lang w:eastAsia="en-US"/>
              </w:rPr>
              <w:t>Interpunkce a stylistické aspekty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966E1D" w:rsidRDefault="00966E1D">
            <w:pPr>
              <w:rPr>
                <w:b/>
                <w:lang w:eastAsia="en-US"/>
              </w:rPr>
            </w:pPr>
          </w:p>
        </w:tc>
      </w:tr>
    </w:tbl>
    <w:p w:rsidR="00966E1D" w:rsidRDefault="00966E1D" w:rsidP="00966E1D">
      <w:pPr>
        <w:spacing w:before="120" w:line="360" w:lineRule="auto"/>
        <w:jc w:val="both"/>
        <w:rPr>
          <w:b/>
        </w:rPr>
      </w:pPr>
      <w:r>
        <w:rPr>
          <w:b/>
        </w:rPr>
        <w:br w:type="page"/>
      </w:r>
      <w:r>
        <w:rPr>
          <w:b/>
        </w:rPr>
        <w:lastRenderedPageBreak/>
        <w:t>Slovní vyjádření k hodnocení bakalářské práce:</w:t>
      </w:r>
    </w:p>
    <w:p w:rsidR="00966E1D" w:rsidRDefault="00966E1D" w:rsidP="0019758E">
      <w:pPr>
        <w:spacing w:line="360" w:lineRule="auto"/>
        <w:jc w:val="both"/>
        <w:rPr>
          <w:bCs/>
        </w:rPr>
      </w:pPr>
      <w:r>
        <w:rPr>
          <w:bCs/>
        </w:rPr>
        <w:t>Bakalářská práce Kataríny Murínové se zabývá</w:t>
      </w:r>
      <w:r w:rsidR="00B35A4F">
        <w:rPr>
          <w:bCs/>
        </w:rPr>
        <w:t xml:space="preserve"> „Hlavou 22“ neboli prvky satiry ve stejnojmenném románu. </w:t>
      </w:r>
      <w:r w:rsidR="0019758E">
        <w:rPr>
          <w:bCs/>
        </w:rPr>
        <w:t>Teoretická část, v níž au</w:t>
      </w:r>
      <w:r w:rsidR="0036216A">
        <w:rPr>
          <w:bCs/>
        </w:rPr>
        <w:t>torka definuje význam satiry a</w:t>
      </w:r>
      <w:r w:rsidR="0019758E">
        <w:rPr>
          <w:bCs/>
        </w:rPr>
        <w:t xml:space="preserve"> její různé podoby, je propracovaná, srozumitelná a argumentačně správná, byť plynulost textu místy omezuje přílišná rozkouskovanost v podobě podkapitol. </w:t>
      </w:r>
      <w:r w:rsidR="004C571E">
        <w:rPr>
          <w:bCs/>
        </w:rPr>
        <w:t>Samotný rozbor je dle mého soudu vcelku zdařilý; argumentace je</w:t>
      </w:r>
      <w:r w:rsidR="0019758E">
        <w:rPr>
          <w:bCs/>
        </w:rPr>
        <w:t xml:space="preserve"> </w:t>
      </w:r>
      <w:r w:rsidR="004C571E">
        <w:rPr>
          <w:bCs/>
        </w:rPr>
        <w:t>přesvědčivá a podložená dostatečným množstvím relevantní sekundární literatury. Nicméně se nemohu zbavit dojmu, že leckdy věnuje autorka těmto zdrojům příliš velkou pozornost, což může působit dojmem, že se za ně „schovává“. Myslím si, že jinak povedené a svědomitě vypracované práci by jistě prospělo, kdyby autorka místy tolik nelpěla na názorech ostatních a více se věnoval</w:t>
      </w:r>
      <w:r w:rsidR="0036216A">
        <w:rPr>
          <w:bCs/>
        </w:rPr>
        <w:t>a</w:t>
      </w:r>
      <w:bookmarkStart w:id="0" w:name="_GoBack"/>
      <w:bookmarkEnd w:id="0"/>
      <w:r w:rsidR="004C571E">
        <w:rPr>
          <w:bCs/>
        </w:rPr>
        <w:t xml:space="preserve"> svým vlastním myšlenkám. </w:t>
      </w:r>
      <w:r w:rsidR="001D27C3">
        <w:rPr>
          <w:bCs/>
        </w:rPr>
        <w:t xml:space="preserve">Po formální, bibliografické i jazykové stránce práce splňuje všechny požadované nároky; i proto práci k obhajobě doporučuji a hodnotím známkou </w:t>
      </w:r>
      <w:r w:rsidR="001D27C3" w:rsidRPr="001D27C3">
        <w:rPr>
          <w:b/>
          <w:bCs/>
        </w:rPr>
        <w:t>velmi dobře</w:t>
      </w:r>
      <w:r w:rsidR="001D27C3">
        <w:rPr>
          <w:bCs/>
        </w:rPr>
        <w:t>.</w:t>
      </w:r>
    </w:p>
    <w:p w:rsidR="001D27C3" w:rsidRDefault="001D27C3" w:rsidP="0019758E">
      <w:pPr>
        <w:spacing w:line="360" w:lineRule="auto"/>
        <w:jc w:val="both"/>
        <w:rPr>
          <w:bCs/>
        </w:rPr>
      </w:pPr>
    </w:p>
    <w:p w:rsidR="001D27C3" w:rsidRDefault="001D27C3" w:rsidP="0019758E">
      <w:pPr>
        <w:spacing w:line="360" w:lineRule="auto"/>
        <w:jc w:val="both"/>
        <w:rPr>
          <w:b/>
          <w:bCs/>
        </w:rPr>
      </w:pPr>
      <w:r w:rsidRPr="001D27C3">
        <w:rPr>
          <w:b/>
          <w:bCs/>
        </w:rPr>
        <w:t>Otázky k diskusi:</w:t>
      </w:r>
    </w:p>
    <w:p w:rsidR="001D27C3" w:rsidRPr="001D27C3" w:rsidRDefault="001D27C3" w:rsidP="001D27C3">
      <w:pPr>
        <w:pStyle w:val="Odstavecseseznamem"/>
        <w:numPr>
          <w:ilvl w:val="0"/>
          <w:numId w:val="1"/>
        </w:numPr>
        <w:spacing w:line="360" w:lineRule="auto"/>
        <w:jc w:val="both"/>
        <w:rPr>
          <w:bCs/>
        </w:rPr>
      </w:pPr>
      <w:r>
        <w:rPr>
          <w:bCs/>
        </w:rPr>
        <w:t xml:space="preserve">Na str. 15 autorka uvádí tři kategorie satiry (podle Horatia, </w:t>
      </w:r>
      <w:proofErr w:type="spellStart"/>
      <w:r>
        <w:rPr>
          <w:bCs/>
        </w:rPr>
        <w:t>Juvenalise</w:t>
      </w:r>
      <w:proofErr w:type="spellEnd"/>
      <w:r>
        <w:rPr>
          <w:bCs/>
        </w:rPr>
        <w:t xml:space="preserve"> a </w:t>
      </w:r>
      <w:proofErr w:type="spellStart"/>
      <w:r>
        <w:rPr>
          <w:bCs/>
        </w:rPr>
        <w:t>Menippa</w:t>
      </w:r>
      <w:proofErr w:type="spellEnd"/>
      <w:r>
        <w:rPr>
          <w:bCs/>
        </w:rPr>
        <w:t xml:space="preserve">). Do které z nich by zařadila zkoumaný román? </w:t>
      </w:r>
    </w:p>
    <w:p w:rsidR="00966E1D" w:rsidRDefault="00966E1D" w:rsidP="00966E1D">
      <w:pPr>
        <w:jc w:val="both"/>
        <w:rPr>
          <w:bCs/>
        </w:rPr>
      </w:pPr>
    </w:p>
    <w:p w:rsidR="00966E1D" w:rsidRDefault="00966E1D" w:rsidP="00966E1D">
      <w:pPr>
        <w:jc w:val="both"/>
        <w:rPr>
          <w:bCs/>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966E1D" w:rsidTr="00966E1D">
        <w:trPr>
          <w:trHeight w:val="851"/>
        </w:trPr>
        <w:tc>
          <w:tcPr>
            <w:tcW w:w="7488" w:type="dxa"/>
            <w:tcBorders>
              <w:top w:val="double" w:sz="4" w:space="0" w:color="auto"/>
              <w:left w:val="double" w:sz="4" w:space="0" w:color="auto"/>
              <w:bottom w:val="double" w:sz="4" w:space="0" w:color="auto"/>
              <w:right w:val="single" w:sz="4" w:space="0" w:color="auto"/>
            </w:tcBorders>
            <w:vAlign w:val="center"/>
            <w:hideMark/>
          </w:tcPr>
          <w:p w:rsidR="00966E1D" w:rsidRDefault="00966E1D">
            <w:pPr>
              <w:spacing w:line="276" w:lineRule="auto"/>
              <w:jc w:val="both"/>
              <w:rPr>
                <w:b/>
                <w:sz w:val="32"/>
                <w:szCs w:val="32"/>
                <w:lang w:eastAsia="en-US"/>
              </w:rPr>
            </w:pPr>
            <w:proofErr w:type="gramStart"/>
            <w:r>
              <w:rPr>
                <w:b/>
                <w:sz w:val="28"/>
                <w:szCs w:val="28"/>
                <w:lang w:eastAsia="en-US"/>
              </w:rPr>
              <w:t>V ý s l e d n á   k l a s i f i k a c e</w:t>
            </w:r>
            <w:proofErr w:type="gramEnd"/>
          </w:p>
        </w:tc>
        <w:tc>
          <w:tcPr>
            <w:tcW w:w="2151" w:type="dxa"/>
            <w:tcBorders>
              <w:top w:val="double" w:sz="4" w:space="0" w:color="auto"/>
              <w:left w:val="single" w:sz="4" w:space="0" w:color="auto"/>
              <w:bottom w:val="double" w:sz="4" w:space="0" w:color="auto"/>
              <w:right w:val="double" w:sz="4" w:space="0" w:color="auto"/>
            </w:tcBorders>
          </w:tcPr>
          <w:p w:rsidR="00966E1D" w:rsidRDefault="00966E1D">
            <w:pPr>
              <w:spacing w:line="360" w:lineRule="auto"/>
              <w:jc w:val="both"/>
              <w:rPr>
                <w:b/>
                <w:lang w:eastAsia="en-US"/>
              </w:rPr>
            </w:pPr>
          </w:p>
          <w:p w:rsidR="00966E1D" w:rsidRDefault="00966E1D">
            <w:pPr>
              <w:spacing w:line="360" w:lineRule="auto"/>
              <w:jc w:val="center"/>
              <w:rPr>
                <w:b/>
                <w:lang w:eastAsia="en-US"/>
              </w:rPr>
            </w:pPr>
            <w:r>
              <w:rPr>
                <w:b/>
                <w:lang w:eastAsia="en-US"/>
              </w:rPr>
              <w:t>C</w:t>
            </w:r>
          </w:p>
          <w:p w:rsidR="00966E1D" w:rsidRDefault="00966E1D">
            <w:pPr>
              <w:spacing w:line="360" w:lineRule="auto"/>
              <w:jc w:val="both"/>
              <w:rPr>
                <w:b/>
                <w:lang w:eastAsia="en-US"/>
              </w:rPr>
            </w:pPr>
          </w:p>
        </w:tc>
      </w:tr>
    </w:tbl>
    <w:p w:rsidR="00966E1D" w:rsidRDefault="00966E1D" w:rsidP="00966E1D">
      <w:pPr>
        <w:spacing w:before="120" w:line="360" w:lineRule="auto"/>
        <w:jc w:val="center"/>
        <w:rPr>
          <w:b/>
        </w:rPr>
      </w:pPr>
    </w:p>
    <w:p w:rsidR="00966E1D" w:rsidRDefault="00966E1D" w:rsidP="00966E1D">
      <w:pPr>
        <w:jc w:val="both"/>
        <w:rPr>
          <w:b/>
          <w:sz w:val="28"/>
          <w:szCs w:val="28"/>
        </w:rPr>
      </w:pPr>
    </w:p>
    <w:p w:rsidR="00966E1D" w:rsidRDefault="00966E1D" w:rsidP="00966E1D">
      <w:pPr>
        <w:jc w:val="both"/>
        <w:rPr>
          <w:b/>
          <w:sz w:val="28"/>
          <w:szCs w:val="28"/>
        </w:rPr>
      </w:pPr>
    </w:p>
    <w:p w:rsidR="00966E1D" w:rsidRDefault="00966E1D" w:rsidP="00966E1D">
      <w:pPr>
        <w:jc w:val="both"/>
      </w:pPr>
    </w:p>
    <w:p w:rsidR="00966E1D" w:rsidRDefault="00966E1D" w:rsidP="00966E1D">
      <w:pPr>
        <w:jc w:val="both"/>
      </w:pPr>
      <w:r>
        <w:t xml:space="preserve">Dne: 16. 8. </w:t>
      </w:r>
      <w:proofErr w:type="gramStart"/>
      <w:r>
        <w:t>2018</w:t>
      </w:r>
      <w:r>
        <w:tab/>
      </w:r>
      <w:r>
        <w:tab/>
      </w:r>
      <w:r>
        <w:tab/>
      </w:r>
      <w:r>
        <w:tab/>
      </w:r>
      <w:r>
        <w:tab/>
        <w:t xml:space="preserve">    ..........................................................</w:t>
      </w:r>
      <w:proofErr w:type="gramEnd"/>
    </w:p>
    <w:p w:rsidR="00966E1D" w:rsidRDefault="00966E1D" w:rsidP="00966E1D">
      <w:pPr>
        <w:jc w:val="both"/>
      </w:pPr>
      <w:r>
        <w:tab/>
      </w:r>
      <w:r>
        <w:tab/>
      </w:r>
      <w:r>
        <w:tab/>
      </w:r>
      <w:r>
        <w:tab/>
      </w:r>
      <w:r>
        <w:tab/>
      </w:r>
      <w:r>
        <w:tab/>
      </w:r>
      <w:r>
        <w:tab/>
      </w:r>
      <w:r>
        <w:tab/>
        <w:t>Podpis vedoucího práce</w:t>
      </w:r>
    </w:p>
    <w:p w:rsidR="00966E1D" w:rsidRDefault="00966E1D" w:rsidP="00966E1D"/>
    <w:p w:rsidR="00AD3E6F" w:rsidRDefault="00AD3E6F"/>
    <w:sectPr w:rsidR="00AD3E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56255"/>
    <w:multiLevelType w:val="hybridMultilevel"/>
    <w:tmpl w:val="4598337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E1D"/>
    <w:rsid w:val="000A2C81"/>
    <w:rsid w:val="0019758E"/>
    <w:rsid w:val="001D27C3"/>
    <w:rsid w:val="0036216A"/>
    <w:rsid w:val="004C571E"/>
    <w:rsid w:val="00966E1D"/>
    <w:rsid w:val="00AD3E6F"/>
    <w:rsid w:val="00B35A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66E1D"/>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semiHidden/>
    <w:unhideWhenUsed/>
    <w:qFormat/>
    <w:rsid w:val="00966E1D"/>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semiHidden/>
    <w:rsid w:val="00966E1D"/>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1D27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66E1D"/>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semiHidden/>
    <w:unhideWhenUsed/>
    <w:qFormat/>
    <w:rsid w:val="00966E1D"/>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semiHidden/>
    <w:rsid w:val="00966E1D"/>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1D27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49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396</Words>
  <Characters>2338</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3</cp:revision>
  <cp:lastPrinted>2018-08-15T10:01:00Z</cp:lastPrinted>
  <dcterms:created xsi:type="dcterms:W3CDTF">2018-08-03T10:50:00Z</dcterms:created>
  <dcterms:modified xsi:type="dcterms:W3CDTF">2018-08-15T10:02:00Z</dcterms:modified>
</cp:coreProperties>
</file>