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E1C" w:rsidRPr="00DE11D5" w:rsidRDefault="00CC1E1C" w:rsidP="00CC1E1C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vedoucího diplomové práce </w:t>
      </w:r>
    </w:p>
    <w:p w:rsidR="00CC1E1C" w:rsidRPr="00DE11D5" w:rsidRDefault="00CC1E1C" w:rsidP="00CC1E1C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Bc. </w:t>
      </w:r>
      <w:r>
        <w:rPr>
          <w:b/>
          <w:sz w:val="24"/>
          <w:szCs w:val="24"/>
        </w:rPr>
        <w:t>Andrea Benová</w:t>
      </w:r>
    </w:p>
    <w:p w:rsidR="00CC1E1C" w:rsidRPr="00DE11D5" w:rsidRDefault="00CC1E1C" w:rsidP="00CC1E1C">
      <w:pPr>
        <w:jc w:val="center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Hedging in Abstracts of Journal Articles</w:t>
      </w:r>
    </w:p>
    <w:p w:rsidR="00CC1E1C" w:rsidRDefault="00CC1E1C" w:rsidP="00CC1E1C">
      <w:pPr>
        <w:spacing w:after="0"/>
        <w:rPr>
          <w:rFonts w:ascii="Arial Narrow" w:hAnsi="Arial Narrow"/>
          <w:b/>
        </w:rPr>
      </w:pPr>
    </w:p>
    <w:p w:rsidR="00CC1E1C" w:rsidRDefault="00CC1E1C" w:rsidP="00CC1E1C">
      <w:pPr>
        <w:spacing w:after="0"/>
      </w:pPr>
      <w:r w:rsidRPr="00BA0D60">
        <w:rPr>
          <w:b/>
        </w:rPr>
        <w:t>Vedoucí práce</w:t>
      </w:r>
      <w:r w:rsidRPr="00BA0D60">
        <w:t xml:space="preserve">: PhDr. Petra Huschová, Ph.D. </w:t>
      </w:r>
    </w:p>
    <w:p w:rsidR="00CC1E1C" w:rsidRPr="00BA0D60" w:rsidRDefault="00CC1E1C" w:rsidP="00CC1E1C">
      <w:pPr>
        <w:spacing w:after="0"/>
      </w:pPr>
      <w:r w:rsidRPr="00BA0D60">
        <w:rPr>
          <w:b/>
        </w:rPr>
        <w:t>Oponent práce</w:t>
      </w:r>
      <w:r w:rsidRPr="00BA0D60">
        <w:t>: PhDr. Šárka Ježková, Ph.D.</w:t>
      </w:r>
    </w:p>
    <w:p w:rsidR="00CC1E1C" w:rsidRPr="00BA0D60" w:rsidRDefault="00CC1E1C" w:rsidP="00CC1E1C">
      <w:pPr>
        <w:spacing w:after="0"/>
      </w:pPr>
    </w:p>
    <w:p w:rsidR="00CC1E1C" w:rsidRPr="00120CA0" w:rsidRDefault="00CC1E1C" w:rsidP="00CC1E1C">
      <w:pPr>
        <w:jc w:val="both"/>
      </w:pPr>
      <w:r>
        <w:t xml:space="preserve">Cílem diplomové práce bylo prostudovat výskyt a funkce vybraných prostředků oslabujících ilokuční sílu výpovědi (tzv. </w:t>
      </w:r>
      <w:proofErr w:type="spellStart"/>
      <w:r w:rsidRPr="00AB5CF5">
        <w:rPr>
          <w:i/>
        </w:rPr>
        <w:t>hedges</w:t>
      </w:r>
      <w:proofErr w:type="spellEnd"/>
      <w:r>
        <w:t xml:space="preserve">) v abstraktech odborných článků a porovnat jejich užití rodilými a nerodilými mluvčími anglického jazyka. </w:t>
      </w:r>
    </w:p>
    <w:p w:rsidR="00CC1E1C" w:rsidRPr="00C80059" w:rsidRDefault="00CC1E1C" w:rsidP="00CC1E1C">
      <w:pPr>
        <w:jc w:val="both"/>
        <w:rPr>
          <w:b/>
        </w:rPr>
      </w:pPr>
      <w:r>
        <w:rPr>
          <w:b/>
        </w:rPr>
        <w:t>Jazyk a formální stránka:</w:t>
      </w:r>
    </w:p>
    <w:p w:rsidR="00CC1E1C" w:rsidRPr="0065258E" w:rsidRDefault="00CC1E1C" w:rsidP="00CC1E1C">
      <w:pPr>
        <w:tabs>
          <w:tab w:val="left" w:pos="284"/>
        </w:tabs>
        <w:jc w:val="both"/>
        <w:rPr>
          <w:i/>
        </w:rPr>
      </w:pPr>
      <w:r>
        <w:t xml:space="preserve">Po jazykové a formální stránce práce splňuje kritéria. Jazykový projev je na odpovídající úrovni, objevují se pouze nesrovnalosti v užití členů, občasné chyby gramatické a stylistické (např. </w:t>
      </w:r>
      <w:r w:rsidRPr="005E37C5">
        <w:rPr>
          <w:i/>
          <w:lang w:val="en-GB"/>
        </w:rPr>
        <w:t>provide a glimpse</w:t>
      </w:r>
      <w:r>
        <w:rPr>
          <w:i/>
        </w:rPr>
        <w:t xml:space="preserve"> </w:t>
      </w:r>
      <w:r>
        <w:t xml:space="preserve">str. 10; </w:t>
      </w:r>
      <w:r w:rsidR="005E37C5">
        <w:rPr>
          <w:i/>
          <w:lang w:val="en-GB"/>
        </w:rPr>
        <w:t>‘</w:t>
      </w:r>
      <w:proofErr w:type="gramStart"/>
      <w:r w:rsidR="005E37C5">
        <w:rPr>
          <w:i/>
          <w:lang w:val="en-GB"/>
        </w:rPr>
        <w:t>c</w:t>
      </w:r>
      <w:r w:rsidRPr="005E37C5">
        <w:rPr>
          <w:i/>
          <w:lang w:val="en-GB"/>
        </w:rPr>
        <w:t>an</w:t>
      </w:r>
      <w:proofErr w:type="gramEnd"/>
      <w:r w:rsidR="005E37C5">
        <w:rPr>
          <w:i/>
          <w:lang w:val="en-GB"/>
        </w:rPr>
        <w:t>’</w:t>
      </w:r>
      <w:r w:rsidRPr="005E37C5">
        <w:rPr>
          <w:i/>
          <w:lang w:val="en-GB"/>
        </w:rPr>
        <w:t xml:space="preserve"> denoting passive voice</w:t>
      </w:r>
      <w:r>
        <w:t xml:space="preserve"> str. 24), poněkud rušivě působí často se opakující výraz </w:t>
      </w:r>
      <w:r w:rsidRPr="005E37C5">
        <w:rPr>
          <w:i/>
          <w:lang w:val="en-GB"/>
        </w:rPr>
        <w:t>aforementioned</w:t>
      </w:r>
      <w:r>
        <w:t xml:space="preserve">. </w:t>
      </w:r>
    </w:p>
    <w:p w:rsidR="00CC1E1C" w:rsidRPr="0078596D" w:rsidRDefault="00CC1E1C" w:rsidP="00CC1E1C">
      <w:pPr>
        <w:jc w:val="both"/>
        <w:rPr>
          <w:b/>
        </w:rPr>
      </w:pPr>
      <w:r w:rsidRPr="0078596D">
        <w:rPr>
          <w:b/>
        </w:rPr>
        <w:t>Teoretická část:</w:t>
      </w:r>
    </w:p>
    <w:p w:rsidR="00CC1E1C" w:rsidRDefault="00CC1E1C" w:rsidP="00CC1E1C">
      <w:pPr>
        <w:jc w:val="both"/>
      </w:pPr>
      <w:r>
        <w:t xml:space="preserve">Teoretická část je zpracována na 20 stranách textu a snaží se vymezit a popsat strategii </w:t>
      </w:r>
      <w:proofErr w:type="spellStart"/>
      <w:r>
        <w:t>atenuace</w:t>
      </w:r>
      <w:proofErr w:type="spellEnd"/>
      <w:r>
        <w:t xml:space="preserve"> („</w:t>
      </w:r>
      <w:proofErr w:type="spellStart"/>
      <w:r>
        <w:t>hedging</w:t>
      </w:r>
      <w:proofErr w:type="spellEnd"/>
      <w:r>
        <w:t xml:space="preserve">“) v kontextu vybraných oblastí pragmatiky. Nejprve definuje </w:t>
      </w:r>
      <w:proofErr w:type="spellStart"/>
      <w:r w:rsidRPr="00347051">
        <w:rPr>
          <w:i/>
        </w:rPr>
        <w:t>hedging</w:t>
      </w:r>
      <w:proofErr w:type="spellEnd"/>
      <w:r>
        <w:t xml:space="preserve"> (kapitola 1), na který následně nahlíží z pohledu zdvořilostních strategií (kapitola 2), </w:t>
      </w:r>
      <w:proofErr w:type="spellStart"/>
      <w:r>
        <w:t>Griceových</w:t>
      </w:r>
      <w:proofErr w:type="spellEnd"/>
      <w:r>
        <w:t xml:space="preserve"> konverzačních maxim (kapitola 3) a vágnosti (kapitola 4). Kapitola 5 se věnuje epistemické modalitě, neboť prototypické prostředky atenuace jsou většinou zároveň prostředky epistemické modality (kapitola 6). Teoretický základ uzavírají kapitoly 7 a 8 věnující se akademickému stylu a žánrové struktuře abstraktu. Kapitola 9 se snaží shrnout zásadní teoretické poznatky, nezohledňuje však </w:t>
      </w:r>
      <w:r w:rsidR="00AB23A4">
        <w:t xml:space="preserve">dostatečně </w:t>
      </w:r>
      <w:r>
        <w:t xml:space="preserve">informace z kapitol 7 a 8. </w:t>
      </w:r>
    </w:p>
    <w:p w:rsidR="00CC1E1C" w:rsidRDefault="00CC1E1C" w:rsidP="00CC1E1C">
      <w:pPr>
        <w:jc w:val="both"/>
      </w:pPr>
      <w:r>
        <w:t xml:space="preserve">Problematickým bodem teoretické části </w:t>
      </w:r>
      <w:r w:rsidR="005E37C5">
        <w:t>je</w:t>
      </w:r>
      <w:r>
        <w:t xml:space="preserve"> jasné vymezení funkcí/užití prostředků atenuace s ohledem na popsané oblasti pragmatiky (kapitoly 2 - 4) a násl</w:t>
      </w:r>
      <w:r w:rsidR="005E37C5">
        <w:t>edující analýzu. Autorka funkce/</w:t>
      </w:r>
      <w:r>
        <w:t xml:space="preserve">užití atenuace </w:t>
      </w:r>
      <w:r w:rsidR="005E37C5">
        <w:t>uvádí</w:t>
      </w:r>
      <w:r>
        <w:t xml:space="preserve"> v rámci popisu jednotlivých prostředků, např. u modálních sloves (str. 22) </w:t>
      </w:r>
      <w:r w:rsidR="005E37C5">
        <w:t>krátce</w:t>
      </w:r>
      <w:r>
        <w:t xml:space="preserve"> </w:t>
      </w:r>
      <w:r w:rsidR="005E37C5">
        <w:t>představuje</w:t>
      </w:r>
      <w:r>
        <w:t xml:space="preserve"> taxonomii </w:t>
      </w:r>
      <w:proofErr w:type="spellStart"/>
      <w:r>
        <w:t>Hylanda</w:t>
      </w:r>
      <w:proofErr w:type="spellEnd"/>
      <w:r>
        <w:t>, u lexikálních sloves (str. 25) klas</w:t>
      </w:r>
      <w:r w:rsidR="005E37C5">
        <w:t xml:space="preserve">ifikaci dle </w:t>
      </w:r>
      <w:proofErr w:type="spellStart"/>
      <w:r w:rsidR="005E37C5">
        <w:t>Martín-Martín</w:t>
      </w:r>
      <w:proofErr w:type="spellEnd"/>
      <w:r w:rsidR="005E37C5">
        <w:t xml:space="preserve">. Oblast funkce/užití atenuace </w:t>
      </w:r>
      <w:r>
        <w:t xml:space="preserve">by měla být zpracována odděleně, protože se vztahuje na všechny </w:t>
      </w:r>
      <w:r w:rsidR="005E37C5">
        <w:t>zkoumané jazykové prostředky</w:t>
      </w:r>
      <w:r>
        <w:t>. Co se týče prostředků atenuace, není explicitně vymezeno, které formy budou předmětem zkoumání (např. u lexikálních sloves), což vede k určitým nesrovnalostem v analýze (viz níže).</w:t>
      </w:r>
    </w:p>
    <w:p w:rsidR="00CC1E1C" w:rsidRPr="0078596D" w:rsidRDefault="00CC1E1C" w:rsidP="00CC1E1C">
      <w:pPr>
        <w:rPr>
          <w:b/>
        </w:rPr>
      </w:pPr>
      <w:r w:rsidRPr="0078596D">
        <w:rPr>
          <w:b/>
        </w:rPr>
        <w:t xml:space="preserve">Práce se zdroji: </w:t>
      </w:r>
    </w:p>
    <w:p w:rsidR="00CC1E1C" w:rsidRDefault="00CC1E1C" w:rsidP="00CC1E1C">
      <w:pPr>
        <w:jc w:val="both"/>
      </w:pPr>
      <w:r>
        <w:t>Je třeba ocenit, že pro svůj výzkum autorka nashromáždila velký počet zdrojů (37 titulů), včetně studií, které se zabývají přímo prostředky atenuace. Tyto zdroje v teoretické části většinou zdařile kontrastuje, aby vyvodila závěry s ohledem n</w:t>
      </w:r>
      <w:r w:rsidR="005E37C5">
        <w:t>a cíl své práce. U citovaných/</w:t>
      </w:r>
      <w:r>
        <w:t xml:space="preserve">parafrázovaných zdrojů se objevuje několik nesrovnalostí, např. v 6.3 jsou uváděna křestní jména autorů; </w:t>
      </w:r>
      <w:proofErr w:type="spellStart"/>
      <w:r>
        <w:t>Hyland</w:t>
      </w:r>
      <w:proofErr w:type="spellEnd"/>
      <w:r>
        <w:t xml:space="preserve"> 2005 (6.3, 6.4) není uveden v bibliografii.</w:t>
      </w:r>
    </w:p>
    <w:p w:rsidR="00CC1E1C" w:rsidRPr="00F46869" w:rsidRDefault="00CC1E1C" w:rsidP="00CC1E1C">
      <w:pPr>
        <w:rPr>
          <w:b/>
        </w:rPr>
      </w:pPr>
      <w:r>
        <w:rPr>
          <w:b/>
        </w:rPr>
        <w:t>Analytická část:</w:t>
      </w:r>
    </w:p>
    <w:p w:rsidR="00CC1E1C" w:rsidRDefault="00CC1E1C" w:rsidP="00CC1E1C">
      <w:pPr>
        <w:jc w:val="both"/>
      </w:pPr>
      <w:r>
        <w:t xml:space="preserve">V úvodu do rozsáhlé části analytické (34 stran textu) autorka formuluje 3 dílčí cíle svého výzkumu, představuje analyzovaný korpus a metodologii. Struktura prezentace výsledků analýzy je bohužel </w:t>
      </w:r>
      <w:r>
        <w:lastRenderedPageBreak/>
        <w:t>nepřehledná a nekoherentní: zjištění týkající se vymezených tří cílů jsou diskutována odděleně; kvantitativní zhodnocení je</w:t>
      </w:r>
      <w:r w:rsidR="00AB23A4">
        <w:t xml:space="preserve"> rovněž prezentováno samostatně</w:t>
      </w:r>
      <w:r>
        <w:t>.</w:t>
      </w:r>
    </w:p>
    <w:p w:rsidR="00CC1E1C" w:rsidRDefault="00CC1E1C" w:rsidP="00CC1E1C">
      <w:pPr>
        <w:jc w:val="both"/>
      </w:pPr>
      <w:r>
        <w:t>Abstrakty jsou nejprve analyzovány z pohledu forem a funkcí vyskytujících se</w:t>
      </w:r>
      <w:r w:rsidR="005E37C5">
        <w:rPr>
          <w:i/>
        </w:rPr>
        <w:t xml:space="preserve"> </w:t>
      </w:r>
      <w:r w:rsidR="005E37C5">
        <w:t>prostředků atenuace</w:t>
      </w:r>
      <w:r>
        <w:t>; 10.3.1 však prezentuje pouze výsledky analýzy abstraktů rodilých mluvčích</w:t>
      </w:r>
      <w:r w:rsidRPr="008C5661">
        <w:t xml:space="preserve"> </w:t>
      </w:r>
      <w:r>
        <w:t xml:space="preserve">anglického jazyka, 10.3.2. výsledky analýzy abstraktů nerodilých mluvčích, srovnání následuje až v 10.3.3. Přestože 10.3.1 a 10.3.2 mají identickou strukturu a autorka se snaží poukázat na zajímavá zjištění, tato forma prezentace výsledků není šťastná a působí spíše chaoticky a nepřehledně, neboť vede ke zbytečnému opakování informací (např. charakteristika </w:t>
      </w:r>
      <w:r>
        <w:rPr>
          <w:i/>
        </w:rPr>
        <w:t>interpersonální</w:t>
      </w:r>
      <w:r w:rsidRPr="008C5661">
        <w:rPr>
          <w:i/>
        </w:rPr>
        <w:t xml:space="preserve"> </w:t>
      </w:r>
      <w:r>
        <w:rPr>
          <w:i/>
        </w:rPr>
        <w:t>funkce</w:t>
      </w:r>
      <w:r>
        <w:t xml:space="preserve"> nebo </w:t>
      </w:r>
      <w:r w:rsidR="00917DE3">
        <w:rPr>
          <w:i/>
        </w:rPr>
        <w:t>atenuace zaměřené</w:t>
      </w:r>
      <w:r>
        <w:rPr>
          <w:i/>
        </w:rPr>
        <w:t xml:space="preserve"> na autora</w:t>
      </w:r>
      <w:r>
        <w:t>). Bylo by přínosnější, pokud by funkce/užití prostředků atenuace byly řešeny celkově, ne v každé podkapitole (viz. 10.3.1.1 a 10.3.1.2). Oceňuji porovnání s vý</w:t>
      </w:r>
      <w:r w:rsidR="00AB23A4">
        <w:t xml:space="preserve">sledky studie </w:t>
      </w:r>
      <w:proofErr w:type="spellStart"/>
      <w:r w:rsidR="00AB23A4">
        <w:t>Hylanda</w:t>
      </w:r>
      <w:proofErr w:type="spellEnd"/>
      <w:r w:rsidR="00AB23A4">
        <w:t xml:space="preserve"> (str. 63 a</w:t>
      </w:r>
      <w:r>
        <w:t xml:space="preserve"> 64).</w:t>
      </w:r>
    </w:p>
    <w:p w:rsidR="00CC1E1C" w:rsidRDefault="00CC1E1C" w:rsidP="00CC1E1C">
      <w:pPr>
        <w:jc w:val="both"/>
      </w:pPr>
      <w:r>
        <w:t xml:space="preserve">V analytické části se objevují nesrovnalosti a sporné body, především u zhodnocení funkcí/užití atenuace a jasného vymezení forem prostředků atenuace, které jsou/nejsou do analýzy zahrnuty (viz. </w:t>
      </w:r>
      <w:proofErr w:type="gramStart"/>
      <w:r>
        <w:t>níže</w:t>
      </w:r>
      <w:proofErr w:type="gramEnd"/>
      <w:r>
        <w:t>)</w:t>
      </w:r>
    </w:p>
    <w:p w:rsidR="00CC1E1C" w:rsidRDefault="00CC1E1C" w:rsidP="00CC1E1C">
      <w:r w:rsidRPr="00901AC8">
        <w:rPr>
          <w:b/>
        </w:rPr>
        <w:t xml:space="preserve">Návrh otázek pro diskusi při obhajobě: </w:t>
      </w:r>
    </w:p>
    <w:p w:rsidR="00CC1E1C" w:rsidRDefault="00CC1E1C" w:rsidP="00CC1E1C">
      <w:pPr>
        <w:jc w:val="both"/>
      </w:pPr>
      <w:r>
        <w:t>Z analýzy vyplývá několik otázek, které by měly být v průběhu obhajoby zodpovězeny:</w:t>
      </w:r>
    </w:p>
    <w:p w:rsidR="00CC1E1C" w:rsidRDefault="00CC1E1C" w:rsidP="00CC1E1C">
      <w:pPr>
        <w:pStyle w:val="Odstavecseseznamem"/>
        <w:numPr>
          <w:ilvl w:val="0"/>
          <w:numId w:val="1"/>
        </w:numPr>
        <w:jc w:val="both"/>
      </w:pPr>
      <w:r>
        <w:t xml:space="preserve">Jak již bylo uvedeno, diskutabilním bodem práce je vymezení a následné hodnocení funkcí/užití prostředků atenuace, např. na str. 34 a v tabulce 2 (str. 54) je následující kvantitativní zhodnocení funkcí </w:t>
      </w:r>
      <w:proofErr w:type="spellStart"/>
      <w:r>
        <w:rPr>
          <w:i/>
        </w:rPr>
        <w:t>hedges</w:t>
      </w:r>
      <w:proofErr w:type="spellEnd"/>
      <w:r>
        <w:t xml:space="preserve">: 91% reliability, 26% </w:t>
      </w:r>
      <w:proofErr w:type="spellStart"/>
      <w:r>
        <w:t>writer-oriented</w:t>
      </w:r>
      <w:proofErr w:type="spellEnd"/>
      <w:r>
        <w:t xml:space="preserve">, 9% </w:t>
      </w:r>
      <w:proofErr w:type="spellStart"/>
      <w:r>
        <w:t>attributive</w:t>
      </w:r>
      <w:proofErr w:type="spellEnd"/>
      <w:r>
        <w:t xml:space="preserve">, 2% </w:t>
      </w:r>
      <w:proofErr w:type="spellStart"/>
      <w:r>
        <w:t>reader-oriented</w:t>
      </w:r>
      <w:proofErr w:type="spellEnd"/>
      <w:r>
        <w:t>. Znamená toto hodnocení, že téměř všechny výskyty lze klasifikovat jako zaměřené na obsah výpovědi (reliability) a některé zároveň i na autora (</w:t>
      </w:r>
      <w:proofErr w:type="spellStart"/>
      <w:r>
        <w:t>writer-oriented</w:t>
      </w:r>
      <w:proofErr w:type="spellEnd"/>
      <w:r>
        <w:t xml:space="preserve">)? Na str. 37 a 43 je naznačeno, že prostředky zaměřené na obsah výpovědi byly klasifikovány zároveň i jako zaměřené na autora, pokud byly použity v pasivu. Jak </w:t>
      </w:r>
      <w:proofErr w:type="gramStart"/>
      <w:r>
        <w:t>byla</w:t>
      </w:r>
      <w:proofErr w:type="gramEnd"/>
      <w:r>
        <w:t xml:space="preserve"> např. klasifikována pasivní struktura </w:t>
      </w:r>
      <w:proofErr w:type="gramStart"/>
      <w:r w:rsidRPr="005B7103">
        <w:rPr>
          <w:i/>
        </w:rPr>
        <w:t>are</w:t>
      </w:r>
      <w:proofErr w:type="gramEnd"/>
      <w:r w:rsidRPr="005B7103">
        <w:rPr>
          <w:i/>
        </w:rPr>
        <w:t xml:space="preserve"> </w:t>
      </w:r>
      <w:proofErr w:type="spellStart"/>
      <w:r w:rsidRPr="005B7103">
        <w:rPr>
          <w:i/>
        </w:rPr>
        <w:t>believed</w:t>
      </w:r>
      <w:proofErr w:type="spellEnd"/>
      <w:r>
        <w:t>?</w:t>
      </w:r>
    </w:p>
    <w:p w:rsidR="00CC1E1C" w:rsidRDefault="00CC1E1C" w:rsidP="00CC1E1C">
      <w:pPr>
        <w:pStyle w:val="Odstavecseseznamem"/>
        <w:jc w:val="both"/>
      </w:pPr>
      <w:r>
        <w:t xml:space="preserve">Jaká byla kritéria hodnocení funkcí jednotlivých výskytů? Kolik bylo výskytů, které plnily více funkcí najednou? </w:t>
      </w:r>
    </w:p>
    <w:p w:rsidR="00CC1E1C" w:rsidRDefault="0066427C" w:rsidP="00CC1E1C">
      <w:pPr>
        <w:pStyle w:val="Odstavecseseznamem"/>
        <w:numPr>
          <w:ilvl w:val="0"/>
          <w:numId w:val="1"/>
        </w:numPr>
        <w:jc w:val="both"/>
      </w:pPr>
      <w:r>
        <w:t>P</w:t>
      </w:r>
      <w:r w:rsidR="00CC1E1C">
        <w:t xml:space="preserve">roblematickým bodem práce je </w:t>
      </w:r>
      <w:r>
        <w:t xml:space="preserve">rovněž </w:t>
      </w:r>
      <w:r w:rsidR="00CC1E1C">
        <w:t xml:space="preserve">nejasné vymezení forem, které </w:t>
      </w:r>
      <w:r w:rsidR="00917DE3">
        <w:t>jsou užity</w:t>
      </w:r>
      <w:r w:rsidR="00CC1E1C">
        <w:t xml:space="preserve"> jako prostředky atenuace. Není zřejmé, na základě jakých kritérií byly hodnoceny lexikální prostředky atenuace, protože při zběžném projití přiloženého ko</w:t>
      </w:r>
      <w:r w:rsidR="00917DE3">
        <w:t>rpusu se objevují nesrovnalosti:</w:t>
      </w:r>
      <w:r w:rsidR="00CC1E1C">
        <w:t xml:space="preserve"> do analýzy jsou zahrnuty výrazy </w:t>
      </w:r>
      <w:r w:rsidR="00CC1E1C" w:rsidRPr="00917DE3">
        <w:rPr>
          <w:i/>
          <w:lang w:val="en-GB"/>
        </w:rPr>
        <w:t>suggest</w:t>
      </w:r>
      <w:r w:rsidR="00CC1E1C" w:rsidRPr="00917DE3">
        <w:rPr>
          <w:lang w:val="en-GB"/>
        </w:rPr>
        <w:t xml:space="preserve">, </w:t>
      </w:r>
      <w:r w:rsidR="00CC1E1C" w:rsidRPr="00917DE3">
        <w:rPr>
          <w:i/>
          <w:lang w:val="en-GB"/>
        </w:rPr>
        <w:t>suggestion</w:t>
      </w:r>
      <w:r w:rsidR="00CC1E1C" w:rsidRPr="00917DE3">
        <w:rPr>
          <w:lang w:val="en-GB"/>
        </w:rPr>
        <w:t xml:space="preserve">, </w:t>
      </w:r>
      <w:r w:rsidR="00CC1E1C" w:rsidRPr="00917DE3">
        <w:rPr>
          <w:i/>
          <w:lang w:val="en-GB"/>
        </w:rPr>
        <w:t>propose</w:t>
      </w:r>
      <w:r w:rsidR="00CC1E1C">
        <w:t xml:space="preserve">; analyzovány však nejsou např. </w:t>
      </w:r>
      <w:proofErr w:type="spellStart"/>
      <w:r w:rsidR="00CC1E1C" w:rsidRPr="009A569F">
        <w:rPr>
          <w:i/>
          <w:color w:val="000000" w:themeColor="text1"/>
        </w:rPr>
        <w:t>argue</w:t>
      </w:r>
      <w:proofErr w:type="spellEnd"/>
      <w:r w:rsidR="00CC1E1C" w:rsidRPr="009A569F">
        <w:rPr>
          <w:color w:val="000000" w:themeColor="text1"/>
        </w:rPr>
        <w:t xml:space="preserve"> (</w:t>
      </w:r>
      <w:proofErr w:type="spellStart"/>
      <w:r w:rsidR="00CC1E1C" w:rsidRPr="009A569F">
        <w:rPr>
          <w:color w:val="000000" w:themeColor="text1"/>
        </w:rPr>
        <w:t>App</w:t>
      </w:r>
      <w:proofErr w:type="spellEnd"/>
      <w:r w:rsidR="00CC1E1C" w:rsidRPr="009A569F">
        <w:rPr>
          <w:color w:val="000000" w:themeColor="text1"/>
        </w:rPr>
        <w:t xml:space="preserve"> 1, př. 10; 14.2 abstrakt 18, 29; 15.2 abstrakt 9, 11), </w:t>
      </w:r>
      <w:proofErr w:type="spellStart"/>
      <w:r w:rsidR="00CC1E1C" w:rsidRPr="009A569F">
        <w:rPr>
          <w:i/>
          <w:color w:val="000000" w:themeColor="text1"/>
        </w:rPr>
        <w:t>suggesting</w:t>
      </w:r>
      <w:proofErr w:type="spellEnd"/>
      <w:r w:rsidR="00CC1E1C" w:rsidRPr="009A569F">
        <w:rPr>
          <w:color w:val="000000" w:themeColor="text1"/>
        </w:rPr>
        <w:t xml:space="preserve"> </w:t>
      </w:r>
      <w:r w:rsidR="00917DE3">
        <w:rPr>
          <w:color w:val="000000" w:themeColor="text1"/>
        </w:rPr>
        <w:t>+</w:t>
      </w:r>
      <w:r w:rsidR="00CC1E1C" w:rsidRPr="009A569F">
        <w:rPr>
          <w:color w:val="000000" w:themeColor="text1"/>
        </w:rPr>
        <w:t xml:space="preserve"> </w:t>
      </w:r>
      <w:proofErr w:type="spellStart"/>
      <w:r w:rsidR="00CC1E1C" w:rsidRPr="009A569F">
        <w:rPr>
          <w:i/>
          <w:color w:val="000000" w:themeColor="text1"/>
        </w:rPr>
        <w:t>which</w:t>
      </w:r>
      <w:proofErr w:type="spellEnd"/>
      <w:r w:rsidR="00CC1E1C" w:rsidRPr="009A569F">
        <w:rPr>
          <w:i/>
          <w:color w:val="000000" w:themeColor="text1"/>
        </w:rPr>
        <w:t xml:space="preserve"> </w:t>
      </w:r>
      <w:proofErr w:type="spellStart"/>
      <w:r w:rsidR="00CC1E1C" w:rsidRPr="009A569F">
        <w:rPr>
          <w:i/>
          <w:color w:val="000000" w:themeColor="text1"/>
        </w:rPr>
        <w:t>indicates</w:t>
      </w:r>
      <w:proofErr w:type="spellEnd"/>
      <w:r w:rsidR="00CC1E1C" w:rsidRPr="009A569F">
        <w:rPr>
          <w:color w:val="000000" w:themeColor="text1"/>
        </w:rPr>
        <w:t xml:space="preserve"> (</w:t>
      </w:r>
      <w:proofErr w:type="spellStart"/>
      <w:r w:rsidR="00CC1E1C" w:rsidRPr="009A569F">
        <w:rPr>
          <w:color w:val="000000" w:themeColor="text1"/>
        </w:rPr>
        <w:t>App</w:t>
      </w:r>
      <w:proofErr w:type="spellEnd"/>
      <w:r w:rsidR="00CC1E1C" w:rsidRPr="009A569F">
        <w:rPr>
          <w:color w:val="000000" w:themeColor="text1"/>
        </w:rPr>
        <w:t xml:space="preserve"> 1 př. 46), </w:t>
      </w:r>
      <w:proofErr w:type="spellStart"/>
      <w:r w:rsidR="00CC1E1C" w:rsidRPr="009A569F">
        <w:rPr>
          <w:i/>
          <w:color w:val="000000" w:themeColor="text1"/>
        </w:rPr>
        <w:t>it</w:t>
      </w:r>
      <w:proofErr w:type="spellEnd"/>
      <w:r w:rsidR="00CC1E1C" w:rsidRPr="009A569F">
        <w:rPr>
          <w:i/>
          <w:color w:val="000000" w:themeColor="text1"/>
        </w:rPr>
        <w:t xml:space="preserve"> </w:t>
      </w:r>
      <w:proofErr w:type="spellStart"/>
      <w:r w:rsidR="00CC1E1C" w:rsidRPr="009A569F">
        <w:rPr>
          <w:i/>
          <w:color w:val="000000" w:themeColor="text1"/>
        </w:rPr>
        <w:t>was</w:t>
      </w:r>
      <w:proofErr w:type="spellEnd"/>
      <w:r w:rsidR="00CC1E1C" w:rsidRPr="009A569F">
        <w:rPr>
          <w:i/>
          <w:color w:val="000000" w:themeColor="text1"/>
        </w:rPr>
        <w:t xml:space="preserve"> </w:t>
      </w:r>
      <w:proofErr w:type="spellStart"/>
      <w:r w:rsidR="00CC1E1C" w:rsidRPr="009A569F">
        <w:rPr>
          <w:i/>
          <w:color w:val="000000" w:themeColor="text1"/>
        </w:rPr>
        <w:t>hypothesized</w:t>
      </w:r>
      <w:proofErr w:type="spellEnd"/>
      <w:r w:rsidR="00CC1E1C" w:rsidRPr="009A569F">
        <w:rPr>
          <w:color w:val="000000" w:themeColor="text1"/>
        </w:rPr>
        <w:t xml:space="preserve"> (</w:t>
      </w:r>
      <w:proofErr w:type="spellStart"/>
      <w:r w:rsidR="00CC1E1C" w:rsidRPr="009A569F">
        <w:rPr>
          <w:color w:val="000000" w:themeColor="text1"/>
        </w:rPr>
        <w:t>App</w:t>
      </w:r>
      <w:proofErr w:type="spellEnd"/>
      <w:r w:rsidR="00CC1E1C" w:rsidRPr="009A569F">
        <w:rPr>
          <w:color w:val="000000" w:themeColor="text1"/>
        </w:rPr>
        <w:t xml:space="preserve"> 1 př. 19),  </w:t>
      </w:r>
      <w:proofErr w:type="spellStart"/>
      <w:r w:rsidR="00CC1E1C" w:rsidRPr="009A569F">
        <w:rPr>
          <w:i/>
          <w:color w:val="000000" w:themeColor="text1"/>
        </w:rPr>
        <w:t>attempt</w:t>
      </w:r>
      <w:proofErr w:type="spellEnd"/>
      <w:r w:rsidR="00CC1E1C" w:rsidRPr="009A569F">
        <w:rPr>
          <w:color w:val="000000" w:themeColor="text1"/>
        </w:rPr>
        <w:t xml:space="preserve"> (14.2 abstrakt 10)</w:t>
      </w:r>
    </w:p>
    <w:p w:rsidR="00CC1E1C" w:rsidRPr="00B80716" w:rsidRDefault="00CC1E1C" w:rsidP="00CC1E1C">
      <w:pPr>
        <w:pStyle w:val="Odstavecseseznamem"/>
        <w:numPr>
          <w:ilvl w:val="0"/>
          <w:numId w:val="1"/>
        </w:numPr>
        <w:jc w:val="both"/>
        <w:rPr>
          <w:color w:val="000000" w:themeColor="text1"/>
        </w:rPr>
      </w:pPr>
      <w:r>
        <w:t xml:space="preserve">V porovnání užití prostředků atenuace rodilými a nerodilými mluvčími (10.3.3) autorka uvádí: </w:t>
      </w:r>
      <w:r w:rsidR="00917DE3">
        <w:rPr>
          <w:lang w:val="en-GB"/>
        </w:rPr>
        <w:t>“</w:t>
      </w:r>
      <w:r w:rsidRPr="00917DE3">
        <w:rPr>
          <w:i/>
          <w:lang w:val="en-GB"/>
        </w:rPr>
        <w:t>Non-native speakers of English are on an advanced level concerning their pragmatic competence</w:t>
      </w:r>
      <w:r w:rsidRPr="00917DE3">
        <w:rPr>
          <w:lang w:val="en-GB"/>
        </w:rPr>
        <w:t>“.</w:t>
      </w:r>
      <w:r>
        <w:t xml:space="preserve"> Považujete toto zjištění za jeden z hlavních důvodů vyššího počtu výskytu prostředků atenuace? (viz. </w:t>
      </w:r>
      <w:proofErr w:type="gramStart"/>
      <w:r>
        <w:t>např.</w:t>
      </w:r>
      <w:proofErr w:type="gramEnd"/>
      <w:r>
        <w:t xml:space="preserve"> </w:t>
      </w:r>
      <w:proofErr w:type="spellStart"/>
      <w:r>
        <w:t>App</w:t>
      </w:r>
      <w:proofErr w:type="spellEnd"/>
      <w:r>
        <w:t xml:space="preserve"> 1 </w:t>
      </w:r>
      <w:r w:rsidRPr="00B80716">
        <w:rPr>
          <w:color w:val="000000" w:themeColor="text1"/>
        </w:rPr>
        <w:t>abstrakt</w:t>
      </w:r>
      <w:r w:rsidR="00917DE3">
        <w:rPr>
          <w:color w:val="000000" w:themeColor="text1"/>
        </w:rPr>
        <w:t>y</w:t>
      </w:r>
      <w:r w:rsidRPr="00B80716">
        <w:rPr>
          <w:color w:val="000000" w:themeColor="text1"/>
        </w:rPr>
        <w:t xml:space="preserve"> 39, 26)</w:t>
      </w:r>
    </w:p>
    <w:p w:rsidR="00CC1E1C" w:rsidRPr="00B765BA" w:rsidRDefault="00CC1E1C" w:rsidP="00CC1E1C">
      <w:pPr>
        <w:pStyle w:val="Odstavecseseznamem"/>
        <w:numPr>
          <w:ilvl w:val="0"/>
          <w:numId w:val="1"/>
        </w:numPr>
        <w:jc w:val="both"/>
      </w:pPr>
      <w:r w:rsidRPr="00B765BA">
        <w:t>V</w:t>
      </w:r>
      <w:r>
        <w:t xml:space="preserve"> práci se objevují </w:t>
      </w:r>
      <w:r w:rsidR="0066427C">
        <w:t>nesrovnalosti</w:t>
      </w:r>
      <w:r>
        <w:t xml:space="preserve"> týkající se </w:t>
      </w:r>
      <w:r w:rsidR="00917DE3">
        <w:t xml:space="preserve">interpretace </w:t>
      </w:r>
      <w:r>
        <w:t xml:space="preserve">modálního slovesa </w:t>
      </w:r>
      <w:proofErr w:type="spellStart"/>
      <w:r w:rsidRPr="00B765BA">
        <w:rPr>
          <w:i/>
        </w:rPr>
        <w:t>can</w:t>
      </w:r>
      <w:proofErr w:type="spellEnd"/>
      <w:r w:rsidRPr="00B765BA">
        <w:rPr>
          <w:i/>
        </w:rPr>
        <w:t xml:space="preserve">. </w:t>
      </w:r>
      <w:r>
        <w:t>Na str. 23 se pojednává o epistemickém</w:t>
      </w:r>
      <w:r w:rsidRPr="00B765BA">
        <w:rPr>
          <w:i/>
        </w:rPr>
        <w:t xml:space="preserve"> </w:t>
      </w:r>
      <w:proofErr w:type="spellStart"/>
      <w:r w:rsidRPr="00B765BA">
        <w:rPr>
          <w:i/>
        </w:rPr>
        <w:t>can</w:t>
      </w:r>
      <w:proofErr w:type="spellEnd"/>
      <w:r>
        <w:t xml:space="preserve">, na str. 45 je hodnoceno </w:t>
      </w:r>
      <w:proofErr w:type="spellStart"/>
      <w:r>
        <w:t>neepistemické</w:t>
      </w:r>
      <w:proofErr w:type="spellEnd"/>
      <w:r>
        <w:t xml:space="preserve"> </w:t>
      </w:r>
      <w:proofErr w:type="spellStart"/>
      <w:r w:rsidRPr="00B765BA">
        <w:rPr>
          <w:i/>
        </w:rPr>
        <w:t>can</w:t>
      </w:r>
      <w:proofErr w:type="spellEnd"/>
      <w:r w:rsidRPr="00B765BA">
        <w:rPr>
          <w:i/>
        </w:rPr>
        <w:t xml:space="preserve"> </w:t>
      </w:r>
      <w:r w:rsidRPr="00B765BA">
        <w:t>a</w:t>
      </w:r>
      <w:r w:rsidRPr="00B765BA">
        <w:rPr>
          <w:i/>
        </w:rPr>
        <w:t xml:space="preserve"> </w:t>
      </w:r>
      <w:r>
        <w:t>jeho užití v pasivu</w:t>
      </w:r>
      <w:r w:rsidRPr="00B765BA">
        <w:rPr>
          <w:i/>
        </w:rPr>
        <w:t xml:space="preserve">, </w:t>
      </w:r>
      <w:r w:rsidRPr="00B765BA">
        <w:t xml:space="preserve">na str. 53 je </w:t>
      </w:r>
      <w:proofErr w:type="spellStart"/>
      <w:r w:rsidRPr="00B765BA">
        <w:rPr>
          <w:i/>
        </w:rPr>
        <w:t>can</w:t>
      </w:r>
      <w:proofErr w:type="spellEnd"/>
      <w:r w:rsidRPr="00B765BA">
        <w:t xml:space="preserve"> </w:t>
      </w:r>
      <w:r>
        <w:t xml:space="preserve">(i </w:t>
      </w:r>
      <w:r w:rsidRPr="00B765BA">
        <w:t>v</w:t>
      </w:r>
      <w:r>
        <w:t> </w:t>
      </w:r>
      <w:r w:rsidRPr="00B765BA">
        <w:t>pasivu</w:t>
      </w:r>
      <w:r>
        <w:t>)</w:t>
      </w:r>
      <w:r w:rsidRPr="00B765BA">
        <w:t xml:space="preserve"> </w:t>
      </w:r>
      <w:r>
        <w:t xml:space="preserve">interpretováno jako epistemické. Jak lze interpretovat sloveso </w:t>
      </w:r>
      <w:proofErr w:type="spellStart"/>
      <w:r w:rsidRPr="00B765BA">
        <w:rPr>
          <w:i/>
        </w:rPr>
        <w:t>can</w:t>
      </w:r>
      <w:proofErr w:type="spellEnd"/>
      <w:r w:rsidRPr="00B765BA">
        <w:rPr>
          <w:i/>
        </w:rPr>
        <w:t xml:space="preserve"> </w:t>
      </w:r>
      <w:r>
        <w:t>(epistemické/</w:t>
      </w:r>
      <w:proofErr w:type="spellStart"/>
      <w:r>
        <w:t>neepistemické</w:t>
      </w:r>
      <w:proofErr w:type="spellEnd"/>
      <w:r>
        <w:t>)? V jakém významu je považováno za prostředek atenuace?</w:t>
      </w:r>
    </w:p>
    <w:p w:rsidR="00AB23A4" w:rsidRPr="00901AC8" w:rsidRDefault="00AB23A4" w:rsidP="00CC1E1C">
      <w:pPr>
        <w:rPr>
          <w:sz w:val="6"/>
          <w:szCs w:val="6"/>
        </w:rPr>
      </w:pPr>
    </w:p>
    <w:p w:rsidR="00CC1E1C" w:rsidRDefault="00CC1E1C" w:rsidP="00CC1E1C">
      <w:r>
        <w:t xml:space="preserve">Na základě výše uvedeného navrhuji hodnocení </w:t>
      </w:r>
      <w:r w:rsidRPr="0065258E">
        <w:rPr>
          <w:b/>
        </w:rPr>
        <w:t>C (</w:t>
      </w:r>
      <w:r w:rsidRPr="00901AC8">
        <w:rPr>
          <w:b/>
        </w:rPr>
        <w:t>velmi dobře</w:t>
      </w:r>
      <w:r>
        <w:rPr>
          <w:b/>
        </w:rPr>
        <w:t>)</w:t>
      </w:r>
      <w:r>
        <w:t xml:space="preserve"> a doporučuji práci k obhajobě.</w:t>
      </w:r>
    </w:p>
    <w:p w:rsidR="00CC1E1C" w:rsidRDefault="00CC1E1C" w:rsidP="00CC1E1C"/>
    <w:p w:rsidR="002148BA" w:rsidRDefault="00CC1E1C">
      <w:r>
        <w:t xml:space="preserve">V Pardubicích, </w:t>
      </w:r>
      <w:proofErr w:type="gramStart"/>
      <w:r>
        <w:t>14.5.2018</w:t>
      </w:r>
      <w:proofErr w:type="gramEnd"/>
      <w:r>
        <w:tab/>
      </w:r>
      <w:r>
        <w:tab/>
      </w:r>
      <w:r>
        <w:tab/>
      </w:r>
      <w:r>
        <w:tab/>
      </w:r>
      <w:r w:rsidR="00917DE3">
        <w:t xml:space="preserve">                                </w:t>
      </w:r>
      <w:r>
        <w:t>PhDr. Petra Huschová, Ph.D.</w:t>
      </w:r>
      <w:bookmarkStart w:id="0" w:name="_GoBack"/>
      <w:bookmarkEnd w:id="0"/>
    </w:p>
    <w:sectPr w:rsidR="002148BA" w:rsidSect="004A258F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973B4F"/>
    <w:multiLevelType w:val="hybridMultilevel"/>
    <w:tmpl w:val="FDD448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E1C"/>
    <w:rsid w:val="002148BA"/>
    <w:rsid w:val="005E37C5"/>
    <w:rsid w:val="0066427C"/>
    <w:rsid w:val="00917DE3"/>
    <w:rsid w:val="00AB23A4"/>
    <w:rsid w:val="00CC1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C1E1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1E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C1E1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1E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908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spravce</cp:lastModifiedBy>
  <cp:revision>4</cp:revision>
  <dcterms:created xsi:type="dcterms:W3CDTF">2018-05-18T07:25:00Z</dcterms:created>
  <dcterms:modified xsi:type="dcterms:W3CDTF">2018-05-21T07:09:00Z</dcterms:modified>
</cp:coreProperties>
</file>