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6284" w:rsidRDefault="00F76284" w:rsidP="00F76284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Doc. PhDr. Oldřich Kašpar, CSc.</w:t>
      </w:r>
    </w:p>
    <w:p w:rsidR="00F76284" w:rsidRDefault="00F76284" w:rsidP="00F76284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KSV FF</w:t>
      </w:r>
    </w:p>
    <w:p w:rsidR="00F76284" w:rsidRDefault="00F76284" w:rsidP="00F76284">
      <w:pPr>
        <w:spacing w:line="276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Univerzita Pardubice</w:t>
      </w:r>
    </w:p>
    <w:p w:rsidR="00F76284" w:rsidRDefault="00F76284" w:rsidP="00F76284">
      <w:pPr>
        <w:spacing w:line="360" w:lineRule="auto"/>
        <w:jc w:val="both"/>
        <w:rPr>
          <w:rFonts w:ascii="Book Antiqua" w:hAnsi="Book Antiqua"/>
          <w:b/>
          <w:sz w:val="20"/>
          <w:szCs w:val="20"/>
        </w:rPr>
      </w:pPr>
    </w:p>
    <w:p w:rsidR="00F76284" w:rsidRDefault="00F76284" w:rsidP="00F76284">
      <w:pPr>
        <w:spacing w:line="360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POSUDEK BAKALÁŘSKÉ PRÁCE</w:t>
      </w:r>
    </w:p>
    <w:p w:rsidR="00F76284" w:rsidRDefault="00F76284" w:rsidP="00F76284">
      <w:pPr>
        <w:spacing w:line="360" w:lineRule="auto"/>
        <w:jc w:val="both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 xml:space="preserve">Jana Radoňová, </w:t>
      </w:r>
      <w:r>
        <w:rPr>
          <w:rFonts w:ascii="Book Antiqua" w:hAnsi="Book Antiqua"/>
          <w:b/>
          <w:i/>
          <w:sz w:val="20"/>
          <w:szCs w:val="20"/>
        </w:rPr>
        <w:t>Drogová závislost jako životní styl mladých lidí</w:t>
      </w:r>
      <w:r>
        <w:rPr>
          <w:rFonts w:ascii="Book Antiqua" w:hAnsi="Book Antiqua"/>
          <w:sz w:val="20"/>
          <w:szCs w:val="20"/>
        </w:rPr>
        <w:t xml:space="preserve">, </w:t>
      </w:r>
      <w:r>
        <w:rPr>
          <w:rFonts w:ascii="Book Antiqua" w:hAnsi="Book Antiqua"/>
          <w:b/>
          <w:sz w:val="20"/>
          <w:szCs w:val="20"/>
        </w:rPr>
        <w:t>bakalářská práce, Pardubice 2015, 45 s.</w:t>
      </w:r>
    </w:p>
    <w:p w:rsidR="00F76284" w:rsidRDefault="00F76284" w:rsidP="00F76284">
      <w:pPr>
        <w:spacing w:before="100" w:beforeAutospacing="1" w:after="100" w:afterAutospacing="1" w:line="360" w:lineRule="auto"/>
        <w:jc w:val="both"/>
        <w:outlineLvl w:val="2"/>
        <w:rPr>
          <w:rFonts w:ascii="Book Antiqua" w:hAnsi="Book Antiqua"/>
          <w:bCs/>
          <w:sz w:val="20"/>
          <w:szCs w:val="20"/>
        </w:rPr>
      </w:pPr>
      <w:r>
        <w:rPr>
          <w:rFonts w:ascii="Book Antiqua" w:hAnsi="Book Antiqua"/>
          <w:b/>
          <w:bCs/>
          <w:sz w:val="20"/>
          <w:szCs w:val="20"/>
        </w:rPr>
        <w:t xml:space="preserve">     </w:t>
      </w:r>
      <w:r>
        <w:rPr>
          <w:rFonts w:ascii="Book Antiqua" w:hAnsi="Book Antiqua"/>
          <w:bCs/>
          <w:sz w:val="20"/>
          <w:szCs w:val="20"/>
        </w:rPr>
        <w:t xml:space="preserve">Práce Jany Radoňové se zabývá vysoce aktuálním tématem (stačí např. připomenout </w:t>
      </w:r>
      <w:r>
        <w:rPr>
          <w:rFonts w:ascii="Book Antiqua" w:hAnsi="Book Antiqua"/>
          <w:bCs/>
          <w:i/>
          <w:sz w:val="20"/>
          <w:szCs w:val="20"/>
        </w:rPr>
        <w:t>časosběrný</w:t>
      </w:r>
      <w:r>
        <w:rPr>
          <w:rFonts w:ascii="Book Antiqua" w:hAnsi="Book Antiqua"/>
          <w:bCs/>
          <w:sz w:val="20"/>
          <w:szCs w:val="20"/>
        </w:rPr>
        <w:t xml:space="preserve"> dokument Heleny Třeštíkové </w:t>
      </w:r>
      <w:r>
        <w:rPr>
          <w:rFonts w:ascii="Book Antiqua" w:hAnsi="Book Antiqua"/>
          <w:bCs/>
          <w:i/>
          <w:sz w:val="20"/>
          <w:szCs w:val="20"/>
        </w:rPr>
        <w:t>Katka</w:t>
      </w:r>
      <w:r>
        <w:rPr>
          <w:rFonts w:ascii="Book Antiqua" w:hAnsi="Book Antiqua"/>
          <w:bCs/>
          <w:sz w:val="20"/>
          <w:szCs w:val="20"/>
        </w:rPr>
        <w:t>, 2009, kdy známá režiserka 14 let sledovala příběh narkomanky ve všech jeho peripetiích)</w:t>
      </w:r>
      <w:r>
        <w:rPr>
          <w:rFonts w:ascii="Book Antiqua" w:hAnsi="Book Antiqua"/>
          <w:bCs/>
          <w:i/>
          <w:sz w:val="20"/>
          <w:szCs w:val="20"/>
        </w:rPr>
        <w:t xml:space="preserve"> </w:t>
      </w:r>
      <w:r>
        <w:rPr>
          <w:rFonts w:ascii="Book Antiqua" w:hAnsi="Book Antiqua"/>
          <w:bCs/>
          <w:sz w:val="20"/>
          <w:szCs w:val="20"/>
        </w:rPr>
        <w:t xml:space="preserve">a je zapotřebí ocenit ne vždy obvyklou proporcionalitu celé práce, slušnou úroveň </w:t>
      </w:r>
      <w:r>
        <w:rPr>
          <w:rFonts w:ascii="Book Antiqua" w:hAnsi="Book Antiqua"/>
          <w:bCs/>
          <w:i/>
          <w:sz w:val="20"/>
          <w:szCs w:val="20"/>
        </w:rPr>
        <w:t>nakládání</w:t>
      </w:r>
      <w:r>
        <w:rPr>
          <w:rFonts w:ascii="Book Antiqua" w:hAnsi="Book Antiqua"/>
          <w:bCs/>
          <w:sz w:val="20"/>
          <w:szCs w:val="20"/>
        </w:rPr>
        <w:t xml:space="preserve"> s prameny. Jazyková stránka je poněkud horší, nikoliv však tragická. Další ocenění si nepochybně zasluhuje</w:t>
      </w:r>
      <w:r>
        <w:rPr>
          <w:rFonts w:ascii="Book Antiqua" w:hAnsi="Book Antiqua"/>
          <w:bCs/>
          <w:i/>
          <w:sz w:val="20"/>
          <w:szCs w:val="20"/>
        </w:rPr>
        <w:t xml:space="preserve"> </w:t>
      </w:r>
      <w:r>
        <w:rPr>
          <w:rFonts w:ascii="Book Antiqua" w:hAnsi="Book Antiqua"/>
          <w:bCs/>
          <w:sz w:val="20"/>
          <w:szCs w:val="20"/>
        </w:rPr>
        <w:t xml:space="preserve">nelehká </w:t>
      </w:r>
      <w:r>
        <w:rPr>
          <w:rFonts w:ascii="Book Antiqua" w:hAnsi="Book Antiqua"/>
          <w:bCs/>
          <w:i/>
          <w:sz w:val="20"/>
          <w:szCs w:val="20"/>
        </w:rPr>
        <w:t>práce</w:t>
      </w:r>
      <w:r>
        <w:rPr>
          <w:rFonts w:ascii="Book Antiqua" w:hAnsi="Book Antiqua"/>
          <w:bCs/>
          <w:sz w:val="20"/>
          <w:szCs w:val="20"/>
        </w:rPr>
        <w:t xml:space="preserve"> s informátory. Formální úprava dobrá.</w:t>
      </w:r>
    </w:p>
    <w:p w:rsidR="00F76284" w:rsidRDefault="00F76284" w:rsidP="00F76284">
      <w:pPr>
        <w:spacing w:before="100" w:beforeAutospacing="1" w:after="100" w:afterAutospacing="1" w:line="360" w:lineRule="auto"/>
        <w:jc w:val="both"/>
        <w:outlineLvl w:val="2"/>
        <w:rPr>
          <w:rFonts w:ascii="Book Antiqua" w:hAnsi="Book Antiqua"/>
          <w:bCs/>
          <w:sz w:val="20"/>
          <w:szCs w:val="20"/>
        </w:rPr>
      </w:pPr>
      <w:r>
        <w:rPr>
          <w:rFonts w:ascii="Book Antiqua" w:hAnsi="Book Antiqua"/>
          <w:bCs/>
          <w:sz w:val="20"/>
          <w:szCs w:val="20"/>
        </w:rPr>
        <w:t xml:space="preserve">     Jediný, ovšem zásadní problém vidím ve skutečnosti, že ani tento text (stejně jako v případě Nikoly Urbánkové o </w:t>
      </w:r>
      <w:r>
        <w:rPr>
          <w:rFonts w:ascii="Book Antiqua" w:hAnsi="Book Antiqua"/>
          <w:bCs/>
          <w:i/>
          <w:sz w:val="20"/>
          <w:szCs w:val="20"/>
        </w:rPr>
        <w:t>oidipovském komplexu</w:t>
      </w:r>
      <w:r>
        <w:rPr>
          <w:rFonts w:ascii="Book Antiqua" w:hAnsi="Book Antiqua"/>
          <w:bCs/>
          <w:sz w:val="20"/>
          <w:szCs w:val="20"/>
        </w:rPr>
        <w:t>), nepřináší příliš nového, spíše potvrzuje jen to, co je vcelku obecně známo.</w:t>
      </w:r>
    </w:p>
    <w:p w:rsidR="00F76284" w:rsidRDefault="00F76284" w:rsidP="00F76284">
      <w:pPr>
        <w:spacing w:before="100" w:beforeAutospacing="1" w:after="100" w:afterAutospacing="1" w:line="360" w:lineRule="auto"/>
        <w:jc w:val="both"/>
        <w:outlineLvl w:val="2"/>
        <w:rPr>
          <w:rFonts w:ascii="Book Antiqua" w:hAnsi="Book Antiqua"/>
          <w:bCs/>
          <w:sz w:val="20"/>
          <w:szCs w:val="20"/>
        </w:rPr>
      </w:pPr>
      <w:r>
        <w:rPr>
          <w:rFonts w:ascii="Book Antiqua" w:hAnsi="Book Antiqua"/>
          <w:bCs/>
          <w:sz w:val="20"/>
          <w:szCs w:val="20"/>
        </w:rPr>
        <w:t xml:space="preserve">     Závěrečné konstatování – </w:t>
      </w:r>
      <w:r>
        <w:rPr>
          <w:rFonts w:ascii="Book Antiqua" w:hAnsi="Book Antiqua"/>
          <w:bCs/>
          <w:i/>
          <w:sz w:val="20"/>
          <w:szCs w:val="20"/>
        </w:rPr>
        <w:t xml:space="preserve">Moji informátoři berou drogu i přes všechny negativní aspekty jako svůj životní styl a drogu berou jako součást svého bytí a identity </w:t>
      </w:r>
      <w:r>
        <w:rPr>
          <w:rFonts w:ascii="Book Antiqua" w:hAnsi="Book Antiqua"/>
          <w:bCs/>
          <w:sz w:val="20"/>
          <w:szCs w:val="20"/>
        </w:rPr>
        <w:t xml:space="preserve">(neříká vskutku nic převratného, zvláště uvědomíme si, že jim droga doslova </w:t>
      </w:r>
      <w:r>
        <w:rPr>
          <w:rFonts w:ascii="Book Antiqua" w:hAnsi="Book Antiqua"/>
          <w:bCs/>
          <w:i/>
          <w:sz w:val="20"/>
          <w:szCs w:val="20"/>
        </w:rPr>
        <w:t>sebrala</w:t>
      </w:r>
      <w:r>
        <w:rPr>
          <w:rFonts w:ascii="Book Antiqua" w:hAnsi="Book Antiqua"/>
          <w:bCs/>
          <w:sz w:val="20"/>
          <w:szCs w:val="20"/>
        </w:rPr>
        <w:t xml:space="preserve"> původní identitu a </w:t>
      </w:r>
      <w:r>
        <w:rPr>
          <w:rFonts w:ascii="Book Antiqua" w:hAnsi="Book Antiqua"/>
          <w:bCs/>
          <w:i/>
          <w:sz w:val="20"/>
          <w:szCs w:val="20"/>
        </w:rPr>
        <w:t>vnutila</w:t>
      </w:r>
      <w:r>
        <w:rPr>
          <w:rFonts w:ascii="Book Antiqua" w:hAnsi="Book Antiqua"/>
          <w:bCs/>
          <w:sz w:val="20"/>
          <w:szCs w:val="20"/>
        </w:rPr>
        <w:t xml:space="preserve"> se místo ní).</w:t>
      </w:r>
    </w:p>
    <w:p w:rsidR="00F76284" w:rsidRDefault="00F76284" w:rsidP="00F76284">
      <w:pPr>
        <w:spacing w:before="100" w:beforeAutospacing="1" w:after="100" w:afterAutospacing="1" w:line="360" w:lineRule="auto"/>
        <w:jc w:val="both"/>
        <w:outlineLvl w:val="2"/>
        <w:rPr>
          <w:rFonts w:ascii="Book Antiqua" w:hAnsi="Book Antiqua"/>
          <w:bCs/>
          <w:sz w:val="20"/>
          <w:szCs w:val="20"/>
        </w:rPr>
      </w:pPr>
      <w:r>
        <w:rPr>
          <w:rFonts w:ascii="Book Antiqua" w:hAnsi="Book Antiqua"/>
          <w:bCs/>
          <w:sz w:val="20"/>
          <w:szCs w:val="20"/>
        </w:rPr>
        <w:t xml:space="preserve">     V této souvislosti jsem si vzpomněl na výrok jednoho ze svých mexických informátorů, když jsem se zabýval výzkumem jiné závislosti – alkoholismu. Ten jednou v našem rozhovoru pronesl vskutku </w:t>
      </w:r>
      <w:r>
        <w:rPr>
          <w:rFonts w:ascii="Book Antiqua" w:hAnsi="Book Antiqua"/>
          <w:bCs/>
          <w:i/>
          <w:sz w:val="20"/>
          <w:szCs w:val="20"/>
        </w:rPr>
        <w:t>památnou</w:t>
      </w:r>
      <w:r>
        <w:rPr>
          <w:rFonts w:ascii="Book Antiqua" w:hAnsi="Book Antiqua"/>
          <w:bCs/>
          <w:sz w:val="20"/>
          <w:szCs w:val="20"/>
        </w:rPr>
        <w:t xml:space="preserve"> větu:</w:t>
      </w:r>
    </w:p>
    <w:p w:rsidR="00F76284" w:rsidRDefault="00F76284" w:rsidP="00F76284">
      <w:pPr>
        <w:spacing w:before="100" w:beforeAutospacing="1" w:after="100" w:afterAutospacing="1" w:line="360" w:lineRule="auto"/>
        <w:jc w:val="both"/>
        <w:outlineLvl w:val="2"/>
        <w:rPr>
          <w:rFonts w:ascii="Book Antiqua" w:hAnsi="Book Antiqua"/>
          <w:bCs/>
          <w:i/>
          <w:sz w:val="20"/>
          <w:szCs w:val="20"/>
        </w:rPr>
      </w:pPr>
      <w:r>
        <w:rPr>
          <w:rFonts w:ascii="Book Antiqua" w:hAnsi="Book Antiqua"/>
          <w:bCs/>
          <w:sz w:val="20"/>
          <w:szCs w:val="20"/>
        </w:rPr>
        <w:t xml:space="preserve">     </w:t>
      </w:r>
      <w:r>
        <w:rPr>
          <w:rFonts w:ascii="Book Antiqua" w:hAnsi="Book Antiqua"/>
          <w:bCs/>
          <w:i/>
          <w:sz w:val="20"/>
          <w:szCs w:val="20"/>
        </w:rPr>
        <w:t>Rád si vezmu občas tequilu, ale nikdy nedovolím, aby si tequila vzala mne.</w:t>
      </w:r>
    </w:p>
    <w:p w:rsidR="00F76284" w:rsidRDefault="00F76284" w:rsidP="00F76284">
      <w:pPr>
        <w:spacing w:before="100" w:beforeAutospacing="1" w:after="100" w:afterAutospacing="1" w:line="360" w:lineRule="auto"/>
        <w:jc w:val="both"/>
        <w:outlineLvl w:val="2"/>
        <w:rPr>
          <w:rFonts w:ascii="Book Antiqua" w:hAnsi="Book Antiqua"/>
          <w:bCs/>
          <w:sz w:val="20"/>
          <w:szCs w:val="20"/>
        </w:rPr>
      </w:pPr>
      <w:r>
        <w:rPr>
          <w:rFonts w:ascii="Book Antiqua" w:hAnsi="Book Antiqua"/>
          <w:bCs/>
          <w:sz w:val="20"/>
          <w:szCs w:val="20"/>
        </w:rPr>
        <w:t xml:space="preserve">     I přes uvedené výtky práce s jistou (uvedenou) výhradou v zásadě odpovídá nárokům na tento typ textů kladeným a proto ji </w:t>
      </w:r>
      <w:r>
        <w:rPr>
          <w:rFonts w:ascii="Book Antiqua" w:hAnsi="Book Antiqua"/>
          <w:b/>
          <w:bCs/>
          <w:sz w:val="20"/>
          <w:szCs w:val="20"/>
        </w:rPr>
        <w:t xml:space="preserve">doporučuji </w:t>
      </w:r>
      <w:r>
        <w:rPr>
          <w:rFonts w:ascii="Book Antiqua" w:hAnsi="Book Antiqua"/>
          <w:bCs/>
          <w:sz w:val="20"/>
          <w:szCs w:val="20"/>
        </w:rPr>
        <w:t xml:space="preserve">k obhajobě s návrhem známky </w:t>
      </w:r>
      <w:r>
        <w:rPr>
          <w:rFonts w:ascii="Book Antiqua" w:hAnsi="Book Antiqua"/>
          <w:b/>
          <w:bCs/>
          <w:sz w:val="20"/>
          <w:szCs w:val="20"/>
        </w:rPr>
        <w:t xml:space="preserve">velmi dobře </w:t>
      </w:r>
      <w:r>
        <w:rPr>
          <w:rFonts w:ascii="Book Antiqua" w:hAnsi="Book Antiqua"/>
          <w:bCs/>
          <w:sz w:val="20"/>
          <w:szCs w:val="20"/>
        </w:rPr>
        <w:t xml:space="preserve">popřípadě </w:t>
      </w:r>
      <w:r>
        <w:rPr>
          <w:rFonts w:ascii="Book Antiqua" w:hAnsi="Book Antiqua"/>
          <w:b/>
          <w:bCs/>
          <w:sz w:val="20"/>
          <w:szCs w:val="20"/>
        </w:rPr>
        <w:t>dobře</w:t>
      </w:r>
      <w:r>
        <w:rPr>
          <w:rFonts w:ascii="Book Antiqua" w:hAnsi="Book Antiqua"/>
          <w:bCs/>
          <w:sz w:val="20"/>
          <w:szCs w:val="20"/>
        </w:rPr>
        <w:t>, s přihlédnutím k výsledku obhajoby.</w:t>
      </w:r>
    </w:p>
    <w:p w:rsidR="00F76284" w:rsidRDefault="00F76284" w:rsidP="00F76284">
      <w:pPr>
        <w:spacing w:before="100" w:beforeAutospacing="1" w:after="100" w:afterAutospacing="1" w:line="360" w:lineRule="auto"/>
        <w:jc w:val="both"/>
        <w:outlineLvl w:val="2"/>
        <w:rPr>
          <w:rFonts w:ascii="Book Antiqua" w:hAnsi="Book Antiqua"/>
          <w:bCs/>
          <w:sz w:val="20"/>
          <w:szCs w:val="20"/>
        </w:rPr>
      </w:pPr>
    </w:p>
    <w:p w:rsidR="00F76284" w:rsidRDefault="00F76284" w:rsidP="00F76284">
      <w:pPr>
        <w:spacing w:before="100" w:beforeAutospacing="1" w:after="100" w:afterAutospacing="1"/>
        <w:outlineLvl w:val="2"/>
        <w:rPr>
          <w:rFonts w:ascii="Book Antiqua" w:hAnsi="Book Antiqua"/>
          <w:b/>
          <w:bCs/>
          <w:sz w:val="20"/>
          <w:szCs w:val="20"/>
        </w:rPr>
      </w:pPr>
    </w:p>
    <w:p w:rsidR="00F76284" w:rsidRDefault="00F76284" w:rsidP="00F76284">
      <w:pPr>
        <w:spacing w:before="100" w:beforeAutospacing="1" w:after="100" w:afterAutospacing="1"/>
        <w:outlineLvl w:val="2"/>
        <w:rPr>
          <w:rFonts w:ascii="Book Antiqua" w:hAnsi="Book Antiqua"/>
          <w:b/>
          <w:bCs/>
          <w:sz w:val="20"/>
          <w:szCs w:val="20"/>
        </w:rPr>
      </w:pPr>
    </w:p>
    <w:p w:rsidR="00F76284" w:rsidRDefault="00F76284" w:rsidP="00F76284">
      <w:pPr>
        <w:spacing w:before="100" w:beforeAutospacing="1" w:after="100" w:afterAutospacing="1"/>
        <w:outlineLvl w:val="2"/>
        <w:rPr>
          <w:rFonts w:ascii="Book Antiqua" w:hAnsi="Book Antiqua"/>
          <w:b/>
          <w:sz w:val="20"/>
          <w:szCs w:val="20"/>
        </w:rPr>
      </w:pPr>
      <w:r>
        <w:rPr>
          <w:rFonts w:ascii="Book Antiqua" w:hAnsi="Book Antiqua"/>
          <w:b/>
          <w:sz w:val="20"/>
          <w:szCs w:val="20"/>
        </w:rPr>
        <w:t>Praha, 15. srpna 2015</w:t>
      </w:r>
    </w:p>
    <w:p w:rsidR="00943446" w:rsidRDefault="00F76284">
      <w:bookmarkStart w:id="0" w:name="_GoBack"/>
      <w:bookmarkEnd w:id="0"/>
    </w:p>
    <w:sectPr w:rsidR="009434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64A4"/>
    <w:rsid w:val="002E040B"/>
    <w:rsid w:val="00866895"/>
    <w:rsid w:val="00897122"/>
    <w:rsid w:val="00F76284"/>
    <w:rsid w:val="00FF6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762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762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45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248</Words>
  <Characters>1464</Characters>
  <Application>Microsoft Office Word</Application>
  <DocSecurity>0</DocSecurity>
  <Lines>12</Lines>
  <Paragraphs>3</Paragraphs>
  <ScaleCrop>false</ScaleCrop>
  <Company/>
  <LinksUpToDate>false</LinksUpToDate>
  <CharactersWithSpaces>1709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Hanka</dc:creator>
  <cp:keywords/>
  <dc:description/>
  <cp:lastModifiedBy>Hanka</cp:lastModifiedBy>
  <cp:revision>3</cp:revision>
  <dcterms:created xsi:type="dcterms:W3CDTF">2015-08-18T12:17:00Z</dcterms:created>
  <dcterms:modified xsi:type="dcterms:W3CDTF">2015-08-18T12:20:00Z</dcterms:modified>
</cp:coreProperties>
</file>