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469" w:rsidRPr="001B0576" w:rsidRDefault="007C1469" w:rsidP="001B0576">
      <w:pPr>
        <w:rPr>
          <w:b/>
          <w:snapToGrid w:val="0"/>
          <w:sz w:val="28"/>
          <w:szCs w:val="28"/>
        </w:rPr>
      </w:pPr>
      <w:r w:rsidRPr="001B0576">
        <w:rPr>
          <w:b/>
          <w:snapToGrid w:val="0"/>
          <w:sz w:val="28"/>
          <w:szCs w:val="28"/>
        </w:rPr>
        <w:t>Kateřina Jetmarová: Obrazy nepřítele ve stalinském Československu.</w:t>
      </w:r>
    </w:p>
    <w:p w:rsidR="001A7C8F" w:rsidRPr="001B0576" w:rsidRDefault="001A7C8F" w:rsidP="001B0576">
      <w:pPr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 xml:space="preserve">Diplomová práce. </w:t>
      </w:r>
      <w:r w:rsidR="000F4D38" w:rsidRPr="001B0576">
        <w:rPr>
          <w:snapToGrid w:val="0"/>
          <w:sz w:val="28"/>
          <w:szCs w:val="28"/>
        </w:rPr>
        <w:t>Ústav</w:t>
      </w:r>
      <w:r w:rsidRPr="001B0576">
        <w:rPr>
          <w:snapToGrid w:val="0"/>
          <w:sz w:val="28"/>
          <w:szCs w:val="28"/>
        </w:rPr>
        <w:t xml:space="preserve"> historických věd </w:t>
      </w:r>
      <w:r w:rsidR="00464E35" w:rsidRPr="001B0576">
        <w:rPr>
          <w:snapToGrid w:val="0"/>
          <w:sz w:val="28"/>
          <w:szCs w:val="28"/>
        </w:rPr>
        <w:t>Filosofické f</w:t>
      </w:r>
      <w:r w:rsidRPr="001B0576">
        <w:rPr>
          <w:snapToGrid w:val="0"/>
          <w:sz w:val="28"/>
          <w:szCs w:val="28"/>
        </w:rPr>
        <w:t>akulty University Pardubice, Pardubice 20</w:t>
      </w:r>
      <w:r w:rsidR="007C1469" w:rsidRPr="001B0576">
        <w:rPr>
          <w:snapToGrid w:val="0"/>
          <w:sz w:val="28"/>
          <w:szCs w:val="28"/>
        </w:rPr>
        <w:t>2</w:t>
      </w:r>
      <w:r w:rsidR="00495D29" w:rsidRPr="001B0576">
        <w:rPr>
          <w:snapToGrid w:val="0"/>
          <w:sz w:val="28"/>
          <w:szCs w:val="28"/>
        </w:rPr>
        <w:t>1</w:t>
      </w:r>
      <w:r w:rsidRPr="001B0576">
        <w:rPr>
          <w:snapToGrid w:val="0"/>
          <w:sz w:val="28"/>
          <w:szCs w:val="28"/>
        </w:rPr>
        <w:t>.</w:t>
      </w:r>
    </w:p>
    <w:p w:rsidR="001A7C8F" w:rsidRPr="001B0576" w:rsidRDefault="001A7C8F" w:rsidP="001B0576">
      <w:pPr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>Oponentský p</w:t>
      </w:r>
      <w:r w:rsidR="007C1469" w:rsidRPr="001B0576">
        <w:rPr>
          <w:snapToGrid w:val="0"/>
          <w:sz w:val="28"/>
          <w:szCs w:val="28"/>
        </w:rPr>
        <w:t xml:space="preserve">osudek </w:t>
      </w:r>
    </w:p>
    <w:p w:rsidR="001A7C8F" w:rsidRPr="001B0576" w:rsidRDefault="001A7C8F" w:rsidP="001B0576">
      <w:pPr>
        <w:rPr>
          <w:snapToGrid w:val="0"/>
          <w:sz w:val="28"/>
          <w:szCs w:val="28"/>
        </w:rPr>
      </w:pPr>
    </w:p>
    <w:p w:rsidR="002946D2" w:rsidRPr="001B0576" w:rsidRDefault="002946D2" w:rsidP="00791A03">
      <w:pPr>
        <w:jc w:val="both"/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ab/>
        <w:t>Doba komunistické vlády v Československu stále nabízí nové mož</w:t>
      </w:r>
      <w:r w:rsidR="00791A03">
        <w:rPr>
          <w:snapToGrid w:val="0"/>
          <w:sz w:val="28"/>
          <w:szCs w:val="28"/>
        </w:rPr>
        <w:softHyphen/>
      </w:r>
      <w:r w:rsidRPr="001B0576">
        <w:rPr>
          <w:snapToGrid w:val="0"/>
          <w:sz w:val="28"/>
          <w:szCs w:val="28"/>
        </w:rPr>
        <w:t xml:space="preserve">nosti k bádání. K. Jetmarová se zaměřila na jev typický pro komunistické režimy jako takové, totiž na hledání nepřítele. </w:t>
      </w:r>
    </w:p>
    <w:p w:rsidR="002946D2" w:rsidRPr="001B0576" w:rsidRDefault="002946D2" w:rsidP="00791A03">
      <w:pPr>
        <w:jc w:val="both"/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ab/>
        <w:t xml:space="preserve">V úvodu autorka svůj předmět výzkumu vymezila časově (1946-1956), stanovila cíl práce, </w:t>
      </w:r>
      <w:r w:rsidR="0069674A" w:rsidRPr="001B0576">
        <w:rPr>
          <w:snapToGrid w:val="0"/>
          <w:sz w:val="28"/>
          <w:szCs w:val="28"/>
        </w:rPr>
        <w:t xml:space="preserve">její členění, </w:t>
      </w:r>
      <w:r w:rsidRPr="001B0576">
        <w:rPr>
          <w:snapToGrid w:val="0"/>
          <w:sz w:val="28"/>
          <w:szCs w:val="28"/>
        </w:rPr>
        <w:t xml:space="preserve">metody, </w:t>
      </w:r>
      <w:r w:rsidR="003E486E" w:rsidRPr="001B0576">
        <w:rPr>
          <w:snapToGrid w:val="0"/>
          <w:sz w:val="28"/>
          <w:szCs w:val="28"/>
        </w:rPr>
        <w:t>stanovila základní otázky</w:t>
      </w:r>
      <w:r w:rsidR="003E486E" w:rsidRPr="001B0576">
        <w:rPr>
          <w:snapToGrid w:val="0"/>
          <w:sz w:val="28"/>
          <w:szCs w:val="28"/>
        </w:rPr>
        <w:t xml:space="preserve"> </w:t>
      </w:r>
      <w:r w:rsidR="00791A03">
        <w:rPr>
          <w:snapToGrid w:val="0"/>
          <w:sz w:val="28"/>
          <w:szCs w:val="28"/>
        </w:rPr>
        <w:t xml:space="preserve"> </w:t>
      </w:r>
      <w:r w:rsidR="003E486E" w:rsidRPr="001B0576">
        <w:rPr>
          <w:snapToGrid w:val="0"/>
          <w:sz w:val="28"/>
          <w:szCs w:val="28"/>
        </w:rPr>
        <w:t xml:space="preserve">a </w:t>
      </w:r>
      <w:r w:rsidRPr="001B0576">
        <w:rPr>
          <w:snapToGrid w:val="0"/>
          <w:sz w:val="28"/>
          <w:szCs w:val="28"/>
        </w:rPr>
        <w:t>zhodnotila zdroje, jichž využila</w:t>
      </w:r>
      <w:r w:rsidR="003E486E" w:rsidRPr="001B0576">
        <w:rPr>
          <w:snapToGrid w:val="0"/>
          <w:sz w:val="28"/>
          <w:szCs w:val="28"/>
        </w:rPr>
        <w:t xml:space="preserve">. </w:t>
      </w:r>
      <w:r w:rsidRPr="001B0576">
        <w:rPr>
          <w:snapToGrid w:val="0"/>
          <w:sz w:val="28"/>
          <w:szCs w:val="28"/>
        </w:rPr>
        <w:t xml:space="preserve">Jedná se vedle </w:t>
      </w:r>
      <w:r w:rsidR="003E486E" w:rsidRPr="001B0576">
        <w:rPr>
          <w:snapToGrid w:val="0"/>
          <w:sz w:val="28"/>
          <w:szCs w:val="28"/>
        </w:rPr>
        <w:t xml:space="preserve">odborné </w:t>
      </w:r>
      <w:r w:rsidRPr="001B0576">
        <w:rPr>
          <w:snapToGrid w:val="0"/>
          <w:sz w:val="28"/>
          <w:szCs w:val="28"/>
        </w:rPr>
        <w:t>literatury hlavně o denní tisk</w:t>
      </w:r>
      <w:r w:rsidR="003E486E" w:rsidRPr="001B0576">
        <w:rPr>
          <w:snapToGrid w:val="0"/>
          <w:sz w:val="28"/>
          <w:szCs w:val="28"/>
        </w:rPr>
        <w:t xml:space="preserve"> (texty a karikatury),</w:t>
      </w:r>
      <w:r w:rsidRPr="001B0576">
        <w:rPr>
          <w:snapToGrid w:val="0"/>
          <w:sz w:val="28"/>
          <w:szCs w:val="28"/>
        </w:rPr>
        <w:t xml:space="preserve">  dobovou </w:t>
      </w:r>
      <w:r w:rsidR="003E486E" w:rsidRPr="001B0576">
        <w:rPr>
          <w:snapToGrid w:val="0"/>
          <w:sz w:val="28"/>
          <w:szCs w:val="28"/>
        </w:rPr>
        <w:t>kinematografii a propa</w:t>
      </w:r>
      <w:r w:rsidR="00791A03">
        <w:rPr>
          <w:snapToGrid w:val="0"/>
          <w:sz w:val="28"/>
          <w:szCs w:val="28"/>
        </w:rPr>
        <w:softHyphen/>
      </w:r>
      <w:r w:rsidR="003E486E" w:rsidRPr="001B0576">
        <w:rPr>
          <w:snapToGrid w:val="0"/>
          <w:sz w:val="28"/>
          <w:szCs w:val="28"/>
        </w:rPr>
        <w:t xml:space="preserve">gandistické tiskoviny. </w:t>
      </w:r>
      <w:r w:rsidRPr="001B0576">
        <w:rPr>
          <w:snapToGrid w:val="0"/>
          <w:sz w:val="28"/>
          <w:szCs w:val="28"/>
        </w:rPr>
        <w:t xml:space="preserve">  </w:t>
      </w:r>
    </w:p>
    <w:p w:rsidR="00902E27" w:rsidRPr="001B0576" w:rsidRDefault="0069674A" w:rsidP="00791A03">
      <w:pPr>
        <w:jc w:val="both"/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ab/>
        <w:t xml:space="preserve">První kapitola v odpovídajícím měřítku </w:t>
      </w:r>
      <w:r w:rsidR="00394BC5" w:rsidRPr="001B0576">
        <w:rPr>
          <w:snapToGrid w:val="0"/>
          <w:sz w:val="28"/>
          <w:szCs w:val="28"/>
        </w:rPr>
        <w:t>líčí</w:t>
      </w:r>
      <w:r w:rsidRPr="001B0576">
        <w:rPr>
          <w:snapToGrid w:val="0"/>
          <w:sz w:val="28"/>
          <w:szCs w:val="28"/>
        </w:rPr>
        <w:t xml:space="preserve"> dobové politické okol</w:t>
      </w:r>
      <w:r w:rsidR="00791A03">
        <w:rPr>
          <w:snapToGrid w:val="0"/>
          <w:sz w:val="28"/>
          <w:szCs w:val="28"/>
        </w:rPr>
        <w:softHyphen/>
      </w:r>
      <w:r w:rsidRPr="001B0576">
        <w:rPr>
          <w:snapToGrid w:val="0"/>
          <w:sz w:val="28"/>
          <w:szCs w:val="28"/>
        </w:rPr>
        <w:t>nosti, ovšem nalezneme zde již – zdá se, že trochu předčasně, ale není to vyloženě na škodu - i příklady oněch nepřátel, na něž se propaganda za</w:t>
      </w:r>
      <w:r w:rsidR="00791A03">
        <w:rPr>
          <w:snapToGrid w:val="0"/>
          <w:sz w:val="28"/>
          <w:szCs w:val="28"/>
        </w:rPr>
        <w:softHyphen/>
      </w:r>
      <w:r w:rsidRPr="001B0576">
        <w:rPr>
          <w:snapToGrid w:val="0"/>
          <w:sz w:val="28"/>
          <w:szCs w:val="28"/>
        </w:rPr>
        <w:t>měřovala. Druhá kapitola je zaměřena právě na dobovou propagandu, dů</w:t>
      </w:r>
      <w:r w:rsidR="00791A03">
        <w:rPr>
          <w:snapToGrid w:val="0"/>
          <w:sz w:val="28"/>
          <w:szCs w:val="28"/>
        </w:rPr>
        <w:softHyphen/>
      </w:r>
      <w:r w:rsidRPr="001B0576">
        <w:rPr>
          <w:snapToGrid w:val="0"/>
          <w:sz w:val="28"/>
          <w:szCs w:val="28"/>
        </w:rPr>
        <w:t xml:space="preserve">ležitý nástroj komunistické moci všude, kde jej bylo možno uplatnit. V kapitole následující autorka </w:t>
      </w:r>
      <w:r w:rsidR="00394BC5" w:rsidRPr="001B0576">
        <w:rPr>
          <w:snapToGrid w:val="0"/>
          <w:sz w:val="28"/>
          <w:szCs w:val="28"/>
        </w:rPr>
        <w:t xml:space="preserve">vypočítává a </w:t>
      </w:r>
      <w:proofErr w:type="spellStart"/>
      <w:r w:rsidR="00394BC5" w:rsidRPr="001B0576">
        <w:rPr>
          <w:snapToGrid w:val="0"/>
          <w:sz w:val="28"/>
          <w:szCs w:val="28"/>
        </w:rPr>
        <w:t>charakterisuje</w:t>
      </w:r>
      <w:proofErr w:type="spellEnd"/>
      <w:r w:rsidR="00394BC5" w:rsidRPr="001B0576">
        <w:rPr>
          <w:snapToGrid w:val="0"/>
          <w:sz w:val="28"/>
          <w:szCs w:val="28"/>
        </w:rPr>
        <w:t xml:space="preserve"> dobové nepřá</w:t>
      </w:r>
      <w:r w:rsidR="00791A03">
        <w:rPr>
          <w:snapToGrid w:val="0"/>
          <w:sz w:val="28"/>
          <w:szCs w:val="28"/>
        </w:rPr>
        <w:softHyphen/>
      </w:r>
      <w:r w:rsidR="00394BC5" w:rsidRPr="001B0576">
        <w:rPr>
          <w:snapToGrid w:val="0"/>
          <w:sz w:val="28"/>
          <w:szCs w:val="28"/>
        </w:rPr>
        <w:t xml:space="preserve">tele komunismu – kapitalisty, </w:t>
      </w:r>
      <w:r w:rsidR="00D676AA" w:rsidRPr="001B0576">
        <w:rPr>
          <w:snapToGrid w:val="0"/>
          <w:sz w:val="28"/>
          <w:szCs w:val="28"/>
        </w:rPr>
        <w:t xml:space="preserve">zemědělce, kteří odmítali </w:t>
      </w:r>
      <w:proofErr w:type="spellStart"/>
      <w:r w:rsidR="00D676AA" w:rsidRPr="001B0576">
        <w:rPr>
          <w:snapToGrid w:val="0"/>
          <w:sz w:val="28"/>
          <w:szCs w:val="28"/>
        </w:rPr>
        <w:t>kolektivisaci</w:t>
      </w:r>
      <w:proofErr w:type="spellEnd"/>
      <w:r w:rsidR="00D676AA" w:rsidRPr="001B0576">
        <w:rPr>
          <w:snapToGrid w:val="0"/>
          <w:sz w:val="28"/>
          <w:szCs w:val="28"/>
        </w:rPr>
        <w:t xml:space="preserve">, </w:t>
      </w:r>
      <w:r w:rsidR="00394BC5" w:rsidRPr="001B0576">
        <w:rPr>
          <w:snapToGrid w:val="0"/>
          <w:sz w:val="28"/>
          <w:szCs w:val="28"/>
        </w:rPr>
        <w:t>šlechtu, vyzvědače, záškodníky, fašisty (často ve spojení s tehdejším zá</w:t>
      </w:r>
      <w:r w:rsidR="00791A03">
        <w:rPr>
          <w:snapToGrid w:val="0"/>
          <w:sz w:val="28"/>
          <w:szCs w:val="28"/>
        </w:rPr>
        <w:softHyphen/>
      </w:r>
      <w:r w:rsidR="00394BC5" w:rsidRPr="001B0576">
        <w:rPr>
          <w:snapToGrid w:val="0"/>
          <w:sz w:val="28"/>
          <w:szCs w:val="28"/>
        </w:rPr>
        <w:t xml:space="preserve">padním Německem a jeho </w:t>
      </w:r>
      <w:proofErr w:type="spellStart"/>
      <w:r w:rsidR="00394BC5" w:rsidRPr="001B0576">
        <w:rPr>
          <w:snapToGrid w:val="0"/>
          <w:sz w:val="28"/>
          <w:szCs w:val="28"/>
        </w:rPr>
        <w:t>znovuzačleňováním</w:t>
      </w:r>
      <w:proofErr w:type="spellEnd"/>
      <w:r w:rsidR="00394BC5" w:rsidRPr="001B0576">
        <w:rPr>
          <w:snapToGrid w:val="0"/>
          <w:sz w:val="28"/>
          <w:szCs w:val="28"/>
        </w:rPr>
        <w:t xml:space="preserve"> do rámce západních zemí), všechny Němce (kolektivní vina), Vatikán, potažmo církve a věřící lidé (protože „náboženství je opiem lidstva“), židé (označovaní většinou „sionisté“, zřejmě aby se nedala hledat přílišná podobnost s přístupem na</w:t>
      </w:r>
      <w:r w:rsidR="00791A03">
        <w:rPr>
          <w:snapToGrid w:val="0"/>
          <w:sz w:val="28"/>
          <w:szCs w:val="28"/>
        </w:rPr>
        <w:softHyphen/>
      </w:r>
      <w:r w:rsidR="00394BC5" w:rsidRPr="001B0576">
        <w:rPr>
          <w:snapToGrid w:val="0"/>
          <w:sz w:val="28"/>
          <w:szCs w:val="28"/>
        </w:rPr>
        <w:t>cistů)</w:t>
      </w:r>
      <w:r w:rsidR="00D676AA" w:rsidRPr="001B0576">
        <w:rPr>
          <w:snapToGrid w:val="0"/>
          <w:sz w:val="28"/>
          <w:szCs w:val="28"/>
        </w:rPr>
        <w:t xml:space="preserve">, Jugoslávie a její president Josip </w:t>
      </w:r>
      <w:proofErr w:type="spellStart"/>
      <w:r w:rsidR="00D676AA" w:rsidRPr="001B0576">
        <w:rPr>
          <w:snapToGrid w:val="0"/>
          <w:sz w:val="28"/>
          <w:szCs w:val="28"/>
        </w:rPr>
        <w:t>Broz</w:t>
      </w:r>
      <w:proofErr w:type="spellEnd"/>
      <w:r w:rsidR="00D676AA" w:rsidRPr="001B0576">
        <w:rPr>
          <w:snapToGrid w:val="0"/>
          <w:sz w:val="28"/>
          <w:szCs w:val="28"/>
        </w:rPr>
        <w:t xml:space="preserve"> – Tito, který, ač komunista, se odvážil postavit proti Stalinovi, vnitřní nepřátelé (hledaní a nalézaní podle vzoru SSSR ve vlastní komunistické straně), emigranti z Českoslo</w:t>
      </w:r>
      <w:r w:rsidR="00791A03">
        <w:rPr>
          <w:snapToGrid w:val="0"/>
          <w:sz w:val="28"/>
          <w:szCs w:val="28"/>
        </w:rPr>
        <w:softHyphen/>
      </w:r>
      <w:r w:rsidR="00D676AA" w:rsidRPr="001B0576">
        <w:rPr>
          <w:snapToGrid w:val="0"/>
          <w:sz w:val="28"/>
          <w:szCs w:val="28"/>
        </w:rPr>
        <w:t xml:space="preserve">venska, kteří se v zahraničí zapojili do boje proti komunismu, - to vše   </w:t>
      </w:r>
      <w:r w:rsidR="00394BC5" w:rsidRPr="001B0576">
        <w:rPr>
          <w:snapToGrid w:val="0"/>
          <w:sz w:val="28"/>
          <w:szCs w:val="28"/>
        </w:rPr>
        <w:t xml:space="preserve">       s hojnými citacemi </w:t>
      </w:r>
      <w:r w:rsidR="00D676AA" w:rsidRPr="001B0576">
        <w:rPr>
          <w:snapToGrid w:val="0"/>
          <w:sz w:val="28"/>
          <w:szCs w:val="28"/>
        </w:rPr>
        <w:t>z organisovaných útočných kampaní, s</w:t>
      </w:r>
      <w:r w:rsidR="00394BC5" w:rsidRPr="001B0576">
        <w:rPr>
          <w:snapToGrid w:val="0"/>
          <w:sz w:val="28"/>
          <w:szCs w:val="28"/>
        </w:rPr>
        <w:t xml:space="preserve"> ustálenými slovními spojeními, z nichž se častým opakováním stávala klišé, ale také s četným využíváním jednoznačných lží. </w:t>
      </w:r>
      <w:r w:rsidR="00D676AA" w:rsidRPr="001B0576">
        <w:rPr>
          <w:snapToGrid w:val="0"/>
          <w:sz w:val="28"/>
          <w:szCs w:val="28"/>
        </w:rPr>
        <w:t>Čtvrtá kapitola je věnována ne</w:t>
      </w:r>
      <w:r w:rsidR="00791A03">
        <w:rPr>
          <w:snapToGrid w:val="0"/>
          <w:sz w:val="28"/>
          <w:szCs w:val="28"/>
        </w:rPr>
        <w:softHyphen/>
      </w:r>
      <w:r w:rsidR="00D676AA" w:rsidRPr="001B0576">
        <w:rPr>
          <w:snapToGrid w:val="0"/>
          <w:sz w:val="28"/>
          <w:szCs w:val="28"/>
        </w:rPr>
        <w:t>pominutelnému prvku, totiž inspiraci v SSSR, která jak známo nebyla úplně dobrovolná. Autorka nastiňuje poměry a vývoj v porevolučním bol</w:t>
      </w:r>
      <w:r w:rsidR="00791A03">
        <w:rPr>
          <w:snapToGrid w:val="0"/>
          <w:sz w:val="28"/>
          <w:szCs w:val="28"/>
        </w:rPr>
        <w:softHyphen/>
      </w:r>
      <w:r w:rsidR="00D676AA" w:rsidRPr="001B0576">
        <w:rPr>
          <w:snapToGrid w:val="0"/>
          <w:sz w:val="28"/>
          <w:szCs w:val="28"/>
        </w:rPr>
        <w:t>ševickém Sovětském Rusku a poté v SSSR a z</w:t>
      </w:r>
      <w:r w:rsidR="00902E27" w:rsidRPr="001B0576">
        <w:rPr>
          <w:snapToGrid w:val="0"/>
          <w:sz w:val="28"/>
          <w:szCs w:val="28"/>
        </w:rPr>
        <w:t xml:space="preserve">důrazňuje velmi podobné postupy pro srovnání s poúnorovým Československem. </w:t>
      </w:r>
    </w:p>
    <w:p w:rsidR="0069674A" w:rsidRPr="001B0576" w:rsidRDefault="00902E27" w:rsidP="00791A03">
      <w:pPr>
        <w:jc w:val="both"/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ab/>
        <w:t>Práci uzavírá shrnující závěr, seznam zkratek, velmi bohatý se</w:t>
      </w:r>
      <w:r w:rsidR="00791A03">
        <w:rPr>
          <w:snapToGrid w:val="0"/>
          <w:sz w:val="28"/>
          <w:szCs w:val="28"/>
        </w:rPr>
        <w:softHyphen/>
      </w:r>
      <w:r w:rsidRPr="001B0576">
        <w:rPr>
          <w:snapToGrid w:val="0"/>
          <w:sz w:val="28"/>
          <w:szCs w:val="28"/>
        </w:rPr>
        <w:t>znam pramenů a literatury</w:t>
      </w:r>
      <w:r w:rsidR="00D676AA" w:rsidRPr="001B0576">
        <w:rPr>
          <w:snapToGrid w:val="0"/>
          <w:sz w:val="28"/>
          <w:szCs w:val="28"/>
        </w:rPr>
        <w:t xml:space="preserve"> </w:t>
      </w:r>
      <w:r w:rsidRPr="001B0576">
        <w:rPr>
          <w:snapToGrid w:val="0"/>
          <w:sz w:val="28"/>
          <w:szCs w:val="28"/>
        </w:rPr>
        <w:t xml:space="preserve">a vhodně vybrané obrazové přílohy, rozdělené podle kapitol. Některé z nich bohužel nejsou zcela zřetelné. </w:t>
      </w:r>
    </w:p>
    <w:p w:rsidR="0069674A" w:rsidRPr="001B0576" w:rsidRDefault="0069674A" w:rsidP="00791A03">
      <w:pPr>
        <w:jc w:val="both"/>
        <w:rPr>
          <w:snapToGrid w:val="0"/>
          <w:sz w:val="28"/>
          <w:szCs w:val="28"/>
        </w:rPr>
      </w:pPr>
    </w:p>
    <w:p w:rsidR="001B0576" w:rsidRPr="001B0576" w:rsidRDefault="00902E27" w:rsidP="00791A03">
      <w:pPr>
        <w:jc w:val="both"/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ab/>
        <w:t xml:space="preserve">Text je </w:t>
      </w:r>
      <w:r w:rsidR="00791A03">
        <w:rPr>
          <w:snapToGrid w:val="0"/>
          <w:sz w:val="28"/>
          <w:szCs w:val="28"/>
        </w:rPr>
        <w:t xml:space="preserve">pečlivě sestaven podle zásad odborné práce, je </w:t>
      </w:r>
      <w:r w:rsidRPr="001B0576">
        <w:rPr>
          <w:snapToGrid w:val="0"/>
          <w:sz w:val="28"/>
          <w:szCs w:val="28"/>
        </w:rPr>
        <w:t xml:space="preserve">logicky </w:t>
      </w:r>
      <w:proofErr w:type="spellStart"/>
      <w:r w:rsidRPr="001B0576">
        <w:rPr>
          <w:snapToGrid w:val="0"/>
          <w:sz w:val="28"/>
          <w:szCs w:val="28"/>
        </w:rPr>
        <w:t>uspo</w:t>
      </w:r>
      <w:r w:rsidR="00791A03">
        <w:rPr>
          <w:snapToGrid w:val="0"/>
          <w:sz w:val="28"/>
          <w:szCs w:val="28"/>
        </w:rPr>
        <w:t>-</w:t>
      </w:r>
      <w:r w:rsidRPr="001B0576">
        <w:rPr>
          <w:snapToGrid w:val="0"/>
          <w:sz w:val="28"/>
          <w:szCs w:val="28"/>
        </w:rPr>
        <w:t>řádán</w:t>
      </w:r>
      <w:proofErr w:type="spellEnd"/>
      <w:r w:rsidRPr="001B0576">
        <w:rPr>
          <w:snapToGrid w:val="0"/>
          <w:sz w:val="28"/>
          <w:szCs w:val="28"/>
        </w:rPr>
        <w:t>, kapitoly na sebe vzájemně dobře nava</w:t>
      </w:r>
      <w:r w:rsidR="00791A03">
        <w:rPr>
          <w:snapToGrid w:val="0"/>
          <w:sz w:val="28"/>
          <w:szCs w:val="28"/>
        </w:rPr>
        <w:softHyphen/>
      </w:r>
      <w:r w:rsidRPr="001B0576">
        <w:rPr>
          <w:snapToGrid w:val="0"/>
          <w:sz w:val="28"/>
          <w:szCs w:val="28"/>
        </w:rPr>
        <w:t>zují. Autorce se podařilo vel</w:t>
      </w:r>
      <w:r w:rsidR="00791A03">
        <w:rPr>
          <w:snapToGrid w:val="0"/>
          <w:sz w:val="28"/>
          <w:szCs w:val="28"/>
        </w:rPr>
        <w:t>-</w:t>
      </w:r>
      <w:r w:rsidRPr="001B0576">
        <w:rPr>
          <w:snapToGrid w:val="0"/>
          <w:sz w:val="28"/>
          <w:szCs w:val="28"/>
        </w:rPr>
        <w:lastRenderedPageBreak/>
        <w:t>mi dobře vykreslit danou dobu ze zvoleného h</w:t>
      </w:r>
      <w:r w:rsidR="001B0576" w:rsidRPr="001B0576">
        <w:rPr>
          <w:snapToGrid w:val="0"/>
          <w:sz w:val="28"/>
          <w:szCs w:val="28"/>
        </w:rPr>
        <w:t>lediska a vše doložit četnými příklady. Formální náležitosti jsou v po</w:t>
      </w:r>
      <w:r w:rsidR="00791A03">
        <w:rPr>
          <w:snapToGrid w:val="0"/>
          <w:sz w:val="28"/>
          <w:szCs w:val="28"/>
        </w:rPr>
        <w:softHyphen/>
      </w:r>
      <w:r w:rsidR="001B0576" w:rsidRPr="001B0576">
        <w:rPr>
          <w:snapToGrid w:val="0"/>
          <w:sz w:val="28"/>
          <w:szCs w:val="28"/>
        </w:rPr>
        <w:t>řádku, jazyková stránka taktéž, p</w:t>
      </w:r>
      <w:r w:rsidR="001A7C8F" w:rsidRPr="001B0576">
        <w:rPr>
          <w:snapToGrid w:val="0"/>
          <w:sz w:val="28"/>
          <w:szCs w:val="28"/>
        </w:rPr>
        <w:t>í</w:t>
      </w:r>
      <w:r w:rsidR="00791A03">
        <w:rPr>
          <w:snapToGrid w:val="0"/>
          <w:sz w:val="28"/>
          <w:szCs w:val="28"/>
        </w:rPr>
        <w:t>-</w:t>
      </w:r>
      <w:bookmarkStart w:id="0" w:name="_GoBack"/>
      <w:bookmarkEnd w:id="0"/>
      <w:r w:rsidR="001A7C8F" w:rsidRPr="001B0576">
        <w:rPr>
          <w:snapToGrid w:val="0"/>
          <w:sz w:val="28"/>
          <w:szCs w:val="28"/>
        </w:rPr>
        <w:t>semný projev posluchač</w:t>
      </w:r>
      <w:r w:rsidR="001B0576" w:rsidRPr="001B0576">
        <w:rPr>
          <w:snapToGrid w:val="0"/>
          <w:sz w:val="28"/>
          <w:szCs w:val="28"/>
        </w:rPr>
        <w:t>ky je na dobré úrovni.</w:t>
      </w:r>
    </w:p>
    <w:p w:rsidR="001B0576" w:rsidRPr="001B0576" w:rsidRDefault="001B0576" w:rsidP="00791A03">
      <w:pPr>
        <w:ind w:firstLine="720"/>
        <w:jc w:val="both"/>
        <w:rPr>
          <w:snapToGrid w:val="0"/>
          <w:sz w:val="28"/>
          <w:szCs w:val="28"/>
        </w:rPr>
      </w:pPr>
    </w:p>
    <w:p w:rsidR="001A7C8F" w:rsidRPr="001B0576" w:rsidRDefault="001B0576" w:rsidP="00791A03">
      <w:pPr>
        <w:ind w:firstLine="720"/>
        <w:jc w:val="both"/>
        <w:rPr>
          <w:snapToGrid w:val="0"/>
          <w:sz w:val="28"/>
          <w:szCs w:val="28"/>
        </w:rPr>
      </w:pPr>
      <w:r w:rsidRPr="001B0576">
        <w:rPr>
          <w:snapToGrid w:val="0"/>
          <w:sz w:val="28"/>
          <w:szCs w:val="28"/>
        </w:rPr>
        <w:t>Domnívám se</w:t>
      </w:r>
      <w:r>
        <w:rPr>
          <w:snapToGrid w:val="0"/>
          <w:sz w:val="28"/>
          <w:szCs w:val="28"/>
        </w:rPr>
        <w:t xml:space="preserve"> jednoznačně</w:t>
      </w:r>
      <w:r w:rsidRPr="001B0576">
        <w:rPr>
          <w:snapToGrid w:val="0"/>
          <w:sz w:val="28"/>
          <w:szCs w:val="28"/>
        </w:rPr>
        <w:t>, že cíl diplomové práce se podařilo spl</w:t>
      </w:r>
      <w:r w:rsidR="00791A03">
        <w:rPr>
          <w:snapToGrid w:val="0"/>
          <w:sz w:val="28"/>
          <w:szCs w:val="28"/>
        </w:rPr>
        <w:softHyphen/>
      </w:r>
      <w:r w:rsidRPr="001B0576">
        <w:rPr>
          <w:snapToGrid w:val="0"/>
          <w:sz w:val="28"/>
          <w:szCs w:val="28"/>
        </w:rPr>
        <w:t xml:space="preserve">nit, práci Kateřiny Jetmarové doporučuji k obhajobě a navrhuji hodnocení </w:t>
      </w:r>
      <w:r w:rsidRPr="001B0576">
        <w:rPr>
          <w:b/>
          <w:snapToGrid w:val="0"/>
          <w:sz w:val="28"/>
          <w:szCs w:val="28"/>
        </w:rPr>
        <w:t>výborně – A</w:t>
      </w:r>
      <w:r w:rsidRPr="001B0576">
        <w:rPr>
          <w:snapToGrid w:val="0"/>
          <w:sz w:val="28"/>
          <w:szCs w:val="28"/>
        </w:rPr>
        <w:t xml:space="preserve">. </w:t>
      </w:r>
    </w:p>
    <w:p w:rsidR="000F4D38" w:rsidRPr="001B0576" w:rsidRDefault="000F4D38" w:rsidP="00791A03">
      <w:pPr>
        <w:jc w:val="both"/>
        <w:rPr>
          <w:snapToGrid w:val="0"/>
          <w:sz w:val="28"/>
          <w:szCs w:val="28"/>
        </w:rPr>
      </w:pPr>
    </w:p>
    <w:p w:rsidR="001B0576" w:rsidRDefault="001B0576" w:rsidP="001B0576">
      <w:pPr>
        <w:rPr>
          <w:snapToGrid w:val="0"/>
          <w:sz w:val="28"/>
          <w:szCs w:val="28"/>
        </w:rPr>
      </w:pPr>
    </w:p>
    <w:p w:rsidR="000F4D38" w:rsidRPr="001B0576" w:rsidRDefault="001B0576" w:rsidP="001B0576">
      <w:pPr>
        <w:rPr>
          <w:sz w:val="28"/>
          <w:szCs w:val="28"/>
        </w:rPr>
      </w:pPr>
      <w:r w:rsidRPr="001B0576">
        <w:rPr>
          <w:snapToGrid w:val="0"/>
          <w:sz w:val="28"/>
          <w:szCs w:val="28"/>
        </w:rPr>
        <w:t>23. ledna 2021</w:t>
      </w:r>
      <w:r w:rsidR="000F4D38" w:rsidRPr="001B0576">
        <w:rPr>
          <w:snapToGrid w:val="0"/>
          <w:sz w:val="28"/>
          <w:szCs w:val="28"/>
        </w:rPr>
        <w:t xml:space="preserve">                                                              </w:t>
      </w:r>
    </w:p>
    <w:sectPr w:rsidR="000F4D38" w:rsidRPr="001B0576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F4D38"/>
    <w:rsid w:val="00184E34"/>
    <w:rsid w:val="001A7C8F"/>
    <w:rsid w:val="001B0576"/>
    <w:rsid w:val="002946D2"/>
    <w:rsid w:val="00394BC5"/>
    <w:rsid w:val="003E486E"/>
    <w:rsid w:val="00464E35"/>
    <w:rsid w:val="00495D29"/>
    <w:rsid w:val="004C3651"/>
    <w:rsid w:val="0069674A"/>
    <w:rsid w:val="00791A03"/>
    <w:rsid w:val="007C1469"/>
    <w:rsid w:val="0080782A"/>
    <w:rsid w:val="00902E27"/>
    <w:rsid w:val="00AF4456"/>
    <w:rsid w:val="00AF7121"/>
    <w:rsid w:val="00BC5A9C"/>
    <w:rsid w:val="00C231C0"/>
    <w:rsid w:val="00D676AA"/>
    <w:rsid w:val="00DE4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4F8215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443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2021-01-23T16:02:00Z</dcterms:created>
  <dcterms:modified xsi:type="dcterms:W3CDTF">2021-01-23T16:02:00Z</dcterms:modified>
</cp:coreProperties>
</file>