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27EA" w:rsidRDefault="001827EA" w:rsidP="001827EA">
      <w:pPr>
        <w:spacing w:line="360" w:lineRule="auto"/>
        <w:jc w:val="center"/>
      </w:pPr>
      <w:r>
        <w:t>Filozofická fakulta Univerzity Pardubice</w:t>
      </w:r>
    </w:p>
    <w:p w:rsidR="001827EA" w:rsidRDefault="001827EA" w:rsidP="001827EA">
      <w:pPr>
        <w:spacing w:line="360" w:lineRule="auto"/>
        <w:jc w:val="center"/>
      </w:pPr>
      <w:r>
        <w:t>Ústav historických věd</w:t>
      </w:r>
    </w:p>
    <w:p w:rsidR="001827EA" w:rsidRDefault="001827EA" w:rsidP="001827EA"/>
    <w:p w:rsidR="001827EA" w:rsidRDefault="001827EA" w:rsidP="001827E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Oponentský posudek na bakalářskou práci</w:t>
      </w:r>
    </w:p>
    <w:p w:rsidR="001827EA" w:rsidRDefault="001827EA" w:rsidP="001827EA"/>
    <w:p w:rsidR="001827EA" w:rsidRDefault="001827EA" w:rsidP="001827EA"/>
    <w:p w:rsidR="001827EA" w:rsidRDefault="001827EA" w:rsidP="001827EA">
      <w:pPr>
        <w:jc w:val="center"/>
      </w:pPr>
      <w:r>
        <w:t>Barbora ŠNAJDROVÁ</w:t>
      </w:r>
    </w:p>
    <w:p w:rsidR="001827EA" w:rsidRDefault="001827EA" w:rsidP="001827EA">
      <w:pPr>
        <w:tabs>
          <w:tab w:val="left" w:pos="5010"/>
        </w:tabs>
      </w:pPr>
      <w:r>
        <w:tab/>
      </w:r>
    </w:p>
    <w:p w:rsidR="001827EA" w:rsidRDefault="001827EA" w:rsidP="001827E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Ottavio II. Piccolomini a jeho agenti v letech 1739-1752</w:t>
      </w:r>
    </w:p>
    <w:p w:rsidR="001827EA" w:rsidRDefault="001827EA" w:rsidP="001827EA">
      <w:pPr>
        <w:jc w:val="center"/>
        <w:rPr>
          <w:b/>
          <w:sz w:val="32"/>
          <w:szCs w:val="32"/>
        </w:rPr>
      </w:pPr>
    </w:p>
    <w:p w:rsidR="001827EA" w:rsidRDefault="001827EA" w:rsidP="001827EA">
      <w:pPr>
        <w:spacing w:line="360" w:lineRule="auto"/>
        <w:jc w:val="center"/>
      </w:pPr>
      <w:r>
        <w:t xml:space="preserve">Pardubice 2015, 57 stran </w:t>
      </w:r>
    </w:p>
    <w:p w:rsidR="001827EA" w:rsidRDefault="001827EA" w:rsidP="001827EA">
      <w:pPr>
        <w:spacing w:line="360" w:lineRule="auto"/>
        <w:jc w:val="center"/>
      </w:pPr>
      <w:r>
        <w:t xml:space="preserve">Vedoucí </w:t>
      </w:r>
      <w:r w:rsidR="009C51AC">
        <w:t>práce: PhD</w:t>
      </w:r>
      <w:r>
        <w:t>r. Vítězslav Prchal, Ph.D.</w:t>
      </w:r>
    </w:p>
    <w:p w:rsidR="001827EA" w:rsidRDefault="001827EA" w:rsidP="00CA31B3">
      <w:pPr>
        <w:spacing w:line="360" w:lineRule="auto"/>
      </w:pPr>
    </w:p>
    <w:p w:rsidR="001827EA" w:rsidRDefault="001827EA" w:rsidP="009C51AC">
      <w:pPr>
        <w:spacing w:line="360" w:lineRule="auto"/>
      </w:pPr>
    </w:p>
    <w:p w:rsidR="00915B30" w:rsidRPr="009C51AC" w:rsidRDefault="00915B30" w:rsidP="009C51AC">
      <w:pPr>
        <w:spacing w:line="360" w:lineRule="auto"/>
        <w:ind w:firstLine="709"/>
        <w:jc w:val="both"/>
      </w:pPr>
      <w:r>
        <w:t>Předkláda</w:t>
      </w:r>
      <w:r w:rsidR="001827EA">
        <w:t xml:space="preserve">ná bakalářská práce Barbory </w:t>
      </w:r>
      <w:r>
        <w:t>Šnajdr</w:t>
      </w:r>
      <w:r w:rsidR="001827EA">
        <w:t>ové se zaob</w:t>
      </w:r>
      <w:r>
        <w:t xml:space="preserve">írá tématem, které v současné době </w:t>
      </w:r>
      <w:r w:rsidR="009C51AC">
        <w:t xml:space="preserve">vzbuzuje </w:t>
      </w:r>
      <w:r w:rsidR="001827EA">
        <w:t>velký zájem badatelů: světem raněnovověké aristokracie, konkrétně</w:t>
      </w:r>
      <w:r>
        <w:t xml:space="preserve"> informačními sítěmi</w:t>
      </w:r>
      <w:r w:rsidR="009C51AC">
        <w:t xml:space="preserve"> urozenc</w:t>
      </w:r>
      <w:r>
        <w:t>ů</w:t>
      </w:r>
      <w:r w:rsidR="001827EA">
        <w:t xml:space="preserve">. </w:t>
      </w:r>
      <w:r>
        <w:t xml:space="preserve">Spojnici mezi šlechticem </w:t>
      </w:r>
      <w:r w:rsidR="009C51AC">
        <w:t xml:space="preserve">(zde Ottavio II. Piccolomini) </w:t>
      </w:r>
      <w:r>
        <w:t>a jeho statky či dalšími záležitostmi představují v tomto případě tři agenti</w:t>
      </w:r>
      <w:r w:rsidR="009C51AC">
        <w:t xml:space="preserve"> (Formandl, Gayer a Selbach)</w:t>
      </w:r>
      <w:r>
        <w:t>, z jejichž korespondence autorka vychází.</w:t>
      </w:r>
    </w:p>
    <w:p w:rsidR="009C51AC" w:rsidRDefault="001827EA" w:rsidP="001827EA">
      <w:pPr>
        <w:spacing w:line="360" w:lineRule="auto"/>
        <w:ind w:firstLine="709"/>
        <w:jc w:val="both"/>
      </w:pPr>
      <w:r>
        <w:t xml:space="preserve">Cílem práce je dle autorčiných slov </w:t>
      </w:r>
      <w:r w:rsidR="00A32EB0">
        <w:t>analýza této korespon</w:t>
      </w:r>
      <w:r w:rsidR="00D006E5">
        <w:t>dence a vymezení funkcí, úkolů a</w:t>
      </w:r>
      <w:r w:rsidR="00A32EB0">
        <w:t xml:space="preserve"> pravomocí agentů a také komparace zjištěných závěrů s již existujícími staršími pracemi od Lenky Maršálkové a Michaely Buriánkové, jimiž se nechala autorka inspirovat co do struktury práce, metodologie i položených otázek (s. 4). </w:t>
      </w:r>
      <w:r w:rsidR="00B0795C">
        <w:t xml:space="preserve">Jádro bakalářské práce </w:t>
      </w:r>
      <w:r w:rsidR="00306551">
        <w:t>leží v</w:t>
      </w:r>
      <w:r w:rsidR="00B0795C">
        <w:t>e</w:t>
      </w:r>
      <w:r w:rsidR="00306551">
        <w:t xml:space="preserve"> čtvrté, páté a šesté</w:t>
      </w:r>
      <w:r w:rsidR="00B0795C">
        <w:t xml:space="preserve"> kapitole</w:t>
      </w:r>
      <w:r w:rsidR="00306551">
        <w:t xml:space="preserve">, v nichž je analyzována korespondence agentů. </w:t>
      </w:r>
    </w:p>
    <w:p w:rsidR="007F3E9B" w:rsidRDefault="007F3E9B" w:rsidP="00564857">
      <w:pPr>
        <w:spacing w:line="360" w:lineRule="auto"/>
        <w:ind w:firstLine="709"/>
        <w:jc w:val="both"/>
      </w:pPr>
      <w:r>
        <w:t xml:space="preserve">V úvodu seznamuje autorka čtenáře s proměnlivým vývojem pohledu na </w:t>
      </w:r>
      <w:proofErr w:type="spellStart"/>
      <w:r>
        <w:t>raněnovověk</w:t>
      </w:r>
      <w:r w:rsidR="004F47A3">
        <w:t>o</w:t>
      </w:r>
      <w:r>
        <w:t>u</w:t>
      </w:r>
      <w:proofErr w:type="spellEnd"/>
      <w:r>
        <w:t xml:space="preserve"> aristokracii a odkazuje na díla několika česky píšících autorů. Ačkoliv cílem bakalářské práce není (a ani by neměl být) kompletní výčet literatury k danému tématu, je přesto překvapivé, že autorka ani v úvodu ani ve zbytku textu neuvádí</w:t>
      </w:r>
      <w:r w:rsidR="00162865">
        <w:t xml:space="preserve"> a nepoužívá</w:t>
      </w:r>
      <w:r>
        <w:t xml:space="preserve"> </w:t>
      </w:r>
      <w:r w:rsidR="00162865">
        <w:t xml:space="preserve">téměř </w:t>
      </w:r>
      <w:r>
        <w:t>žádnou zahraniční literaturu zabývající se aristokracií, jejím životním stylem, hodnotami a myšlenkovým světem, které je v současné do</w:t>
      </w:r>
      <w:r w:rsidR="002F2B76">
        <w:t>b</w:t>
      </w:r>
      <w:r>
        <w:t xml:space="preserve">ě k dispozici značné množství </w:t>
      </w:r>
      <w:r w:rsidR="002F2B76">
        <w:t>(</w:t>
      </w:r>
      <w:r>
        <w:t>není možné zde vypisovat úplné citace, uveďme tedy jen několik autorů, kteří se tímto tématem nějakým způsobem zaobírají: Jeroen Duindam, Mark Hengerer, Thomas Winkelbau</w:t>
      </w:r>
      <w:r w:rsidR="002F2B76">
        <w:t xml:space="preserve">rer, </w:t>
      </w:r>
      <w:r w:rsidR="00F04FEE">
        <w:t xml:space="preserve">Charles W. </w:t>
      </w:r>
      <w:proofErr w:type="spellStart"/>
      <w:r w:rsidR="00F04FEE">
        <w:t>Ingrao</w:t>
      </w:r>
      <w:proofErr w:type="spellEnd"/>
      <w:r w:rsidR="002F2B76">
        <w:t xml:space="preserve"> a mnozí další</w:t>
      </w:r>
      <w:r w:rsidR="00162865" w:rsidRPr="00162865">
        <w:t>;</w:t>
      </w:r>
      <w:r w:rsidR="00162865">
        <w:t xml:space="preserve"> někteří z těchto autorů jsou přitom uvedeni už v samotném zadání této bakalářské práce</w:t>
      </w:r>
      <w:r w:rsidR="007C0263">
        <w:t>, konkrétně v seznamu doporučené literatury</w:t>
      </w:r>
      <w:r w:rsidR="00B0795C">
        <w:t>). Vydržování agentů bylo</w:t>
      </w:r>
      <w:r w:rsidR="002F2B76">
        <w:t xml:space="preserve"> ve většině případů doménou právě těch </w:t>
      </w:r>
      <w:r w:rsidR="002F2B76">
        <w:lastRenderedPageBreak/>
        <w:t xml:space="preserve">nejurozenějších a důvody, které k tomu aristokraty vedly, opět vycházejí z jejich specifického životního </w:t>
      </w:r>
      <w:proofErr w:type="gramStart"/>
      <w:r w:rsidR="002F2B76">
        <w:t>stylu...</w:t>
      </w:r>
      <w:proofErr w:type="gramEnd"/>
      <w:r w:rsidR="002F2B76">
        <w:t xml:space="preserve"> Tyto faktory by si v předložené bakalářské práci jistě zasloužily více zájmu.</w:t>
      </w:r>
      <w:r w:rsidR="00564857">
        <w:t xml:space="preserve"> </w:t>
      </w:r>
    </w:p>
    <w:p w:rsidR="00306551" w:rsidRDefault="00564857" w:rsidP="00564857">
      <w:pPr>
        <w:spacing w:line="360" w:lineRule="auto"/>
        <w:ind w:firstLine="709"/>
        <w:jc w:val="both"/>
      </w:pPr>
      <w:r>
        <w:t xml:space="preserve">Stejně tak by bylo vhodné podepřít literaturou kapitolu pojednávající o použitých pramenech (nabízí se například dílo </w:t>
      </w:r>
      <w:r w:rsidRPr="00207FC5">
        <w:rPr>
          <w:rFonts w:cstheme="minorHAnsi"/>
        </w:rPr>
        <w:t xml:space="preserve">Carmen FURGER, </w:t>
      </w:r>
      <w:r w:rsidRPr="00207FC5">
        <w:rPr>
          <w:rFonts w:cstheme="minorHAnsi"/>
          <w:i/>
        </w:rPr>
        <w:t xml:space="preserve">Briefsteller. Das Medium „Brieff“ im </w:t>
      </w:r>
      <w:r w:rsidRPr="00162865">
        <w:rPr>
          <w:rFonts w:cstheme="minorHAnsi"/>
          <w:i/>
        </w:rPr>
        <w:t xml:space="preserve">17. </w:t>
      </w:r>
      <w:proofErr w:type="spellStart"/>
      <w:r w:rsidRPr="00162865">
        <w:rPr>
          <w:rFonts w:cstheme="minorHAnsi"/>
          <w:i/>
        </w:rPr>
        <w:t>und</w:t>
      </w:r>
      <w:proofErr w:type="spellEnd"/>
      <w:r w:rsidRPr="00162865">
        <w:rPr>
          <w:rFonts w:cstheme="minorHAnsi"/>
          <w:i/>
        </w:rPr>
        <w:t xml:space="preserve"> </w:t>
      </w:r>
      <w:proofErr w:type="spellStart"/>
      <w:r w:rsidRPr="00162865">
        <w:rPr>
          <w:rFonts w:cstheme="minorHAnsi"/>
          <w:i/>
        </w:rPr>
        <w:t>frühen</w:t>
      </w:r>
      <w:proofErr w:type="spellEnd"/>
      <w:r w:rsidRPr="00162865">
        <w:rPr>
          <w:rFonts w:cstheme="minorHAnsi"/>
          <w:i/>
        </w:rPr>
        <w:t xml:space="preserve"> 18. </w:t>
      </w:r>
      <w:proofErr w:type="spellStart"/>
      <w:r w:rsidRPr="00162865">
        <w:rPr>
          <w:rFonts w:cstheme="minorHAnsi"/>
          <w:i/>
        </w:rPr>
        <w:t>Jahrhundert</w:t>
      </w:r>
      <w:proofErr w:type="spellEnd"/>
      <w:r w:rsidRPr="00162865">
        <w:rPr>
          <w:rFonts w:cstheme="minorHAnsi"/>
        </w:rPr>
        <w:t xml:space="preserve">, </w:t>
      </w:r>
      <w:proofErr w:type="spellStart"/>
      <w:r w:rsidRPr="00162865">
        <w:rPr>
          <w:rFonts w:cstheme="minorHAnsi"/>
        </w:rPr>
        <w:t>Köln</w:t>
      </w:r>
      <w:proofErr w:type="spellEnd"/>
      <w:r w:rsidRPr="00162865">
        <w:rPr>
          <w:rFonts w:cstheme="minorHAnsi"/>
        </w:rPr>
        <w:t xml:space="preserve"> – </w:t>
      </w:r>
      <w:proofErr w:type="spellStart"/>
      <w:r w:rsidRPr="00162865">
        <w:rPr>
          <w:rFonts w:cstheme="minorHAnsi"/>
        </w:rPr>
        <w:t>Weimar</w:t>
      </w:r>
      <w:proofErr w:type="spellEnd"/>
      <w:r w:rsidRPr="00162865">
        <w:rPr>
          <w:rFonts w:cstheme="minorHAnsi"/>
        </w:rPr>
        <w:t xml:space="preserve"> – </w:t>
      </w:r>
      <w:proofErr w:type="spellStart"/>
      <w:r w:rsidRPr="00162865">
        <w:rPr>
          <w:rFonts w:cstheme="minorHAnsi"/>
        </w:rPr>
        <w:t>Wien</w:t>
      </w:r>
      <w:proofErr w:type="spellEnd"/>
      <w:r w:rsidRPr="00162865">
        <w:rPr>
          <w:rFonts w:cstheme="minorHAnsi"/>
        </w:rPr>
        <w:t xml:space="preserve"> 2010, které je dostupné v univerzitní knihovně) a také se zmínit, podle jakých zásad budou prameny citovány, což v práci bohužel není nikde vysvětleno. </w:t>
      </w:r>
      <w:r w:rsidR="00306551">
        <w:t>Pramennou základnu, na níž je práce vy</w:t>
      </w:r>
      <w:r w:rsidR="007C0263">
        <w:t>stavěna, tvoří soubor celkem 149</w:t>
      </w:r>
      <w:r w:rsidR="00306551">
        <w:t xml:space="preserve"> dopisů </w:t>
      </w:r>
      <w:r w:rsidR="00D006E5">
        <w:t xml:space="preserve">ohraničených lety 1739-1752 </w:t>
      </w:r>
      <w:r w:rsidR="00306551">
        <w:t xml:space="preserve">(nejvíce jich pochází od agenta Formandla: 86, následuje agent Gayer s 58 </w:t>
      </w:r>
      <w:r w:rsidR="00D006E5">
        <w:t>list</w:t>
      </w:r>
      <w:r w:rsidR="00306551">
        <w:t>y a nejméně, tedy pouhých pět kusů, se</w:t>
      </w:r>
      <w:r w:rsidR="00D006E5">
        <w:t xml:space="preserve"> zachovalo od agenta Selbacha)</w:t>
      </w:r>
      <w:r w:rsidR="00D006E5" w:rsidRPr="00D006E5">
        <w:t>;</w:t>
      </w:r>
      <w:r w:rsidR="00D006E5">
        <w:t xml:space="preserve"> dopi</w:t>
      </w:r>
      <w:r w:rsidR="0020782D">
        <w:t>sy jsou uloženy ve Státním oblast</w:t>
      </w:r>
      <w:r w:rsidR="00D006E5">
        <w:t xml:space="preserve">ním archivu v Zámrsku, v Rodinném </w:t>
      </w:r>
      <w:r w:rsidR="00951015">
        <w:t>archivu Piccolomini</w:t>
      </w:r>
      <w:r w:rsidR="00D006E5">
        <w:t xml:space="preserve">. </w:t>
      </w:r>
    </w:p>
    <w:p w:rsidR="008B056E" w:rsidRDefault="004C3F99" w:rsidP="00564857">
      <w:pPr>
        <w:spacing w:line="360" w:lineRule="auto"/>
        <w:ind w:firstLine="709"/>
        <w:jc w:val="both"/>
      </w:pPr>
      <w:r>
        <w:t>Vlastní analýza pramenů je pečlivá a autorka často dokládá svá tvrzení citacemi z dopisů, které, což je chvályhodné, přeložila do češtiny. (Z porovnáním originálního textu a překladu lze ovšem</w:t>
      </w:r>
      <w:r w:rsidR="007C0263">
        <w:t xml:space="preserve"> </w:t>
      </w:r>
      <w:r>
        <w:t xml:space="preserve">zjistit pár nesrovnalostí, které pak svádějí ke špatnému výkladu: například </w:t>
      </w:r>
      <w:r w:rsidR="00057527">
        <w:t xml:space="preserve">na s. 43 je v textu uvedeno, že agent hodnotí působení jistých aristokratů v jejich funkcích, z poznámky č. 188 ovšem vyplývá, že tito pánové byli do funkcí pouze nastoleni, o agentově hodnocení zde není řeč.) </w:t>
      </w:r>
    </w:p>
    <w:p w:rsidR="004C3F99" w:rsidRPr="00D006E5" w:rsidRDefault="000C783E" w:rsidP="00564857">
      <w:pPr>
        <w:spacing w:line="360" w:lineRule="auto"/>
        <w:ind w:firstLine="709"/>
        <w:jc w:val="both"/>
      </w:pPr>
      <w:r>
        <w:t>Závěry, ke kterým aut</w:t>
      </w:r>
      <w:r w:rsidR="00ED604D">
        <w:t>orka došla, jsou jistě zajímavé a přinášejí další kamínek do mozaiky poznání významu a</w:t>
      </w:r>
      <w:r w:rsidR="00951015">
        <w:t xml:space="preserve"> pravomocí šlechtických agentů</w:t>
      </w:r>
      <w:r w:rsidR="004A4B82">
        <w:t xml:space="preserve"> </w:t>
      </w:r>
      <w:r w:rsidR="00B0795C">
        <w:t>i</w:t>
      </w:r>
      <w:r w:rsidR="004A4B82">
        <w:t xml:space="preserve"> vztahu k jejich zaměstnavateli</w:t>
      </w:r>
      <w:r w:rsidR="00B0795C">
        <w:t xml:space="preserve"> (v tomto případě poměrně přátelském)</w:t>
      </w:r>
      <w:r w:rsidR="00951015">
        <w:t>. V</w:t>
      </w:r>
      <w:r w:rsidR="004A4B82">
        <w:t> době téměř neustálé</w:t>
      </w:r>
      <w:r w:rsidR="00ED604D">
        <w:t xml:space="preserve"> nepřítomnosti </w:t>
      </w:r>
      <w:proofErr w:type="spellStart"/>
      <w:r w:rsidR="00ED604D">
        <w:t>Ottavia</w:t>
      </w:r>
      <w:proofErr w:type="spellEnd"/>
      <w:r w:rsidR="00ED604D">
        <w:t xml:space="preserve"> </w:t>
      </w:r>
      <w:r w:rsidR="00B0795C">
        <w:t xml:space="preserve">II. </w:t>
      </w:r>
      <w:proofErr w:type="spellStart"/>
      <w:r w:rsidR="00ED604D">
        <w:t>Piccolomini</w:t>
      </w:r>
      <w:proofErr w:type="spellEnd"/>
      <w:r w:rsidR="00951015">
        <w:t xml:space="preserve"> </w:t>
      </w:r>
      <w:r w:rsidR="00E823DF">
        <w:t xml:space="preserve">na náchodském panství </w:t>
      </w:r>
      <w:r w:rsidR="00951015">
        <w:t>z důvodu účasti na mnohých válečných taženích té doby řešil nejvytíženější z agentů, pan Formandl, různorodé úkoly: přeposílal mu noviny</w:t>
      </w:r>
      <w:r w:rsidR="00E823DF">
        <w:t xml:space="preserve">, vyřizoval dekret o svěření pansví Náchod do rukou knížete i žádost o propůjčení trhu </w:t>
      </w:r>
      <w:r w:rsidR="0020782D">
        <w:t xml:space="preserve">na </w:t>
      </w:r>
      <w:r w:rsidR="00E823DF">
        <w:t xml:space="preserve">jeden den v týdnu, staral se o finanční záležitosti na panství (ve válečných dobách se </w:t>
      </w:r>
      <w:r w:rsidR="00351511">
        <w:t>například zasazova</w:t>
      </w:r>
      <w:r w:rsidR="00E823DF">
        <w:t xml:space="preserve">l </w:t>
      </w:r>
      <w:r w:rsidR="00351511">
        <w:t xml:space="preserve">o </w:t>
      </w:r>
      <w:r w:rsidR="0020782D">
        <w:t>úlevu z povinných dávek</w:t>
      </w:r>
      <w:r w:rsidR="00351511">
        <w:t>) a</w:t>
      </w:r>
      <w:r w:rsidR="00160C00">
        <w:t xml:space="preserve"> </w:t>
      </w:r>
      <w:r w:rsidR="00351511">
        <w:t>řešil osobní finance knížete (včetně dluhů a výplat). Agent Gayer</w:t>
      </w:r>
      <w:r w:rsidR="000E2EDD">
        <w:t xml:space="preserve"> (sekretář české komory)</w:t>
      </w:r>
      <w:r w:rsidR="00351511">
        <w:t xml:space="preserve"> </w:t>
      </w:r>
      <w:r w:rsidR="000E2EDD">
        <w:t xml:space="preserve">dohlížel na opravy a úpravy náchodského zámku a přinášel novinky i z Prahy, do které často jezdil, také knížete informoval o členech jeho rodiny a v součinnosti s Formandlem řešil i věci finanční (opět úlevy na daních a vojenských kontribucích). Po panu Selbachovi, který měl </w:t>
      </w:r>
      <w:r w:rsidR="00FD2AFD">
        <w:t>být nástupcem Formandla, se dochovalo pouze pět listů, což o jeho úkolech příliš nevypovídá.</w:t>
      </w:r>
    </w:p>
    <w:p w:rsidR="009C51AC" w:rsidRDefault="00045085" w:rsidP="001827EA">
      <w:pPr>
        <w:spacing w:line="360" w:lineRule="auto"/>
        <w:ind w:firstLine="709"/>
        <w:jc w:val="both"/>
      </w:pPr>
      <w:r>
        <w:t>Při prostudování analýzy úkolů prvních dvou zmíněných agentů se naskýtají otázky, které by podle</w:t>
      </w:r>
      <w:r w:rsidR="00B0795C">
        <w:t xml:space="preserve"> mého soudu mohly být rozebrány.</w:t>
      </w:r>
      <w:r>
        <w:t xml:space="preserve"> Oba agenti spolu nějakou dobu spolupraco</w:t>
      </w:r>
      <w:r w:rsidR="00B0795C">
        <w:t>v</w:t>
      </w:r>
      <w:r>
        <w:t>ali – jaký byl tedy mez</w:t>
      </w:r>
      <w:r w:rsidR="00B0795C">
        <w:t>i</w:t>
      </w:r>
      <w:r>
        <w:t xml:space="preserve"> nimi vztah (čistě pracovní, přátelský či na sebe a na pravomoci, které tomu druhému kníže svěřil, žárlili a bojovali o přízeň svého zaměstnavatele)? Podobně i </w:t>
      </w:r>
      <w:r>
        <w:lastRenderedPageBreak/>
        <w:t xml:space="preserve">k pravomocem náchodského hejtmana </w:t>
      </w:r>
      <w:r w:rsidR="00F75CF1">
        <w:t xml:space="preserve">(okrajově je zmíněn např. na s. 24) </w:t>
      </w:r>
      <w:r>
        <w:t xml:space="preserve">– je možné, že také fungoval jako agent (a nedochovala se jeho korespondence)? </w:t>
      </w:r>
      <w:r w:rsidR="0020782D">
        <w:t>Jak vlastně probíhala spolupráce agentů s úředníky ve službách</w:t>
      </w:r>
      <w:r w:rsidR="00B0795C">
        <w:t xml:space="preserve"> knížete: byla bezproblémová</w:t>
      </w:r>
      <w:r w:rsidR="0020782D">
        <w:t xml:space="preserve"> či se zde vyskytovaly nějaké třecí plochy? </w:t>
      </w:r>
      <w:r>
        <w:t xml:space="preserve">Jak agenti </w:t>
      </w:r>
      <w:r w:rsidR="00F62267">
        <w:t xml:space="preserve">své působení ve službách </w:t>
      </w:r>
      <w:r w:rsidR="004C7974">
        <w:t xml:space="preserve">knížete </w:t>
      </w:r>
      <w:r w:rsidR="00F62267">
        <w:t>vnímali – spíše jako čest či pouze jako zdroj příjmů (a možná i naději na získání nějakého le</w:t>
      </w:r>
      <w:r w:rsidR="00333F96">
        <w:t>p</w:t>
      </w:r>
      <w:r w:rsidR="00F62267">
        <w:t>šího místa v budoucnu)?</w:t>
      </w:r>
      <w:r w:rsidR="00333F96">
        <w:t xml:space="preserve"> Co vůbec fakt, že si najal hned několik agentů</w:t>
      </w:r>
      <w:r w:rsidR="00B0795C">
        <w:t>,</w:t>
      </w:r>
      <w:r w:rsidR="00333F96">
        <w:t xml:space="preserve"> vypovídá o </w:t>
      </w:r>
      <w:proofErr w:type="spellStart"/>
      <w:r w:rsidR="00333F96">
        <w:t>Ottaviovi</w:t>
      </w:r>
      <w:proofErr w:type="spellEnd"/>
      <w:r w:rsidR="00333F96">
        <w:t xml:space="preserve"> II. </w:t>
      </w:r>
      <w:proofErr w:type="spellStart"/>
      <w:r w:rsidR="00333F96">
        <w:t>Piccolomini</w:t>
      </w:r>
      <w:proofErr w:type="spellEnd"/>
      <w:r w:rsidR="00333F96">
        <w:t xml:space="preserve">: lze z obsahu </w:t>
      </w:r>
      <w:r w:rsidR="00B0795C">
        <w:t>zpráv odvo</w:t>
      </w:r>
      <w:r w:rsidR="00333F96">
        <w:t>dit například to, zda kníže náhodou nepomýšlel (po ukončení své vojenské kariéry) na zisk nějakého výnosného úřadu? Atd.</w:t>
      </w:r>
    </w:p>
    <w:p w:rsidR="009568BC" w:rsidRDefault="00F75CF1" w:rsidP="00D862E9">
      <w:pPr>
        <w:spacing w:line="360" w:lineRule="auto"/>
        <w:ind w:firstLine="709"/>
        <w:jc w:val="both"/>
      </w:pPr>
      <w:r>
        <w:t>Skutečností, která kazí výsledný dojem z celé práce, jsou nesrovnalosti technického charakteru</w:t>
      </w:r>
      <w:r w:rsidR="0020782D">
        <w:t>, například</w:t>
      </w:r>
      <w:r w:rsidR="008943C5">
        <w:t xml:space="preserve">: </w:t>
      </w:r>
      <w:r w:rsidR="009568BC">
        <w:t xml:space="preserve">čísla poznámek jsou někdy psaná kurzívou, někdy nekurzivně, </w:t>
      </w:r>
      <w:r w:rsidR="00B82A63">
        <w:t xml:space="preserve">mezery někde chybí, jinde přebývají, </w:t>
      </w:r>
      <w:r w:rsidR="009568BC">
        <w:t>nejsou kráceny citace literatury a pramenů –</w:t>
      </w:r>
      <w:r w:rsidR="008943C5">
        <w:t xml:space="preserve"> zvláště</w:t>
      </w:r>
      <w:r w:rsidR="009568BC">
        <w:t xml:space="preserve"> opakuje-li se citované dílo/pramen, stačí uvést pouze „TAMTÉŽ“</w:t>
      </w:r>
      <w:r w:rsidR="008943C5">
        <w:t>, a především by bylo vhodné uvádět sp</w:t>
      </w:r>
      <w:r w:rsidR="00D862E9">
        <w:t>rávné citace použité literatury</w:t>
      </w:r>
      <w:r w:rsidR="008943C5">
        <w:t xml:space="preserve"> </w:t>
      </w:r>
      <w:r w:rsidR="00D862E9">
        <w:t>(</w:t>
      </w:r>
      <w:r w:rsidR="008943C5">
        <w:t>autorka například v textu i v seznamu literatury míchá údaje u bakalářské práce Lenky Maršálkové z roku 2008 a jednoho článku téže autorky z roku 2012</w:t>
      </w:r>
      <w:r w:rsidR="007C0263">
        <w:t>, dále uvádí špatný rok vydání u bakalářské práce Michaely Buriánkové a podobně</w:t>
      </w:r>
      <w:r w:rsidR="00D862E9">
        <w:t>)</w:t>
      </w:r>
      <w:r w:rsidR="008943C5">
        <w:t>. Práce bohužel není prostá</w:t>
      </w:r>
      <w:r w:rsidR="007C0263">
        <w:t xml:space="preserve"> </w:t>
      </w:r>
      <w:r w:rsidR="008943C5">
        <w:t>gramatických chyb</w:t>
      </w:r>
      <w:r>
        <w:t>, ať už jde o shodu</w:t>
      </w:r>
      <w:r w:rsidR="00776DC5">
        <w:t> podm</w:t>
      </w:r>
      <w:bookmarkStart w:id="0" w:name="_GoBack"/>
      <w:bookmarkEnd w:id="0"/>
      <w:r w:rsidR="009568BC">
        <w:t>ětu s přísudkem (např. s. 13, 39)</w:t>
      </w:r>
      <w:r>
        <w:t>, velké množství chybějících či nadbytečných čárek</w:t>
      </w:r>
      <w:r w:rsidR="009568BC">
        <w:t xml:space="preserve"> (zde pro velkou četnost nelze uvést konkrétní příklady)</w:t>
      </w:r>
      <w:r w:rsidR="008943C5">
        <w:t xml:space="preserve"> či</w:t>
      </w:r>
      <w:r>
        <w:t xml:space="preserve"> nesprávné psaní velkých písmen</w:t>
      </w:r>
      <w:r w:rsidR="009568BC">
        <w:t xml:space="preserve"> (především u spojení jako např. slezské války, chlumecké či náchodské panství apod. je soustavně uváděno velké počáteční písmeno)</w:t>
      </w:r>
      <w:r w:rsidR="008943C5">
        <w:t>.</w:t>
      </w:r>
    </w:p>
    <w:p w:rsidR="009568BC" w:rsidRDefault="009568BC" w:rsidP="001827EA">
      <w:pPr>
        <w:spacing w:line="360" w:lineRule="auto"/>
        <w:ind w:firstLine="709"/>
        <w:jc w:val="both"/>
      </w:pPr>
      <w:r>
        <w:t>Problém spatřuji i v prvotním náhledu na roli age</w:t>
      </w:r>
      <w:r w:rsidR="00D862E9">
        <w:t>nta (cituji): „Funkce agenta je historiky vnímána jakožto určitá forma informátorství, kdy agent pro svého nadřízeného shromažďuje informace o aktuálním dění u královského dvora, v h</w:t>
      </w:r>
      <w:r w:rsidR="00862824">
        <w:t>l</w:t>
      </w:r>
      <w:r w:rsidR="00D862E9">
        <w:t>avním městě nebo v zahraničí, kde mohou být určité zájmy jeho pána.“</w:t>
      </w:r>
      <w:r w:rsidR="00862824">
        <w:t xml:space="preserve"> </w:t>
      </w:r>
      <w:r w:rsidR="00D862E9">
        <w:t>(s. 36</w:t>
      </w:r>
      <w:r w:rsidR="00333F96" w:rsidRPr="00333F96">
        <w:t>;</w:t>
      </w:r>
      <w:r w:rsidR="00862824">
        <w:t xml:space="preserve"> přitom už několik starších prací toto zjednodušené tvrzení vyvrátilo a přineslo řadu doplnění náplně práce agenta raného novověku</w:t>
      </w:r>
      <w:r w:rsidR="00D862E9">
        <w:t>)</w:t>
      </w:r>
      <w:r w:rsidR="008943C5">
        <w:t xml:space="preserve">, </w:t>
      </w:r>
      <w:r>
        <w:t>často i v nedostatku použité literatury (nejen k aristokracii samotné</w:t>
      </w:r>
      <w:r w:rsidR="0020782D">
        <w:t xml:space="preserve"> či k pravidlům dobové korespondence</w:t>
      </w:r>
      <w:r>
        <w:t>, ale i k dalším tématům, jakými je například správa panství</w:t>
      </w:r>
      <w:r w:rsidR="007C0263">
        <w:t xml:space="preserve"> a struktura tamního úředního aparátu či</w:t>
      </w:r>
      <w:r>
        <w:t xml:space="preserve"> finanční záležitosti</w:t>
      </w:r>
      <w:r w:rsidR="007C0263">
        <w:t xml:space="preserve"> na statcích </w:t>
      </w:r>
      <w:proofErr w:type="spellStart"/>
      <w:r w:rsidR="007C0263">
        <w:t>urozenců</w:t>
      </w:r>
      <w:proofErr w:type="spellEnd"/>
      <w:r w:rsidR="007C0263">
        <w:t xml:space="preserve"> atd.</w:t>
      </w:r>
      <w:r>
        <w:t>)</w:t>
      </w:r>
      <w:r w:rsidR="008943C5">
        <w:t xml:space="preserve"> a nakonec i </w:t>
      </w:r>
      <w:r w:rsidR="007C0263">
        <w:t xml:space="preserve">v některých případech </w:t>
      </w:r>
      <w:r w:rsidR="008943C5">
        <w:t>v ne příliš šťastně zvolené terminologii (pojem „feudál“ evokuje dějepisectví dob dávno minulých, s. 16)</w:t>
      </w:r>
      <w:r w:rsidR="00D862E9">
        <w:t>.</w:t>
      </w:r>
    </w:p>
    <w:p w:rsidR="001827EA" w:rsidRDefault="00D862E9" w:rsidP="00D862E9">
      <w:pPr>
        <w:spacing w:line="360" w:lineRule="auto"/>
        <w:ind w:firstLine="709"/>
        <w:jc w:val="both"/>
      </w:pPr>
      <w:r>
        <w:t>Bakalářskou práci Barbory Šnajdrové doporučuji zájmu hodnotící komise a s přihlédnutím k výše uvedeným výtkám</w:t>
      </w:r>
      <w:r w:rsidR="007C0263">
        <w:t xml:space="preserve"> </w:t>
      </w:r>
      <w:r>
        <w:t>ji navrhuji</w:t>
      </w:r>
      <w:r w:rsidR="001827EA">
        <w:t xml:space="preserve"> klasifikovat stupněm</w:t>
      </w:r>
      <w:r>
        <w:rPr>
          <w:b/>
        </w:rPr>
        <w:t xml:space="preserve"> </w:t>
      </w:r>
      <w:r w:rsidR="00621835">
        <w:rPr>
          <w:b/>
        </w:rPr>
        <w:t>velmi dobře mínus</w:t>
      </w:r>
      <w:r w:rsidR="001827EA">
        <w:t>.</w:t>
      </w:r>
    </w:p>
    <w:p w:rsidR="001827EA" w:rsidRDefault="001827EA" w:rsidP="001827EA">
      <w:pPr>
        <w:jc w:val="both"/>
      </w:pPr>
    </w:p>
    <w:p w:rsidR="001827EA" w:rsidRDefault="001827EA" w:rsidP="001827EA">
      <w:pPr>
        <w:jc w:val="both"/>
      </w:pPr>
    </w:p>
    <w:p w:rsidR="001827EA" w:rsidRDefault="00AC4DB2" w:rsidP="001827EA">
      <w:pPr>
        <w:jc w:val="both"/>
      </w:pPr>
      <w:r>
        <w:t>V Pardubicích dne 31</w:t>
      </w:r>
      <w:r w:rsidR="00D862E9">
        <w:t>. 7. 2015</w:t>
      </w:r>
    </w:p>
    <w:p w:rsidR="001827EA" w:rsidRDefault="001827EA" w:rsidP="001827EA">
      <w:pPr>
        <w:jc w:val="both"/>
      </w:pPr>
    </w:p>
    <w:p w:rsidR="001827EA" w:rsidRDefault="001827EA" w:rsidP="001827EA">
      <w:pPr>
        <w:jc w:val="both"/>
      </w:pPr>
      <w:r>
        <w:t>Mgr. Lenka Maršálková</w:t>
      </w:r>
    </w:p>
    <w:p w:rsidR="003226EE" w:rsidRDefault="003226EE"/>
    <w:sectPr w:rsidR="003226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27EA"/>
    <w:rsid w:val="00045085"/>
    <w:rsid w:val="00057527"/>
    <w:rsid w:val="000C783E"/>
    <w:rsid w:val="000E2EDD"/>
    <w:rsid w:val="000F283F"/>
    <w:rsid w:val="00130E88"/>
    <w:rsid w:val="00160C00"/>
    <w:rsid w:val="00162865"/>
    <w:rsid w:val="001827EA"/>
    <w:rsid w:val="0020782D"/>
    <w:rsid w:val="002F2B76"/>
    <w:rsid w:val="00306551"/>
    <w:rsid w:val="003226EE"/>
    <w:rsid w:val="00333F96"/>
    <w:rsid w:val="00351511"/>
    <w:rsid w:val="004A4B82"/>
    <w:rsid w:val="004C3F99"/>
    <w:rsid w:val="004C7974"/>
    <w:rsid w:val="004F47A3"/>
    <w:rsid w:val="00564857"/>
    <w:rsid w:val="00621835"/>
    <w:rsid w:val="00776DC5"/>
    <w:rsid w:val="007C0263"/>
    <w:rsid w:val="007F3E9B"/>
    <w:rsid w:val="00862824"/>
    <w:rsid w:val="008943C5"/>
    <w:rsid w:val="008B056E"/>
    <w:rsid w:val="00915B30"/>
    <w:rsid w:val="00951015"/>
    <w:rsid w:val="009568BC"/>
    <w:rsid w:val="009C51AC"/>
    <w:rsid w:val="00A32EB0"/>
    <w:rsid w:val="00AC4DB2"/>
    <w:rsid w:val="00B0795C"/>
    <w:rsid w:val="00B82A63"/>
    <w:rsid w:val="00CA31B3"/>
    <w:rsid w:val="00D006E5"/>
    <w:rsid w:val="00D862E9"/>
    <w:rsid w:val="00E823DF"/>
    <w:rsid w:val="00ED604D"/>
    <w:rsid w:val="00F04FEE"/>
    <w:rsid w:val="00F62267"/>
    <w:rsid w:val="00F75CF1"/>
    <w:rsid w:val="00FD2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2A9F54-C26E-4764-861B-6E3CBAFA2F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27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4F47A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F47A3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516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DF745239-652B-45A4-8627-480B4A2D3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595</TotalTime>
  <Pages>4</Pages>
  <Words>1096</Words>
  <Characters>6472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24</cp:revision>
  <cp:lastPrinted>2015-07-31T12:27:00Z</cp:lastPrinted>
  <dcterms:created xsi:type="dcterms:W3CDTF">2015-07-23T12:42:00Z</dcterms:created>
  <dcterms:modified xsi:type="dcterms:W3CDTF">2015-07-31T12:42:00Z</dcterms:modified>
</cp:coreProperties>
</file>