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100B4C62" w14:textId="77777777" w:rsidR="000D71AE" w:rsidRDefault="002B447F" w:rsidP="002B447F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0D71AE" w:rsidRPr="000D71AE">
        <w:rPr>
          <w:rFonts w:eastAsia="Calibri"/>
          <w:i/>
          <w:iCs/>
          <w:szCs w:val="24"/>
        </w:rPr>
        <w:t xml:space="preserve">Arthurian Legend in Popular Culture </w:t>
      </w:r>
    </w:p>
    <w:p w14:paraId="2D375CD8" w14:textId="661B2F08" w:rsidR="000D71AE" w:rsidRPr="000D71AE" w:rsidRDefault="002B447F" w:rsidP="000D71AE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0D71AE" w:rsidRPr="000D71AE">
        <w:rPr>
          <w:rFonts w:eastAsia="Calibri"/>
          <w:szCs w:val="24"/>
        </w:rPr>
        <w:t>Veronik</w:t>
      </w:r>
      <w:r w:rsidR="000D71AE">
        <w:rPr>
          <w:rFonts w:eastAsia="Calibri"/>
          <w:szCs w:val="24"/>
        </w:rPr>
        <w:t>a</w:t>
      </w:r>
      <w:r w:rsidR="000D71AE" w:rsidRPr="000D71AE">
        <w:rPr>
          <w:rFonts w:eastAsia="Calibri"/>
          <w:szCs w:val="24"/>
        </w:rPr>
        <w:t xml:space="preserve"> Foersterov</w:t>
      </w:r>
      <w:r w:rsidR="000D71AE">
        <w:rPr>
          <w:rFonts w:eastAsia="Calibri"/>
          <w:szCs w:val="24"/>
        </w:rPr>
        <w:t>á</w:t>
      </w:r>
    </w:p>
    <w:p w14:paraId="5164B514" w14:textId="3FF19493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C97CB6"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 w:rsidR="00C97CB6">
        <w:rPr>
          <w:rFonts w:eastAsia="Calibri"/>
          <w:szCs w:val="24"/>
        </w:rPr>
        <w:t>á filologie</w:t>
      </w:r>
    </w:p>
    <w:p w14:paraId="1F839C94" w14:textId="23F541E4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="0063026E" w:rsidRPr="00120D5F">
        <w:rPr>
          <w:rFonts w:eastAsia="Calibri"/>
          <w:szCs w:val="24"/>
        </w:rPr>
        <w:t>doc. Mgr. Šárka Bubíková, Ph.D.</w:t>
      </w:r>
    </w:p>
    <w:p w14:paraId="58207823" w14:textId="02DAEE51" w:rsidR="000D71AE" w:rsidRPr="00A50C25" w:rsidRDefault="002B447F" w:rsidP="000D71AE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63026E" w:rsidRPr="00A50C25">
        <w:rPr>
          <w:szCs w:val="24"/>
        </w:rPr>
        <w:t>Mgr. Olga Roebuck, Ph.D., M.Litt</w:t>
      </w:r>
      <w:r w:rsidR="0063026E">
        <w:rPr>
          <w:szCs w:val="24"/>
        </w:rPr>
        <w:t xml:space="preserve">. </w:t>
      </w:r>
    </w:p>
    <w:p w14:paraId="171AAB37" w14:textId="70ADAC6E" w:rsidR="002B447F" w:rsidRPr="00120D5F" w:rsidRDefault="002B447F" w:rsidP="000D71AE">
      <w:pPr>
        <w:rPr>
          <w:rFonts w:eastAsia="Calibri"/>
          <w:szCs w:val="24"/>
        </w:rPr>
      </w:pPr>
    </w:p>
    <w:p w14:paraId="4B7A7E6B" w14:textId="07D240BD" w:rsidR="002D00D5" w:rsidRDefault="00AF5C85" w:rsidP="009F0969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Předložená </w:t>
      </w:r>
      <w:r w:rsidR="00C97CB6"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="002B447F"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>se věnuje</w:t>
      </w:r>
      <w:r w:rsidR="00D01D64">
        <w:rPr>
          <w:rFonts w:eastAsia="Calibri"/>
          <w:szCs w:val="24"/>
        </w:rPr>
        <w:t xml:space="preserve"> </w:t>
      </w:r>
      <w:r w:rsidR="00272AA2">
        <w:rPr>
          <w:rFonts w:eastAsia="Calibri"/>
          <w:szCs w:val="24"/>
        </w:rPr>
        <w:t>způsobům, jimiž populární kultura (specificky film</w:t>
      </w:r>
      <w:r w:rsidR="00BC39B8">
        <w:rPr>
          <w:rFonts w:eastAsia="Calibri"/>
          <w:szCs w:val="24"/>
        </w:rPr>
        <w:t>ová tvorba</w:t>
      </w:r>
      <w:r w:rsidR="00272AA2">
        <w:rPr>
          <w:rFonts w:eastAsia="Calibri"/>
          <w:szCs w:val="24"/>
        </w:rPr>
        <w:t>) pracuje s</w:t>
      </w:r>
      <w:r w:rsidR="00242E62">
        <w:rPr>
          <w:rFonts w:eastAsia="Calibri"/>
          <w:szCs w:val="24"/>
        </w:rPr>
        <w:t xml:space="preserve"> prvky artušovských legend. Pro své analýzy diplomantka </w:t>
      </w:r>
      <w:r w:rsidR="00904CC8">
        <w:rPr>
          <w:rFonts w:eastAsia="Calibri"/>
          <w:szCs w:val="24"/>
        </w:rPr>
        <w:t xml:space="preserve">vhodně zvolila primární </w:t>
      </w:r>
      <w:r w:rsidR="00BC39B8">
        <w:rPr>
          <w:rFonts w:eastAsia="Calibri"/>
          <w:szCs w:val="24"/>
        </w:rPr>
        <w:t xml:space="preserve">díla – </w:t>
      </w:r>
      <w:r w:rsidR="00BC39B8" w:rsidRPr="00F5670D">
        <w:rPr>
          <w:rFonts w:eastAsia="Calibri"/>
          <w:i/>
          <w:iCs/>
          <w:szCs w:val="24"/>
        </w:rPr>
        <w:t>The</w:t>
      </w:r>
      <w:r w:rsidR="00F23CAB" w:rsidRPr="00E62247">
        <w:rPr>
          <w:rFonts w:eastAsia="Calibri"/>
          <w:i/>
          <w:iCs/>
          <w:szCs w:val="24"/>
        </w:rPr>
        <w:t xml:space="preserve"> Sword in the Stone</w:t>
      </w:r>
      <w:r w:rsidR="00E62247">
        <w:rPr>
          <w:rFonts w:eastAsia="Calibri"/>
          <w:szCs w:val="24"/>
        </w:rPr>
        <w:t xml:space="preserve"> (1963)</w:t>
      </w:r>
      <w:r w:rsidR="00F23CAB" w:rsidRPr="00F23CAB">
        <w:rPr>
          <w:rFonts w:eastAsia="Calibri"/>
          <w:szCs w:val="24"/>
        </w:rPr>
        <w:t xml:space="preserve">, </w:t>
      </w:r>
      <w:r w:rsidR="00F23CAB" w:rsidRPr="00E62247">
        <w:rPr>
          <w:rFonts w:eastAsia="Calibri"/>
          <w:i/>
          <w:iCs/>
          <w:szCs w:val="24"/>
        </w:rPr>
        <w:t>Monty Python and the Holy Grail</w:t>
      </w:r>
      <w:r w:rsidR="00E62247">
        <w:rPr>
          <w:rFonts w:eastAsia="Calibri"/>
          <w:i/>
          <w:iCs/>
          <w:szCs w:val="24"/>
        </w:rPr>
        <w:t xml:space="preserve"> </w:t>
      </w:r>
      <w:r w:rsidR="00E62247">
        <w:rPr>
          <w:rFonts w:eastAsia="Calibri"/>
          <w:szCs w:val="24"/>
        </w:rPr>
        <w:t>(1975)</w:t>
      </w:r>
      <w:r w:rsidR="00F23CAB" w:rsidRPr="00F23CAB">
        <w:rPr>
          <w:rFonts w:eastAsia="Calibri"/>
          <w:szCs w:val="24"/>
        </w:rPr>
        <w:t xml:space="preserve">, </w:t>
      </w:r>
      <w:r w:rsidR="00F23CAB" w:rsidRPr="00AE7D1D">
        <w:rPr>
          <w:rFonts w:eastAsia="Calibri"/>
          <w:i/>
          <w:iCs/>
          <w:szCs w:val="24"/>
        </w:rPr>
        <w:t>Excalibur</w:t>
      </w:r>
      <w:r w:rsidR="00E62247">
        <w:rPr>
          <w:rFonts w:eastAsia="Calibri"/>
          <w:szCs w:val="24"/>
        </w:rPr>
        <w:t xml:space="preserve"> (</w:t>
      </w:r>
      <w:r w:rsidR="00BC39B8">
        <w:rPr>
          <w:rFonts w:eastAsia="Calibri"/>
          <w:szCs w:val="24"/>
        </w:rPr>
        <w:t>1981)</w:t>
      </w:r>
      <w:r w:rsidR="00F23CAB" w:rsidRPr="00F23CAB">
        <w:rPr>
          <w:rFonts w:eastAsia="Calibri"/>
          <w:szCs w:val="24"/>
        </w:rPr>
        <w:t xml:space="preserve"> and </w:t>
      </w:r>
      <w:r w:rsidR="00953D18">
        <w:rPr>
          <w:rFonts w:eastAsia="Calibri"/>
          <w:szCs w:val="24"/>
        </w:rPr>
        <w:t xml:space="preserve">seriál </w:t>
      </w:r>
      <w:r w:rsidR="00F23CAB" w:rsidRPr="00953D18">
        <w:rPr>
          <w:rFonts w:eastAsia="Calibri"/>
          <w:i/>
          <w:iCs/>
          <w:szCs w:val="24"/>
        </w:rPr>
        <w:t>Merlin</w:t>
      </w:r>
      <w:r w:rsidR="00953D18">
        <w:rPr>
          <w:rFonts w:eastAsia="Calibri"/>
          <w:szCs w:val="24"/>
        </w:rPr>
        <w:t xml:space="preserve"> (2008-12)</w:t>
      </w:r>
      <w:r w:rsidR="006536FB">
        <w:rPr>
          <w:rFonts w:eastAsia="Calibri"/>
          <w:szCs w:val="24"/>
        </w:rPr>
        <w:t xml:space="preserve">, </w:t>
      </w:r>
      <w:r w:rsidR="00CE52DE">
        <w:rPr>
          <w:rFonts w:eastAsia="Calibri"/>
          <w:szCs w:val="24"/>
        </w:rPr>
        <w:t xml:space="preserve">která reprezentují jak odlišné doby vzniku, tak </w:t>
      </w:r>
      <w:r w:rsidR="001F6CF5">
        <w:rPr>
          <w:rFonts w:eastAsia="Calibri"/>
          <w:szCs w:val="24"/>
        </w:rPr>
        <w:t>žánr</w:t>
      </w:r>
      <w:r w:rsidR="009738E4">
        <w:rPr>
          <w:rFonts w:eastAsia="Calibri"/>
          <w:szCs w:val="24"/>
        </w:rPr>
        <w:t>.</w:t>
      </w:r>
      <w:r w:rsidR="00505C12">
        <w:rPr>
          <w:rFonts w:eastAsia="Calibri"/>
          <w:szCs w:val="24"/>
        </w:rPr>
        <w:t xml:space="preserve"> </w:t>
      </w:r>
      <w:r w:rsidR="009738E4">
        <w:rPr>
          <w:rFonts w:eastAsia="Calibri"/>
          <w:szCs w:val="24"/>
        </w:rPr>
        <w:t>J</w:t>
      </w:r>
      <w:r w:rsidR="00BE74FD">
        <w:rPr>
          <w:rFonts w:eastAsia="Calibri"/>
          <w:szCs w:val="24"/>
        </w:rPr>
        <w:t xml:space="preserve">eště více </w:t>
      </w:r>
      <w:r w:rsidR="009738E4">
        <w:rPr>
          <w:rFonts w:eastAsia="Calibri"/>
          <w:szCs w:val="24"/>
        </w:rPr>
        <w:t xml:space="preserve">je </w:t>
      </w:r>
      <w:r w:rsidR="00BE74FD">
        <w:rPr>
          <w:rFonts w:eastAsia="Calibri"/>
          <w:szCs w:val="24"/>
        </w:rPr>
        <w:t xml:space="preserve">hodno </w:t>
      </w:r>
      <w:r w:rsidR="00AE7D1D">
        <w:rPr>
          <w:rFonts w:eastAsia="Calibri"/>
          <w:szCs w:val="24"/>
        </w:rPr>
        <w:t>ocenění</w:t>
      </w:r>
      <w:r w:rsidR="009738E4">
        <w:rPr>
          <w:rFonts w:eastAsia="Calibri"/>
          <w:szCs w:val="24"/>
        </w:rPr>
        <w:t>, jaký si diplomantka zvolila</w:t>
      </w:r>
      <w:r w:rsidR="00904CC8">
        <w:rPr>
          <w:rFonts w:eastAsia="Calibri"/>
          <w:szCs w:val="24"/>
        </w:rPr>
        <w:t xml:space="preserve"> teoretický rámec. </w:t>
      </w:r>
      <w:r w:rsidR="00BE74FD">
        <w:rPr>
          <w:rFonts w:eastAsia="Calibri"/>
          <w:szCs w:val="24"/>
        </w:rPr>
        <w:t xml:space="preserve">Kombinací přístupů marxistické a feministické kritiky s teorií adaptace </w:t>
      </w:r>
      <w:r w:rsidR="00E059EE">
        <w:rPr>
          <w:rFonts w:eastAsia="Calibri"/>
          <w:szCs w:val="24"/>
        </w:rPr>
        <w:t>vytvořila</w:t>
      </w:r>
      <w:r w:rsidR="00BE74FD">
        <w:rPr>
          <w:rFonts w:eastAsia="Calibri"/>
          <w:szCs w:val="24"/>
        </w:rPr>
        <w:t xml:space="preserve"> velice efektivní</w:t>
      </w:r>
      <w:r w:rsidR="006A3DE0">
        <w:rPr>
          <w:rFonts w:eastAsia="Calibri"/>
          <w:szCs w:val="24"/>
        </w:rPr>
        <w:t xml:space="preserve"> nástroj k analýze </w:t>
      </w:r>
      <w:r w:rsidR="00E059EE">
        <w:rPr>
          <w:rFonts w:eastAsia="Calibri"/>
          <w:szCs w:val="24"/>
        </w:rPr>
        <w:t xml:space="preserve">vybraných </w:t>
      </w:r>
      <w:r w:rsidR="00594A1A">
        <w:rPr>
          <w:rFonts w:eastAsia="Calibri"/>
          <w:szCs w:val="24"/>
        </w:rPr>
        <w:t>témat – tedy práce s</w:t>
      </w:r>
      <w:r w:rsidR="0064133C">
        <w:rPr>
          <w:rFonts w:eastAsia="Calibri"/>
          <w:szCs w:val="24"/>
        </w:rPr>
        <w:t> magickou rovinou legend a postavy Kamelotu</w:t>
      </w:r>
      <w:r w:rsidR="005D7DBE">
        <w:rPr>
          <w:rFonts w:eastAsia="Calibri"/>
          <w:szCs w:val="24"/>
        </w:rPr>
        <w:t>.</w:t>
      </w:r>
      <w:r w:rsidR="0064133C">
        <w:rPr>
          <w:rFonts w:eastAsia="Calibri"/>
          <w:szCs w:val="24"/>
        </w:rPr>
        <w:t xml:space="preserve"> Rovněž je nutné vyzdvihnout, že tento </w:t>
      </w:r>
      <w:r w:rsidR="001F6CF5">
        <w:rPr>
          <w:rFonts w:eastAsia="Calibri"/>
          <w:szCs w:val="24"/>
        </w:rPr>
        <w:t>nástroj</w:t>
      </w:r>
      <w:r w:rsidR="0064133C">
        <w:rPr>
          <w:rFonts w:eastAsia="Calibri"/>
          <w:szCs w:val="24"/>
        </w:rPr>
        <w:t xml:space="preserve"> v následných analýzách skutečně důsledně aplikuje a dosahuje tak nejen přesvědčivosti své argumentace, ale i těsného a koherentního propojení teoretické a analytické části práce. </w:t>
      </w:r>
    </w:p>
    <w:p w14:paraId="52F8F773" w14:textId="6FC3C331" w:rsidR="00242E62" w:rsidRPr="00EE1FF8" w:rsidRDefault="002D00D5" w:rsidP="009F0969">
      <w:pPr>
        <w:spacing w:line="271" w:lineRule="auto"/>
        <w:rPr>
          <w:lang w:val="en-US"/>
        </w:rPr>
      </w:pPr>
      <w:r>
        <w:rPr>
          <w:rFonts w:eastAsia="Calibri"/>
          <w:szCs w:val="24"/>
        </w:rPr>
        <w:tab/>
        <w:t xml:space="preserve">V teoretické části </w:t>
      </w:r>
      <w:r w:rsidR="0019539D">
        <w:rPr>
          <w:rFonts w:eastAsia="Calibri"/>
          <w:szCs w:val="24"/>
        </w:rPr>
        <w:t xml:space="preserve">se </w:t>
      </w:r>
      <w:r w:rsidR="0038213F">
        <w:rPr>
          <w:rFonts w:eastAsia="Calibri"/>
          <w:szCs w:val="24"/>
        </w:rPr>
        <w:t>diplomantce</w:t>
      </w:r>
      <w:r w:rsidR="0019539D">
        <w:rPr>
          <w:rFonts w:eastAsia="Calibri"/>
          <w:szCs w:val="24"/>
        </w:rPr>
        <w:t xml:space="preserve"> podařilo </w:t>
      </w:r>
      <w:r w:rsidR="0038213F">
        <w:rPr>
          <w:rFonts w:eastAsia="Calibri"/>
          <w:szCs w:val="24"/>
        </w:rPr>
        <w:t>neprezentovat marxistické a feministické</w:t>
      </w:r>
      <w:r w:rsidR="00476AAE">
        <w:rPr>
          <w:rFonts w:eastAsia="Calibri"/>
          <w:szCs w:val="24"/>
        </w:rPr>
        <w:t xml:space="preserve"> teorie v podobě</w:t>
      </w:r>
      <w:r w:rsidR="0019539D">
        <w:rPr>
          <w:rFonts w:eastAsia="Calibri"/>
          <w:szCs w:val="24"/>
        </w:rPr>
        <w:t xml:space="preserve"> </w:t>
      </w:r>
      <w:r w:rsidR="0038213F">
        <w:rPr>
          <w:rFonts w:eastAsia="Calibri"/>
          <w:szCs w:val="24"/>
        </w:rPr>
        <w:t>historizující kompilace</w:t>
      </w:r>
      <w:r w:rsidR="00476AAE">
        <w:rPr>
          <w:rFonts w:eastAsia="Calibri"/>
          <w:szCs w:val="24"/>
        </w:rPr>
        <w:t xml:space="preserve">, ale už tady pracuje komparativně a </w:t>
      </w:r>
      <w:r w:rsidR="004D7824">
        <w:rPr>
          <w:rFonts w:eastAsia="Calibri"/>
          <w:szCs w:val="24"/>
        </w:rPr>
        <w:t xml:space="preserve">dodává osobitý kritický přístup. </w:t>
      </w:r>
      <w:r w:rsidR="001D6879">
        <w:rPr>
          <w:rFonts w:eastAsia="Calibri"/>
          <w:szCs w:val="24"/>
        </w:rPr>
        <w:t xml:space="preserve">S ohledem na povahu primárních zdrojů se věnuje mj. </w:t>
      </w:r>
      <w:r w:rsidR="00854D15">
        <w:rPr>
          <w:rFonts w:eastAsia="Calibri"/>
          <w:szCs w:val="24"/>
        </w:rPr>
        <w:t>konceptu „male gaze</w:t>
      </w:r>
      <w:r w:rsidR="009738E4">
        <w:rPr>
          <w:rFonts w:eastAsia="Calibri"/>
          <w:szCs w:val="24"/>
        </w:rPr>
        <w:t>“ či</w:t>
      </w:r>
      <w:r w:rsidR="00707A99">
        <w:rPr>
          <w:rFonts w:eastAsia="Calibri"/>
          <w:szCs w:val="24"/>
        </w:rPr>
        <w:t xml:space="preserve"> </w:t>
      </w:r>
      <w:r w:rsidR="00D206A6">
        <w:rPr>
          <w:rFonts w:eastAsia="Calibri"/>
          <w:szCs w:val="24"/>
        </w:rPr>
        <w:t>pojetí tzv. „intersectional feminism“</w:t>
      </w:r>
      <w:r w:rsidR="00C56146">
        <w:rPr>
          <w:rFonts w:eastAsia="Calibri"/>
          <w:szCs w:val="24"/>
        </w:rPr>
        <w:t xml:space="preserve">. </w:t>
      </w:r>
      <w:r w:rsidR="0014500A">
        <w:rPr>
          <w:rFonts w:eastAsia="Calibri"/>
          <w:szCs w:val="24"/>
        </w:rPr>
        <w:t xml:space="preserve">V pojednání o teorii adaptace </w:t>
      </w:r>
      <w:r w:rsidR="00963D38">
        <w:rPr>
          <w:rFonts w:eastAsia="Calibri"/>
          <w:szCs w:val="24"/>
        </w:rPr>
        <w:t xml:space="preserve">vhodně </w:t>
      </w:r>
      <w:r w:rsidR="00AF5BA8">
        <w:rPr>
          <w:rFonts w:eastAsia="Calibri"/>
          <w:szCs w:val="24"/>
        </w:rPr>
        <w:t>kritizuje</w:t>
      </w:r>
      <w:r w:rsidR="00963D38">
        <w:rPr>
          <w:rFonts w:eastAsia="Calibri"/>
          <w:szCs w:val="24"/>
        </w:rPr>
        <w:t xml:space="preserve"> do značné míry zplošťující přístup </w:t>
      </w:r>
      <w:r w:rsidR="0057397D">
        <w:rPr>
          <w:rFonts w:eastAsia="Calibri"/>
          <w:szCs w:val="24"/>
        </w:rPr>
        <w:t xml:space="preserve">tzv. „fidelity criticism“ a stejně tak se </w:t>
      </w:r>
      <w:r w:rsidR="00F328E1">
        <w:rPr>
          <w:rFonts w:eastAsia="Calibri"/>
          <w:szCs w:val="24"/>
        </w:rPr>
        <w:t xml:space="preserve">mu </w:t>
      </w:r>
      <w:r w:rsidR="0057397D">
        <w:rPr>
          <w:rFonts w:eastAsia="Calibri"/>
          <w:szCs w:val="24"/>
        </w:rPr>
        <w:t xml:space="preserve">velmi zdárně vyhýbá </w:t>
      </w:r>
      <w:r w:rsidR="00F328E1">
        <w:rPr>
          <w:rFonts w:eastAsia="Calibri"/>
          <w:szCs w:val="24"/>
        </w:rPr>
        <w:t xml:space="preserve">ve vlastních analýzách. </w:t>
      </w:r>
      <w:r w:rsidR="00B02BAE">
        <w:rPr>
          <w:rFonts w:eastAsia="Calibri"/>
          <w:szCs w:val="24"/>
        </w:rPr>
        <w:t xml:space="preserve">Podobně v části o původu </w:t>
      </w:r>
      <w:r w:rsidR="0007080D">
        <w:rPr>
          <w:rFonts w:eastAsia="Calibri"/>
          <w:szCs w:val="24"/>
        </w:rPr>
        <w:t xml:space="preserve">a </w:t>
      </w:r>
      <w:r w:rsidR="00B02BAE">
        <w:rPr>
          <w:rFonts w:eastAsia="Calibri"/>
          <w:szCs w:val="24"/>
        </w:rPr>
        <w:t>podobách</w:t>
      </w:r>
      <w:r w:rsidR="00F328E1">
        <w:rPr>
          <w:rFonts w:eastAsia="Calibri"/>
          <w:szCs w:val="24"/>
        </w:rPr>
        <w:t xml:space="preserve"> </w:t>
      </w:r>
      <w:r w:rsidR="00B02BAE">
        <w:rPr>
          <w:rFonts w:eastAsia="Calibri"/>
          <w:szCs w:val="24"/>
        </w:rPr>
        <w:t xml:space="preserve">artušovských legend se </w:t>
      </w:r>
      <w:r w:rsidR="00BB7D19">
        <w:rPr>
          <w:rFonts w:eastAsia="Calibri"/>
          <w:szCs w:val="24"/>
        </w:rPr>
        <w:t xml:space="preserve">vyhýbá spekulacím o </w:t>
      </w:r>
      <w:r w:rsidR="00002AEE">
        <w:rPr>
          <w:rFonts w:eastAsia="Calibri"/>
          <w:szCs w:val="24"/>
        </w:rPr>
        <w:t xml:space="preserve">jejich </w:t>
      </w:r>
      <w:r w:rsidR="00C4091B">
        <w:rPr>
          <w:rFonts w:eastAsia="Calibri"/>
          <w:szCs w:val="24"/>
        </w:rPr>
        <w:t>historické autenticitě</w:t>
      </w:r>
      <w:r w:rsidR="00002AEE">
        <w:rPr>
          <w:rFonts w:eastAsia="Calibri"/>
          <w:szCs w:val="24"/>
        </w:rPr>
        <w:t xml:space="preserve">, </w:t>
      </w:r>
      <w:r w:rsidR="009B202A">
        <w:rPr>
          <w:rFonts w:eastAsia="Calibri"/>
          <w:szCs w:val="24"/>
        </w:rPr>
        <w:t xml:space="preserve">přesně v duchu </w:t>
      </w:r>
      <w:r w:rsidR="00B05DF8">
        <w:rPr>
          <w:rFonts w:eastAsia="Calibri"/>
          <w:szCs w:val="24"/>
        </w:rPr>
        <w:t xml:space="preserve">výstižně </w:t>
      </w:r>
      <w:r w:rsidR="009B202A">
        <w:rPr>
          <w:rFonts w:eastAsia="Calibri"/>
          <w:szCs w:val="24"/>
        </w:rPr>
        <w:t xml:space="preserve">citované Laury Lambdinové </w:t>
      </w:r>
      <w:r w:rsidR="00B05DF8" w:rsidRPr="00EE1FF8">
        <w:rPr>
          <w:rFonts w:eastAsia="Calibri"/>
          <w:szCs w:val="24"/>
          <w:lang w:val="en-US"/>
        </w:rPr>
        <w:t>(„</w:t>
      </w:r>
      <w:r w:rsidR="00B05DF8" w:rsidRPr="00EE1FF8">
        <w:rPr>
          <w:lang w:val="en-US"/>
        </w:rPr>
        <w:t>narratives are not merely passive reflections of history but active agents in shaping cultural discourse</w:t>
      </w:r>
      <w:r w:rsidR="00EE1FF8" w:rsidRPr="00EE1FF8">
        <w:rPr>
          <w:lang w:val="en-US"/>
        </w:rPr>
        <w:t xml:space="preserve">,“ </w:t>
      </w:r>
      <w:r w:rsidR="00B05DF8" w:rsidRPr="00EE1FF8">
        <w:rPr>
          <w:lang w:val="en-US"/>
        </w:rPr>
        <w:t>str. 14).</w:t>
      </w:r>
    </w:p>
    <w:p w14:paraId="5FFDF9B9" w14:textId="39684369" w:rsidR="00A963CB" w:rsidRDefault="00643B63" w:rsidP="009F0969">
      <w:pPr>
        <w:spacing w:line="271" w:lineRule="auto"/>
        <w:rPr>
          <w:rFonts w:eastAsia="Calibri"/>
          <w:szCs w:val="24"/>
        </w:rPr>
      </w:pPr>
      <w:r>
        <w:tab/>
        <w:t xml:space="preserve">Ve vlastních analýzách studentka prokázala </w:t>
      </w:r>
      <w:r w:rsidR="00F155A8">
        <w:t xml:space="preserve">schopnost práce s filmovým materiálem. </w:t>
      </w:r>
      <w:r w:rsidR="00092BD1">
        <w:t>Daří se jí vyhýbat se dějové popisnosti a soustředit se pouze na vybrané aspekty</w:t>
      </w:r>
      <w:r w:rsidR="007031EE">
        <w:t xml:space="preserve">. </w:t>
      </w:r>
      <w:r w:rsidR="007B1719">
        <w:t>Například p</w:t>
      </w:r>
      <w:r w:rsidR="00B07015">
        <w:t>outavě poukazuje na</w:t>
      </w:r>
      <w:r w:rsidR="007B1719">
        <w:t xml:space="preserve"> odlišné přístupy k </w:t>
      </w:r>
      <w:r w:rsidR="009738E4">
        <w:t>magickým prvkům</w:t>
      </w:r>
      <w:r w:rsidR="007B1719">
        <w:t xml:space="preserve"> </w:t>
      </w:r>
      <w:r w:rsidR="003421B1">
        <w:t>u jednotlivých děl, na cíle a způsoby</w:t>
      </w:r>
      <w:r w:rsidR="00B07015">
        <w:t xml:space="preserve"> využit</w:t>
      </w:r>
      <w:r w:rsidR="00C25664">
        <w:t>í</w:t>
      </w:r>
      <w:r w:rsidR="00B07015">
        <w:t xml:space="preserve"> (černého) humoru a absurdity</w:t>
      </w:r>
      <w:r w:rsidR="002236C5">
        <w:t xml:space="preserve"> </w:t>
      </w:r>
      <w:r w:rsidR="003421B1">
        <w:t>v komedii od Monty Python</w:t>
      </w:r>
      <w:r w:rsidR="00ED7ABF">
        <w:t xml:space="preserve"> v protikladu k vážnému až temnému </w:t>
      </w:r>
      <w:r w:rsidR="00156B25">
        <w:t>pohledu na kouzla v </w:t>
      </w:r>
      <w:r w:rsidR="00156B25" w:rsidRPr="009738E4">
        <w:rPr>
          <w:i/>
          <w:iCs/>
        </w:rPr>
        <w:t>Excalibru</w:t>
      </w:r>
      <w:r w:rsidR="00156B25">
        <w:t xml:space="preserve">. Brilantní jsou zejména analýzy </w:t>
      </w:r>
      <w:r w:rsidR="00444449">
        <w:t>potvrzení</w:t>
      </w:r>
      <w:r w:rsidR="002C77B8">
        <w:t xml:space="preserve"> či naopak odmítnutí genderových stereotypů</w:t>
      </w:r>
      <w:r w:rsidR="00FC00A8">
        <w:t xml:space="preserve"> (např. </w:t>
      </w:r>
      <w:r w:rsidR="00F5670D">
        <w:t xml:space="preserve">poplatnost </w:t>
      </w:r>
      <w:r w:rsidR="00453BB7">
        <w:t xml:space="preserve">patriarchálním představám spojujícím ženy s emocemi a </w:t>
      </w:r>
      <w:r w:rsidR="009319A0">
        <w:t>chaosem,</w:t>
      </w:r>
      <w:r w:rsidR="00453BB7">
        <w:t xml:space="preserve"> a naopak muže s racionalitou a řádem v Disneyově </w:t>
      </w:r>
      <w:r w:rsidR="00453BB7" w:rsidRPr="00453BB7">
        <w:rPr>
          <w:i/>
          <w:iCs/>
        </w:rPr>
        <w:t>The Sword in the Stone</w:t>
      </w:r>
      <w:r w:rsidR="005D1F20">
        <w:t xml:space="preserve"> či </w:t>
      </w:r>
      <w:r w:rsidR="00D77C4D">
        <w:t>charakterizace</w:t>
      </w:r>
      <w:r w:rsidR="00F6683B">
        <w:t xml:space="preserve"> žen </w:t>
      </w:r>
      <w:r w:rsidR="009319A0">
        <w:t>daná pouze jejich vztahy k mužům v</w:t>
      </w:r>
      <w:r w:rsidR="00AC2F69">
        <w:t> </w:t>
      </w:r>
      <w:r w:rsidR="009319A0" w:rsidRPr="00444449">
        <w:rPr>
          <w:i/>
          <w:iCs/>
        </w:rPr>
        <w:t>Excalibru</w:t>
      </w:r>
      <w:r w:rsidR="00AC2F69">
        <w:t>)</w:t>
      </w:r>
      <w:r w:rsidR="00FD0179">
        <w:t xml:space="preserve">, </w:t>
      </w:r>
      <w:r w:rsidR="00190809">
        <w:t>karikování misogynie čarodějnických procesů v Pythonovské komedii</w:t>
      </w:r>
      <w:r w:rsidR="00072B48">
        <w:t>, nebo vztah</w:t>
      </w:r>
      <w:r w:rsidR="00E463E7">
        <w:t>y dominance</w:t>
      </w:r>
      <w:r w:rsidR="00F7092E">
        <w:t>, společenské hierarchie</w:t>
      </w:r>
      <w:r w:rsidR="00E463E7">
        <w:t xml:space="preserve"> a právoplatnosti vlád</w:t>
      </w:r>
      <w:r w:rsidR="00F7092E">
        <w:t xml:space="preserve">ce </w:t>
      </w:r>
      <w:r w:rsidR="00680B5D">
        <w:t xml:space="preserve">přítomné </w:t>
      </w:r>
      <w:r w:rsidR="00F7092E">
        <w:t xml:space="preserve">ve všech </w:t>
      </w:r>
      <w:r w:rsidR="00680B5D">
        <w:t>filmových adaptacích</w:t>
      </w:r>
      <w:r w:rsidR="00B37FAA">
        <w:t xml:space="preserve"> (mj. zajímavá myšlenka, že Artušův nástup k moci legitimizovaný </w:t>
      </w:r>
      <w:r w:rsidR="009738E4">
        <w:t xml:space="preserve">magickým </w:t>
      </w:r>
      <w:r w:rsidR="00B37FAA">
        <w:t xml:space="preserve">mečem </w:t>
      </w:r>
      <w:r w:rsidR="00E4461E">
        <w:t xml:space="preserve">lze chápat jako náznak možnosti společenské mobility, str. 58). </w:t>
      </w:r>
    </w:p>
    <w:p w14:paraId="4C013DDC" w14:textId="77777777" w:rsidR="002F1DE3" w:rsidRDefault="0013639B" w:rsidP="009F0969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ab/>
      </w:r>
      <w:r w:rsidR="004359D5">
        <w:rPr>
          <w:rFonts w:eastAsia="Calibri"/>
          <w:szCs w:val="24"/>
        </w:rPr>
        <w:t>Práce rozhodně</w:t>
      </w:r>
      <w:r>
        <w:rPr>
          <w:rFonts w:eastAsia="Calibri"/>
          <w:szCs w:val="24"/>
        </w:rPr>
        <w:t xml:space="preserve"> n</w:t>
      </w:r>
      <w:r w:rsidR="003F3009"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="003F3009"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="003F3009" w:rsidRPr="003F3009">
        <w:rPr>
          <w:rFonts w:eastAsia="Calibri"/>
          <w:szCs w:val="24"/>
        </w:rPr>
        <w:t xml:space="preserve"> i citační normu. Po jazykové stránce je text na adekvátní úrovni, je psán kvalitní odbornou angličtinou. Práce je </w:t>
      </w:r>
      <w:r w:rsidR="003F3009">
        <w:rPr>
          <w:rFonts w:eastAsia="Calibri"/>
          <w:szCs w:val="24"/>
        </w:rPr>
        <w:t xml:space="preserve">navíc </w:t>
      </w:r>
      <w:r w:rsidR="003F3009" w:rsidRPr="003F3009">
        <w:rPr>
          <w:rFonts w:eastAsia="Calibri"/>
          <w:szCs w:val="24"/>
        </w:rPr>
        <w:t>čtivá.</w:t>
      </w:r>
      <w:r w:rsidR="003F3009">
        <w:rPr>
          <w:rFonts w:eastAsia="Calibri"/>
          <w:szCs w:val="24"/>
        </w:rPr>
        <w:t xml:space="preserve"> </w:t>
      </w:r>
      <w:r w:rsidR="002C44BC">
        <w:rPr>
          <w:rFonts w:eastAsia="Calibri"/>
          <w:szCs w:val="24"/>
        </w:rPr>
        <w:t xml:space="preserve">(Jen několik drobností uniklo </w:t>
      </w:r>
      <w:r w:rsidR="00276969">
        <w:rPr>
          <w:rFonts w:eastAsia="Calibri"/>
          <w:szCs w:val="24"/>
        </w:rPr>
        <w:t xml:space="preserve">korektuře – American Americans </w:t>
      </w:r>
      <w:r w:rsidR="008E5276">
        <w:rPr>
          <w:rFonts w:eastAsia="Calibri"/>
          <w:szCs w:val="24"/>
        </w:rPr>
        <w:t>na str. 22</w:t>
      </w:r>
      <w:r w:rsidR="000318D0">
        <w:rPr>
          <w:rFonts w:eastAsia="Calibri"/>
          <w:szCs w:val="24"/>
        </w:rPr>
        <w:t xml:space="preserve">, </w:t>
      </w:r>
      <w:r w:rsidR="009E3E41">
        <w:rPr>
          <w:rFonts w:eastAsia="Calibri"/>
          <w:szCs w:val="24"/>
        </w:rPr>
        <w:t>uvádění Lois Tysonové jen křestním jménem v</w:t>
      </w:r>
      <w:r w:rsidR="000318D0">
        <w:rPr>
          <w:rFonts w:eastAsia="Calibri"/>
          <w:szCs w:val="24"/>
        </w:rPr>
        <w:t> </w:t>
      </w:r>
      <w:r w:rsidR="009E3E41">
        <w:rPr>
          <w:rFonts w:eastAsia="Calibri"/>
          <w:szCs w:val="24"/>
        </w:rPr>
        <w:t>textu</w:t>
      </w:r>
      <w:r w:rsidR="000318D0">
        <w:rPr>
          <w:rFonts w:eastAsia="Calibri"/>
          <w:szCs w:val="24"/>
        </w:rPr>
        <w:t xml:space="preserve"> a </w:t>
      </w:r>
      <w:r w:rsidR="00B51031">
        <w:rPr>
          <w:rFonts w:eastAsia="Calibri"/>
          <w:szCs w:val="24"/>
        </w:rPr>
        <w:t xml:space="preserve">chybějící </w:t>
      </w:r>
      <w:r w:rsidR="00B51031">
        <w:rPr>
          <w:rFonts w:eastAsia="Calibri"/>
          <w:szCs w:val="24"/>
        </w:rPr>
        <w:lastRenderedPageBreak/>
        <w:t xml:space="preserve">vysvětlující či na pravou míru uvádějící </w:t>
      </w:r>
      <w:r w:rsidR="002F1DE3">
        <w:rPr>
          <w:rFonts w:eastAsia="Calibri"/>
          <w:szCs w:val="24"/>
        </w:rPr>
        <w:t xml:space="preserve">označení, </w:t>
      </w:r>
      <w:r w:rsidR="00B51031">
        <w:rPr>
          <w:rFonts w:eastAsia="Calibri"/>
          <w:szCs w:val="24"/>
        </w:rPr>
        <w:t xml:space="preserve">kdo je Syfy a proč je citován/a </w:t>
      </w:r>
      <w:r w:rsidR="004255F4">
        <w:rPr>
          <w:rFonts w:eastAsia="Calibri"/>
          <w:szCs w:val="24"/>
        </w:rPr>
        <w:t xml:space="preserve">a brán/a vážně na str. 50). </w:t>
      </w:r>
    </w:p>
    <w:p w14:paraId="47E73F86" w14:textId="6A81BD1E" w:rsidR="003F3009" w:rsidRPr="003F3009" w:rsidRDefault="003F3009" w:rsidP="002F1DE3">
      <w:pPr>
        <w:spacing w:line="271" w:lineRule="auto"/>
        <w:ind w:firstLine="708"/>
        <w:rPr>
          <w:rFonts w:eastAsia="Calibri"/>
          <w:szCs w:val="24"/>
        </w:rPr>
      </w:pPr>
      <w:r w:rsidRPr="003F3009">
        <w:rPr>
          <w:rFonts w:eastAsia="Calibri"/>
          <w:szCs w:val="24"/>
        </w:rPr>
        <w:t xml:space="preserve">Celkově </w:t>
      </w:r>
      <w:r w:rsidR="004255F4">
        <w:rPr>
          <w:rFonts w:eastAsia="Calibri"/>
          <w:szCs w:val="24"/>
        </w:rPr>
        <w:t xml:space="preserve">tedy </w:t>
      </w:r>
      <w:r w:rsidRPr="003F3009">
        <w:rPr>
          <w:rFonts w:eastAsia="Calibri"/>
          <w:szCs w:val="24"/>
        </w:rPr>
        <w:t xml:space="preserve">práce </w:t>
      </w:r>
      <w:r w:rsidR="004255F4">
        <w:rPr>
          <w:rFonts w:eastAsia="Calibri"/>
          <w:szCs w:val="24"/>
        </w:rPr>
        <w:t>s</w:t>
      </w:r>
      <w:r w:rsidRPr="003F3009">
        <w:rPr>
          <w:rFonts w:eastAsia="Calibri"/>
          <w:szCs w:val="24"/>
        </w:rPr>
        <w:t xml:space="preserve">plňuje své zadání, ukazuje diplomantčinu schopnost kritického myšlení a práce s primárními i sekundárními zdroji a splňuje požadavky kladené na tento typ závěrečné práce. </w:t>
      </w:r>
      <w:r w:rsidR="00320562">
        <w:rPr>
          <w:rFonts w:eastAsia="Calibri"/>
          <w:szCs w:val="24"/>
        </w:rPr>
        <w:t xml:space="preserve">Pokládám ji za mimořádně zdařilou, a proto </w:t>
      </w:r>
      <w:r w:rsidR="009738E4">
        <w:rPr>
          <w:rFonts w:eastAsia="Calibri"/>
          <w:szCs w:val="24"/>
        </w:rPr>
        <w:t xml:space="preserve">ji </w:t>
      </w:r>
      <w:r w:rsidRPr="003F3009">
        <w:rPr>
          <w:rFonts w:eastAsia="Calibri"/>
          <w:szCs w:val="24"/>
        </w:rPr>
        <w:t>hodnotím jako výbornou</w:t>
      </w:r>
      <w:r w:rsidR="00320562">
        <w:rPr>
          <w:rFonts w:eastAsia="Calibri"/>
          <w:szCs w:val="24"/>
        </w:rPr>
        <w:t xml:space="preserve"> (A). Dále</w:t>
      </w:r>
      <w:r>
        <w:rPr>
          <w:rFonts w:eastAsia="Calibri"/>
          <w:szCs w:val="24"/>
        </w:rPr>
        <w:t xml:space="preserve"> se domnívám, že by si práce zasloužila upravit do podoby článku a publikovat.</w:t>
      </w:r>
    </w:p>
    <w:p w14:paraId="77D6B262" w14:textId="0D7CD1E6" w:rsidR="005B42A2" w:rsidRDefault="005B42A2" w:rsidP="003F3009">
      <w:pPr>
        <w:spacing w:line="360" w:lineRule="auto"/>
        <w:ind w:firstLine="708"/>
        <w:rPr>
          <w:rFonts w:eastAsia="Calibri"/>
          <w:szCs w:val="24"/>
        </w:rPr>
      </w:pPr>
    </w:p>
    <w:p w14:paraId="0CDB7C43" w14:textId="3B42DC62" w:rsidR="005B42A2" w:rsidRPr="00035074" w:rsidRDefault="005B42A2" w:rsidP="003F3009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EE194C">
        <w:rPr>
          <w:rFonts w:eastAsia="Calibri"/>
          <w:b/>
          <w:bCs/>
          <w:szCs w:val="24"/>
        </w:rPr>
        <w:t>A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46511464" w14:textId="1D896219" w:rsidR="005E0842" w:rsidRPr="00F36B4F" w:rsidRDefault="008836A5" w:rsidP="0003507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="005E0842" w:rsidRPr="00E43140">
        <w:rPr>
          <w:rFonts w:eastAsia="Times New Roman"/>
          <w:b/>
          <w:bCs/>
          <w:lang w:eastAsia="cs-CZ"/>
        </w:rPr>
        <w:t xml:space="preserve"> k obhajobě</w:t>
      </w:r>
      <w:r w:rsidR="005E0842">
        <w:rPr>
          <w:rFonts w:eastAsia="Times New Roman"/>
          <w:lang w:eastAsia="cs-CZ"/>
        </w:rPr>
        <w:t xml:space="preserve">: </w:t>
      </w:r>
    </w:p>
    <w:p w14:paraId="225FBD78" w14:textId="71DD9F72" w:rsidR="003B649C" w:rsidRDefault="003E3A7C" w:rsidP="00035074">
      <w:pPr>
        <w:spacing w:line="271" w:lineRule="auto"/>
        <w:rPr>
          <w:rFonts w:eastAsia="Times New Roman"/>
          <w:lang w:eastAsia="cs-CZ"/>
        </w:rPr>
      </w:pPr>
      <w:r w:rsidRPr="004D2B6C">
        <w:rPr>
          <w:rFonts w:eastAsia="Times New Roman"/>
          <w:lang w:val="en-US" w:eastAsia="cs-CZ"/>
        </w:rPr>
        <w:t xml:space="preserve">One of the films inspired by Arthurian </w:t>
      </w:r>
      <w:r w:rsidR="004D2B6C">
        <w:rPr>
          <w:rFonts w:eastAsia="Times New Roman"/>
          <w:lang w:val="en-US" w:eastAsia="cs-CZ"/>
        </w:rPr>
        <w:t>legends</w:t>
      </w:r>
      <w:r w:rsidRPr="004D2B6C">
        <w:rPr>
          <w:rFonts w:eastAsia="Times New Roman"/>
          <w:lang w:val="en-US" w:eastAsia="cs-CZ"/>
        </w:rPr>
        <w:t xml:space="preserve"> is </w:t>
      </w:r>
      <w:r w:rsidR="007C2C76">
        <w:rPr>
          <w:rFonts w:eastAsia="Times New Roman"/>
          <w:lang w:val="en-US" w:eastAsia="cs-CZ"/>
        </w:rPr>
        <w:t>J</w:t>
      </w:r>
      <w:r w:rsidR="004D2B6C" w:rsidRPr="004D2B6C">
        <w:rPr>
          <w:rFonts w:eastAsia="Times New Roman"/>
          <w:lang w:val="en-US" w:eastAsia="cs-CZ"/>
        </w:rPr>
        <w:t>erry Zucker</w:t>
      </w:r>
      <w:r w:rsidR="00E514CF">
        <w:rPr>
          <w:rFonts w:eastAsia="Times New Roman"/>
          <w:lang w:val="en-US" w:eastAsia="cs-CZ"/>
        </w:rPr>
        <w:t>’</w:t>
      </w:r>
      <w:r w:rsidR="004D2B6C" w:rsidRPr="004D2B6C">
        <w:rPr>
          <w:rFonts w:eastAsia="Times New Roman"/>
          <w:lang w:val="en-US" w:eastAsia="cs-CZ"/>
        </w:rPr>
        <w:t xml:space="preserve">s </w:t>
      </w:r>
      <w:r w:rsidR="004D2B6C" w:rsidRPr="007C2C76">
        <w:rPr>
          <w:rFonts w:eastAsia="Times New Roman"/>
          <w:i/>
          <w:iCs/>
          <w:lang w:val="en-US" w:eastAsia="cs-CZ"/>
        </w:rPr>
        <w:t xml:space="preserve">The First </w:t>
      </w:r>
      <w:r w:rsidR="007C2C76">
        <w:rPr>
          <w:rFonts w:eastAsia="Times New Roman"/>
          <w:i/>
          <w:iCs/>
          <w:lang w:val="en-US" w:eastAsia="cs-CZ"/>
        </w:rPr>
        <w:t>Knight</w:t>
      </w:r>
      <w:r w:rsidR="004D2B6C" w:rsidRPr="004D2B6C">
        <w:rPr>
          <w:rFonts w:eastAsia="Times New Roman"/>
          <w:lang w:val="en-US" w:eastAsia="cs-CZ"/>
        </w:rPr>
        <w:t xml:space="preserve"> (1995).</w:t>
      </w:r>
      <w:r w:rsidR="007C2C76">
        <w:rPr>
          <w:rFonts w:eastAsia="Times New Roman"/>
          <w:lang w:val="en-US" w:eastAsia="cs-CZ"/>
        </w:rPr>
        <w:t xml:space="preserve"> Despite its star casting, it was </w:t>
      </w:r>
      <w:r w:rsidR="00FA7DA9">
        <w:rPr>
          <w:rFonts w:eastAsia="Times New Roman"/>
          <w:lang w:val="en-US" w:eastAsia="cs-CZ"/>
        </w:rPr>
        <w:t xml:space="preserve">not </w:t>
      </w:r>
      <w:r w:rsidR="00392C1E">
        <w:rPr>
          <w:rFonts w:eastAsia="Times New Roman"/>
          <w:lang w:val="en-US" w:eastAsia="cs-CZ"/>
        </w:rPr>
        <w:t xml:space="preserve">well received. (A ČSFD rating </w:t>
      </w:r>
      <w:r w:rsidR="00946EA4">
        <w:rPr>
          <w:rFonts w:eastAsia="Times New Roman"/>
          <w:lang w:val="en-US" w:eastAsia="cs-CZ"/>
        </w:rPr>
        <w:t xml:space="preserve">of only 63%, on IMDb </w:t>
      </w:r>
      <w:r w:rsidR="002B28C3">
        <w:rPr>
          <w:rFonts w:eastAsia="Times New Roman"/>
          <w:lang w:val="en-US" w:eastAsia="cs-CZ"/>
        </w:rPr>
        <w:t xml:space="preserve">similarly </w:t>
      </w:r>
      <w:r w:rsidR="00946EA4">
        <w:rPr>
          <w:rFonts w:eastAsia="Times New Roman"/>
          <w:lang w:val="en-US" w:eastAsia="cs-CZ"/>
        </w:rPr>
        <w:t>rating 6 out of 10;</w:t>
      </w:r>
      <w:r w:rsidR="00682AC5">
        <w:rPr>
          <w:rFonts w:eastAsia="Times New Roman"/>
          <w:lang w:val="en-US" w:eastAsia="cs-CZ"/>
        </w:rPr>
        <w:t xml:space="preserve"> some </w:t>
      </w:r>
      <w:r w:rsidR="00946EA4">
        <w:rPr>
          <w:rFonts w:eastAsia="Times New Roman"/>
          <w:lang w:val="en-US" w:eastAsia="cs-CZ"/>
        </w:rPr>
        <w:t xml:space="preserve">even </w:t>
      </w:r>
      <w:r w:rsidR="00682AC5">
        <w:rPr>
          <w:rFonts w:eastAsia="Times New Roman"/>
          <w:lang w:val="en-US" w:eastAsia="cs-CZ"/>
        </w:rPr>
        <w:t>call it the worst Arthurian movie</w:t>
      </w:r>
      <w:r w:rsidR="00946EA4">
        <w:rPr>
          <w:rFonts w:eastAsia="Times New Roman"/>
          <w:lang w:val="en-US" w:eastAsia="cs-CZ"/>
        </w:rPr>
        <w:t xml:space="preserve">.) What is your opinion? Could the less-than-warm reception be caused by the fact it </w:t>
      </w:r>
      <w:r w:rsidR="009738E4">
        <w:rPr>
          <w:rFonts w:eastAsia="Times New Roman"/>
          <w:lang w:val="en-US" w:eastAsia="cs-CZ"/>
        </w:rPr>
        <w:t>eliminated</w:t>
      </w:r>
      <w:r w:rsidR="00946EA4">
        <w:rPr>
          <w:rFonts w:eastAsia="Times New Roman"/>
          <w:lang w:val="en-US" w:eastAsia="cs-CZ"/>
        </w:rPr>
        <w:t xml:space="preserve"> all magic? </w:t>
      </w:r>
      <w:r w:rsidR="002B28C3">
        <w:rPr>
          <w:rFonts w:eastAsia="Times New Roman"/>
          <w:lang w:val="en-US" w:eastAsia="cs-CZ"/>
        </w:rPr>
        <w:t xml:space="preserve">Or could the fact it was based more on </w:t>
      </w:r>
      <w:r w:rsidR="00CB200F" w:rsidRPr="00CB200F">
        <w:rPr>
          <w:rFonts w:eastAsia="Times New Roman"/>
          <w:lang w:eastAsia="cs-CZ"/>
        </w:rPr>
        <w:t>Chrétien de Troyes</w:t>
      </w:r>
      <w:r w:rsidR="00E514CF">
        <w:rPr>
          <w:rFonts w:eastAsia="Times New Roman"/>
          <w:lang w:eastAsia="cs-CZ"/>
        </w:rPr>
        <w:t xml:space="preserve"> than Mallory</w:t>
      </w:r>
      <w:r w:rsidR="00085717">
        <w:rPr>
          <w:rFonts w:eastAsia="Times New Roman"/>
          <w:lang w:eastAsia="cs-CZ"/>
        </w:rPr>
        <w:t xml:space="preserve"> play a role</w:t>
      </w:r>
      <w:r w:rsidR="00E514CF">
        <w:rPr>
          <w:rFonts w:eastAsia="Times New Roman"/>
          <w:lang w:eastAsia="cs-CZ"/>
        </w:rPr>
        <w:t>?</w:t>
      </w:r>
      <w:r w:rsidR="00EB4F0C">
        <w:rPr>
          <w:rFonts w:eastAsia="Times New Roman"/>
          <w:lang w:eastAsia="cs-CZ"/>
        </w:rPr>
        <w:t xml:space="preserve"> Or the total disregard for </w:t>
      </w:r>
      <w:r w:rsidR="00E0095A">
        <w:rPr>
          <w:rFonts w:eastAsia="Times New Roman"/>
          <w:lang w:eastAsia="cs-CZ"/>
        </w:rPr>
        <w:t>at least basic historical accuracy in costumes and settings</w:t>
      </w:r>
      <w:r w:rsidR="000B5B2C">
        <w:rPr>
          <w:rFonts w:eastAsia="Times New Roman"/>
          <w:lang w:eastAsia="cs-CZ"/>
        </w:rPr>
        <w:t xml:space="preserve"> (which a European audience would certainly notice)</w:t>
      </w:r>
      <w:r w:rsidR="00E0095A">
        <w:rPr>
          <w:rFonts w:eastAsia="Times New Roman"/>
          <w:lang w:eastAsia="cs-CZ"/>
        </w:rPr>
        <w:t>?</w:t>
      </w:r>
    </w:p>
    <w:p w14:paraId="4CF488E0" w14:textId="77777777" w:rsidR="005657D0" w:rsidRDefault="005657D0" w:rsidP="00035074">
      <w:pPr>
        <w:spacing w:line="271" w:lineRule="auto"/>
        <w:rPr>
          <w:rFonts w:eastAsia="Times New Roman"/>
          <w:lang w:eastAsia="cs-CZ"/>
        </w:rPr>
      </w:pPr>
    </w:p>
    <w:p w14:paraId="4BB930F6" w14:textId="16260583" w:rsidR="005657D0" w:rsidRPr="00CB200F" w:rsidRDefault="005657D0" w:rsidP="00035074">
      <w:pPr>
        <w:spacing w:line="271" w:lineRule="auto"/>
        <w:rPr>
          <w:rFonts w:eastAsia="Times New Roman"/>
          <w:lang w:val="en-US" w:eastAsia="cs-CZ"/>
        </w:rPr>
      </w:pPr>
      <w:r>
        <w:rPr>
          <w:rFonts w:eastAsia="Times New Roman"/>
          <w:lang w:eastAsia="cs-CZ"/>
        </w:rPr>
        <w:t xml:space="preserve">Which of the analyzed </w:t>
      </w:r>
      <w:r w:rsidR="00EB4F0C">
        <w:rPr>
          <w:rFonts w:eastAsia="Times New Roman"/>
          <w:lang w:eastAsia="cs-CZ"/>
        </w:rPr>
        <w:t xml:space="preserve">adaptations is your </w:t>
      </w:r>
      <w:r w:rsidR="00F428AC">
        <w:rPr>
          <w:rFonts w:eastAsia="Times New Roman"/>
          <w:lang w:eastAsia="cs-CZ"/>
        </w:rPr>
        <w:t>favorite</w:t>
      </w:r>
      <w:r w:rsidR="00EB4F0C">
        <w:rPr>
          <w:rFonts w:eastAsia="Times New Roman"/>
          <w:lang w:eastAsia="cs-CZ"/>
        </w:rPr>
        <w:t>?</w:t>
      </w:r>
    </w:p>
    <w:p w14:paraId="36BA6479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74740AB6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19384BE2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77E359E8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744BB5D7" w14:textId="77777777" w:rsidR="00F428AC" w:rsidRPr="00035074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18E88379" w14:textId="4A7580EE" w:rsidR="00035074" w:rsidRPr="000E68D9" w:rsidRDefault="0063026E" w:rsidP="00035074">
      <w:pPr>
        <w:spacing w:line="271" w:lineRule="auto"/>
        <w:ind w:firstLine="708"/>
        <w:jc w:val="left"/>
        <w:rPr>
          <w:rFonts w:eastAsia="Times New Roman"/>
          <w:bCs/>
          <w:lang w:eastAsia="cs-CZ"/>
        </w:rPr>
      </w:pPr>
      <w:r>
        <w:rPr>
          <w:rFonts w:eastAsia="Times New Roman"/>
          <w:bCs/>
          <w:lang w:eastAsia="cs-CZ"/>
        </w:rPr>
        <w:t>Vedoucí práce</w:t>
      </w: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6E2D848F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F428AC">
        <w:rPr>
          <w:rFonts w:eastAsia="Times New Roman"/>
          <w:lang w:eastAsia="cs-CZ"/>
        </w:rPr>
        <w:t>16</w:t>
      </w:r>
      <w:r w:rsidR="00330B24">
        <w:rPr>
          <w:rFonts w:eastAsia="Times New Roman"/>
          <w:lang w:eastAsia="cs-CZ"/>
        </w:rPr>
        <w:t>.</w:t>
      </w:r>
      <w:r w:rsidRPr="00035074">
        <w:rPr>
          <w:rFonts w:eastAsia="Times New Roman"/>
          <w:lang w:eastAsia="cs-CZ"/>
        </w:rPr>
        <w:t xml:space="preserve"> </w:t>
      </w:r>
      <w:r w:rsidR="00F428AC">
        <w:rPr>
          <w:rFonts w:eastAsia="Times New Roman"/>
          <w:lang w:eastAsia="cs-CZ"/>
        </w:rPr>
        <w:t>srp</w:t>
      </w:r>
      <w:r w:rsidR="00330B24">
        <w:rPr>
          <w:rFonts w:eastAsia="Times New Roman"/>
          <w:lang w:eastAsia="cs-CZ"/>
        </w:rPr>
        <w:t>n</w:t>
      </w:r>
      <w:r w:rsidR="00447896">
        <w:rPr>
          <w:rFonts w:eastAsia="Times New Roman"/>
          <w:lang w:eastAsia="cs-CZ"/>
        </w:rPr>
        <w:t>a</w:t>
      </w:r>
      <w:r w:rsidRPr="00035074">
        <w:rPr>
          <w:rFonts w:eastAsia="Times New Roman"/>
          <w:lang w:eastAsia="cs-CZ"/>
        </w:rPr>
        <w:t xml:space="preserve"> 202</w:t>
      </w:r>
      <w:r w:rsidR="00781D91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0E47"/>
    <w:rsid w:val="00002AEE"/>
    <w:rsid w:val="0000627A"/>
    <w:rsid w:val="00006AE1"/>
    <w:rsid w:val="000200DA"/>
    <w:rsid w:val="00023234"/>
    <w:rsid w:val="000318D0"/>
    <w:rsid w:val="00035074"/>
    <w:rsid w:val="00035E79"/>
    <w:rsid w:val="00052E3B"/>
    <w:rsid w:val="00056708"/>
    <w:rsid w:val="00057E4C"/>
    <w:rsid w:val="0007080D"/>
    <w:rsid w:val="00072B48"/>
    <w:rsid w:val="00077039"/>
    <w:rsid w:val="00085717"/>
    <w:rsid w:val="00087325"/>
    <w:rsid w:val="00092BD1"/>
    <w:rsid w:val="000B5B2C"/>
    <w:rsid w:val="000D3017"/>
    <w:rsid w:val="000D71AE"/>
    <w:rsid w:val="000E57AF"/>
    <w:rsid w:val="000E68D9"/>
    <w:rsid w:val="00100A06"/>
    <w:rsid w:val="00106E9F"/>
    <w:rsid w:val="0013639B"/>
    <w:rsid w:val="00144215"/>
    <w:rsid w:val="0014500A"/>
    <w:rsid w:val="001479A9"/>
    <w:rsid w:val="00151FEB"/>
    <w:rsid w:val="00156B25"/>
    <w:rsid w:val="00172376"/>
    <w:rsid w:val="00180741"/>
    <w:rsid w:val="00187452"/>
    <w:rsid w:val="00190809"/>
    <w:rsid w:val="0019539D"/>
    <w:rsid w:val="001A3E07"/>
    <w:rsid w:val="001A7889"/>
    <w:rsid w:val="001C2A9D"/>
    <w:rsid w:val="001C3A41"/>
    <w:rsid w:val="001D3BF7"/>
    <w:rsid w:val="001D6879"/>
    <w:rsid w:val="001E2556"/>
    <w:rsid w:val="001F152E"/>
    <w:rsid w:val="001F4B2B"/>
    <w:rsid w:val="001F6CF5"/>
    <w:rsid w:val="00206F88"/>
    <w:rsid w:val="00215809"/>
    <w:rsid w:val="002236C5"/>
    <w:rsid w:val="002310D1"/>
    <w:rsid w:val="00231474"/>
    <w:rsid w:val="00235730"/>
    <w:rsid w:val="002373ED"/>
    <w:rsid w:val="002421B6"/>
    <w:rsid w:val="00242E62"/>
    <w:rsid w:val="0024411C"/>
    <w:rsid w:val="0025606A"/>
    <w:rsid w:val="00261437"/>
    <w:rsid w:val="0026651A"/>
    <w:rsid w:val="00272AA2"/>
    <w:rsid w:val="00272C06"/>
    <w:rsid w:val="00276969"/>
    <w:rsid w:val="00291DAD"/>
    <w:rsid w:val="00293E1A"/>
    <w:rsid w:val="002A5AC9"/>
    <w:rsid w:val="002B28C3"/>
    <w:rsid w:val="002B447F"/>
    <w:rsid w:val="002C44BC"/>
    <w:rsid w:val="002C77B8"/>
    <w:rsid w:val="002D00D5"/>
    <w:rsid w:val="002D1A7E"/>
    <w:rsid w:val="002F1DE3"/>
    <w:rsid w:val="002F6EBD"/>
    <w:rsid w:val="00307D7D"/>
    <w:rsid w:val="00311272"/>
    <w:rsid w:val="00320562"/>
    <w:rsid w:val="00330B24"/>
    <w:rsid w:val="00337272"/>
    <w:rsid w:val="003421B1"/>
    <w:rsid w:val="003572B0"/>
    <w:rsid w:val="003601D0"/>
    <w:rsid w:val="00366ABD"/>
    <w:rsid w:val="00367BAC"/>
    <w:rsid w:val="00381D7B"/>
    <w:rsid w:val="0038213F"/>
    <w:rsid w:val="003834C9"/>
    <w:rsid w:val="00384192"/>
    <w:rsid w:val="003912F6"/>
    <w:rsid w:val="00392C1E"/>
    <w:rsid w:val="00393262"/>
    <w:rsid w:val="003952AE"/>
    <w:rsid w:val="003B0CC2"/>
    <w:rsid w:val="003B649C"/>
    <w:rsid w:val="003B6F3E"/>
    <w:rsid w:val="003C2570"/>
    <w:rsid w:val="003E1A9C"/>
    <w:rsid w:val="003E3A7C"/>
    <w:rsid w:val="003E5024"/>
    <w:rsid w:val="003F3009"/>
    <w:rsid w:val="003F6F78"/>
    <w:rsid w:val="004255F4"/>
    <w:rsid w:val="0043448B"/>
    <w:rsid w:val="004359D5"/>
    <w:rsid w:val="004420E9"/>
    <w:rsid w:val="00444449"/>
    <w:rsid w:val="00447896"/>
    <w:rsid w:val="00452E52"/>
    <w:rsid w:val="00453BB7"/>
    <w:rsid w:val="004555F8"/>
    <w:rsid w:val="00465178"/>
    <w:rsid w:val="00474BEF"/>
    <w:rsid w:val="00476AAE"/>
    <w:rsid w:val="00477DE2"/>
    <w:rsid w:val="00494BA4"/>
    <w:rsid w:val="0049624A"/>
    <w:rsid w:val="004969C3"/>
    <w:rsid w:val="004976B0"/>
    <w:rsid w:val="004A51FD"/>
    <w:rsid w:val="004B3A1D"/>
    <w:rsid w:val="004C0522"/>
    <w:rsid w:val="004C7BAC"/>
    <w:rsid w:val="004D1D5A"/>
    <w:rsid w:val="004D2B6C"/>
    <w:rsid w:val="004D6017"/>
    <w:rsid w:val="004D6F41"/>
    <w:rsid w:val="004D7824"/>
    <w:rsid w:val="004F792E"/>
    <w:rsid w:val="0050112B"/>
    <w:rsid w:val="00505C12"/>
    <w:rsid w:val="0050700A"/>
    <w:rsid w:val="00512020"/>
    <w:rsid w:val="0051538E"/>
    <w:rsid w:val="00523617"/>
    <w:rsid w:val="00525241"/>
    <w:rsid w:val="005361DE"/>
    <w:rsid w:val="005657D0"/>
    <w:rsid w:val="0057397D"/>
    <w:rsid w:val="005746C0"/>
    <w:rsid w:val="0057475C"/>
    <w:rsid w:val="0058646E"/>
    <w:rsid w:val="00594A1A"/>
    <w:rsid w:val="005A164D"/>
    <w:rsid w:val="005A42EC"/>
    <w:rsid w:val="005A7BE9"/>
    <w:rsid w:val="005B42A2"/>
    <w:rsid w:val="005C212E"/>
    <w:rsid w:val="005C326A"/>
    <w:rsid w:val="005C736A"/>
    <w:rsid w:val="005D1F20"/>
    <w:rsid w:val="005D2B89"/>
    <w:rsid w:val="005D7298"/>
    <w:rsid w:val="005D7DBE"/>
    <w:rsid w:val="005E0842"/>
    <w:rsid w:val="005F2454"/>
    <w:rsid w:val="005F6FD1"/>
    <w:rsid w:val="00601B5F"/>
    <w:rsid w:val="00606641"/>
    <w:rsid w:val="0063026E"/>
    <w:rsid w:val="00632E99"/>
    <w:rsid w:val="00641331"/>
    <w:rsid w:val="0064133C"/>
    <w:rsid w:val="00643511"/>
    <w:rsid w:val="00643B63"/>
    <w:rsid w:val="00645646"/>
    <w:rsid w:val="00651CBD"/>
    <w:rsid w:val="00652893"/>
    <w:rsid w:val="006531EF"/>
    <w:rsid w:val="006536FB"/>
    <w:rsid w:val="00660F6E"/>
    <w:rsid w:val="0066339F"/>
    <w:rsid w:val="00667CD3"/>
    <w:rsid w:val="00672B7D"/>
    <w:rsid w:val="00680B5D"/>
    <w:rsid w:val="00682AC5"/>
    <w:rsid w:val="006A3DE0"/>
    <w:rsid w:val="006A5B75"/>
    <w:rsid w:val="006A5FE8"/>
    <w:rsid w:val="006B5F8A"/>
    <w:rsid w:val="006E1E49"/>
    <w:rsid w:val="006F5694"/>
    <w:rsid w:val="007027A9"/>
    <w:rsid w:val="007031EE"/>
    <w:rsid w:val="00706AE5"/>
    <w:rsid w:val="00707A99"/>
    <w:rsid w:val="00730906"/>
    <w:rsid w:val="007335AF"/>
    <w:rsid w:val="007376FB"/>
    <w:rsid w:val="00743D87"/>
    <w:rsid w:val="00755FD2"/>
    <w:rsid w:val="00781D91"/>
    <w:rsid w:val="00792896"/>
    <w:rsid w:val="007960C9"/>
    <w:rsid w:val="007B1719"/>
    <w:rsid w:val="007B7A7D"/>
    <w:rsid w:val="007C2C76"/>
    <w:rsid w:val="007D477C"/>
    <w:rsid w:val="007D5159"/>
    <w:rsid w:val="007D5783"/>
    <w:rsid w:val="007F6254"/>
    <w:rsid w:val="00807494"/>
    <w:rsid w:val="008135D8"/>
    <w:rsid w:val="00821C23"/>
    <w:rsid w:val="0083165B"/>
    <w:rsid w:val="008337AF"/>
    <w:rsid w:val="00840A52"/>
    <w:rsid w:val="00850545"/>
    <w:rsid w:val="00854D15"/>
    <w:rsid w:val="00860054"/>
    <w:rsid w:val="00874C19"/>
    <w:rsid w:val="008836A5"/>
    <w:rsid w:val="008930B7"/>
    <w:rsid w:val="008A034D"/>
    <w:rsid w:val="008C0D60"/>
    <w:rsid w:val="008D6B80"/>
    <w:rsid w:val="008E340B"/>
    <w:rsid w:val="008E5276"/>
    <w:rsid w:val="00901DA0"/>
    <w:rsid w:val="0090272F"/>
    <w:rsid w:val="00904CC8"/>
    <w:rsid w:val="00907748"/>
    <w:rsid w:val="009319A0"/>
    <w:rsid w:val="00931AAD"/>
    <w:rsid w:val="009338DC"/>
    <w:rsid w:val="00946EA4"/>
    <w:rsid w:val="00952D11"/>
    <w:rsid w:val="00953D18"/>
    <w:rsid w:val="009540F7"/>
    <w:rsid w:val="00960778"/>
    <w:rsid w:val="00962DB4"/>
    <w:rsid w:val="00963D38"/>
    <w:rsid w:val="009738E4"/>
    <w:rsid w:val="00983083"/>
    <w:rsid w:val="00994112"/>
    <w:rsid w:val="009A11D8"/>
    <w:rsid w:val="009B0F40"/>
    <w:rsid w:val="009B1EB2"/>
    <w:rsid w:val="009B202A"/>
    <w:rsid w:val="009B288E"/>
    <w:rsid w:val="009B74BA"/>
    <w:rsid w:val="009C0D8C"/>
    <w:rsid w:val="009E2E8C"/>
    <w:rsid w:val="009E3E41"/>
    <w:rsid w:val="009F0969"/>
    <w:rsid w:val="009F0AEF"/>
    <w:rsid w:val="009F54FE"/>
    <w:rsid w:val="00A0558E"/>
    <w:rsid w:val="00A11586"/>
    <w:rsid w:val="00A15058"/>
    <w:rsid w:val="00A235FF"/>
    <w:rsid w:val="00A249E6"/>
    <w:rsid w:val="00A2518A"/>
    <w:rsid w:val="00A3012E"/>
    <w:rsid w:val="00A313E5"/>
    <w:rsid w:val="00A46529"/>
    <w:rsid w:val="00A535B2"/>
    <w:rsid w:val="00A607F9"/>
    <w:rsid w:val="00A67856"/>
    <w:rsid w:val="00A74725"/>
    <w:rsid w:val="00A7601E"/>
    <w:rsid w:val="00A7789C"/>
    <w:rsid w:val="00A84364"/>
    <w:rsid w:val="00A905F5"/>
    <w:rsid w:val="00A963CB"/>
    <w:rsid w:val="00AA6534"/>
    <w:rsid w:val="00AC2F69"/>
    <w:rsid w:val="00AE7D1D"/>
    <w:rsid w:val="00AF4F8F"/>
    <w:rsid w:val="00AF5BA8"/>
    <w:rsid w:val="00AF5C85"/>
    <w:rsid w:val="00B02BAE"/>
    <w:rsid w:val="00B0339E"/>
    <w:rsid w:val="00B0483D"/>
    <w:rsid w:val="00B0502A"/>
    <w:rsid w:val="00B05DF8"/>
    <w:rsid w:val="00B07015"/>
    <w:rsid w:val="00B21451"/>
    <w:rsid w:val="00B21753"/>
    <w:rsid w:val="00B2292B"/>
    <w:rsid w:val="00B2764C"/>
    <w:rsid w:val="00B37FAA"/>
    <w:rsid w:val="00B443B6"/>
    <w:rsid w:val="00B452CF"/>
    <w:rsid w:val="00B50B5A"/>
    <w:rsid w:val="00B51031"/>
    <w:rsid w:val="00B51161"/>
    <w:rsid w:val="00B661C8"/>
    <w:rsid w:val="00B93B39"/>
    <w:rsid w:val="00B96B22"/>
    <w:rsid w:val="00B97156"/>
    <w:rsid w:val="00BA5C14"/>
    <w:rsid w:val="00BB13B5"/>
    <w:rsid w:val="00BB29E7"/>
    <w:rsid w:val="00BB7D19"/>
    <w:rsid w:val="00BC39B8"/>
    <w:rsid w:val="00BC662F"/>
    <w:rsid w:val="00BE2161"/>
    <w:rsid w:val="00BE3634"/>
    <w:rsid w:val="00BE437A"/>
    <w:rsid w:val="00BE74FD"/>
    <w:rsid w:val="00BF141F"/>
    <w:rsid w:val="00C00D12"/>
    <w:rsid w:val="00C06B1B"/>
    <w:rsid w:val="00C146DD"/>
    <w:rsid w:val="00C14E3C"/>
    <w:rsid w:val="00C1644A"/>
    <w:rsid w:val="00C168E4"/>
    <w:rsid w:val="00C21A5D"/>
    <w:rsid w:val="00C25664"/>
    <w:rsid w:val="00C25C78"/>
    <w:rsid w:val="00C25F2A"/>
    <w:rsid w:val="00C4091B"/>
    <w:rsid w:val="00C43EC1"/>
    <w:rsid w:val="00C56146"/>
    <w:rsid w:val="00C60F6D"/>
    <w:rsid w:val="00C72D99"/>
    <w:rsid w:val="00C74E33"/>
    <w:rsid w:val="00C755CF"/>
    <w:rsid w:val="00C82345"/>
    <w:rsid w:val="00C83100"/>
    <w:rsid w:val="00C841CB"/>
    <w:rsid w:val="00C9645A"/>
    <w:rsid w:val="00C97CB6"/>
    <w:rsid w:val="00CA0F74"/>
    <w:rsid w:val="00CA73AF"/>
    <w:rsid w:val="00CB200F"/>
    <w:rsid w:val="00CD24AC"/>
    <w:rsid w:val="00CD4FA8"/>
    <w:rsid w:val="00CE52DE"/>
    <w:rsid w:val="00CF3F63"/>
    <w:rsid w:val="00D01D64"/>
    <w:rsid w:val="00D073E4"/>
    <w:rsid w:val="00D17ADE"/>
    <w:rsid w:val="00D206A6"/>
    <w:rsid w:val="00D22712"/>
    <w:rsid w:val="00D235CF"/>
    <w:rsid w:val="00D240D7"/>
    <w:rsid w:val="00D269B4"/>
    <w:rsid w:val="00D41DD1"/>
    <w:rsid w:val="00D43ECE"/>
    <w:rsid w:val="00D5606B"/>
    <w:rsid w:val="00D77C4D"/>
    <w:rsid w:val="00DA08DC"/>
    <w:rsid w:val="00DA0F0A"/>
    <w:rsid w:val="00DB6557"/>
    <w:rsid w:val="00DC3E64"/>
    <w:rsid w:val="00DC5E23"/>
    <w:rsid w:val="00DD31CD"/>
    <w:rsid w:val="00E0095A"/>
    <w:rsid w:val="00E059EE"/>
    <w:rsid w:val="00E16972"/>
    <w:rsid w:val="00E22081"/>
    <w:rsid w:val="00E356D0"/>
    <w:rsid w:val="00E420BD"/>
    <w:rsid w:val="00E43140"/>
    <w:rsid w:val="00E4461E"/>
    <w:rsid w:val="00E463E7"/>
    <w:rsid w:val="00E514CF"/>
    <w:rsid w:val="00E51F33"/>
    <w:rsid w:val="00E57015"/>
    <w:rsid w:val="00E62247"/>
    <w:rsid w:val="00E62DB4"/>
    <w:rsid w:val="00E667ED"/>
    <w:rsid w:val="00E7217C"/>
    <w:rsid w:val="00E7406A"/>
    <w:rsid w:val="00E745AF"/>
    <w:rsid w:val="00E85742"/>
    <w:rsid w:val="00E87B7F"/>
    <w:rsid w:val="00E90344"/>
    <w:rsid w:val="00E91AF1"/>
    <w:rsid w:val="00EA663D"/>
    <w:rsid w:val="00EB1941"/>
    <w:rsid w:val="00EB28F5"/>
    <w:rsid w:val="00EB4F0C"/>
    <w:rsid w:val="00EC6305"/>
    <w:rsid w:val="00ED7ABF"/>
    <w:rsid w:val="00EE194C"/>
    <w:rsid w:val="00EE1FF8"/>
    <w:rsid w:val="00EF14AE"/>
    <w:rsid w:val="00F04678"/>
    <w:rsid w:val="00F12690"/>
    <w:rsid w:val="00F155A8"/>
    <w:rsid w:val="00F17765"/>
    <w:rsid w:val="00F23CAB"/>
    <w:rsid w:val="00F24590"/>
    <w:rsid w:val="00F315C1"/>
    <w:rsid w:val="00F328E1"/>
    <w:rsid w:val="00F35017"/>
    <w:rsid w:val="00F36B4F"/>
    <w:rsid w:val="00F425C9"/>
    <w:rsid w:val="00F428AC"/>
    <w:rsid w:val="00F512FE"/>
    <w:rsid w:val="00F5224A"/>
    <w:rsid w:val="00F5670D"/>
    <w:rsid w:val="00F6131C"/>
    <w:rsid w:val="00F6383B"/>
    <w:rsid w:val="00F6683B"/>
    <w:rsid w:val="00F7092E"/>
    <w:rsid w:val="00F8146C"/>
    <w:rsid w:val="00F81A75"/>
    <w:rsid w:val="00F85CF5"/>
    <w:rsid w:val="00F87CE7"/>
    <w:rsid w:val="00F91CF1"/>
    <w:rsid w:val="00F92690"/>
    <w:rsid w:val="00F926AA"/>
    <w:rsid w:val="00FA1C6B"/>
    <w:rsid w:val="00FA627C"/>
    <w:rsid w:val="00FA7DA9"/>
    <w:rsid w:val="00FB44B0"/>
    <w:rsid w:val="00FB794A"/>
    <w:rsid w:val="00FC00A8"/>
    <w:rsid w:val="00FC18D9"/>
    <w:rsid w:val="00FC26A6"/>
    <w:rsid w:val="00FC5769"/>
    <w:rsid w:val="00FC5E0B"/>
    <w:rsid w:val="00FD0179"/>
    <w:rsid w:val="00FD12AC"/>
    <w:rsid w:val="00FD5BB1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3E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31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9728bb6f575ab0b28af9a99f99c9cd3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291733468187bc0b5667b5cc93ed73d2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EEABA7-E0FF-48B6-9022-38DA63B33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666</Words>
  <Characters>3818</Characters>
  <Application>Microsoft Office Word</Application>
  <DocSecurity>0</DocSecurity>
  <Lines>73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121</cp:revision>
  <cp:lastPrinted>2023-08-21T08:51:00Z</cp:lastPrinted>
  <dcterms:created xsi:type="dcterms:W3CDTF">2024-08-16T14:06:00Z</dcterms:created>
  <dcterms:modified xsi:type="dcterms:W3CDTF">2024-08-19T07:53:00Z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