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17240B" w:rsidRDefault="00080D7A" w:rsidP="00080D7A">
      <w:pPr>
        <w:spacing w:before="60"/>
        <w:jc w:val="both"/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7240B">
        <w:rPr>
          <w:b/>
        </w:rPr>
        <w:tab/>
      </w:r>
      <w:r w:rsidR="0017240B" w:rsidRPr="0017240B">
        <w:t>Bc.</w:t>
      </w:r>
      <w:r w:rsidR="0017240B">
        <w:rPr>
          <w:b/>
        </w:rPr>
        <w:t xml:space="preserve"> </w:t>
      </w:r>
      <w:r w:rsidR="0017240B">
        <w:t>Nikola Koutová</w:t>
      </w:r>
    </w:p>
    <w:p w:rsidR="0017240B" w:rsidRPr="0017240B" w:rsidRDefault="00080D7A" w:rsidP="0017240B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17240B">
        <w:rPr>
          <w:b/>
        </w:rPr>
        <w:tab/>
      </w:r>
      <w:r w:rsidR="0017240B" w:rsidRPr="0017240B">
        <w:tab/>
      </w:r>
      <w:proofErr w:type="spellStart"/>
      <w:r w:rsidR="0017240B" w:rsidRPr="0017240B">
        <w:t>Mediální</w:t>
      </w:r>
      <w:proofErr w:type="spellEnd"/>
      <w:r w:rsidR="0017240B" w:rsidRPr="0017240B">
        <w:t xml:space="preserve"> </w:t>
      </w:r>
      <w:proofErr w:type="spellStart"/>
      <w:r w:rsidR="0017240B" w:rsidRPr="0017240B">
        <w:t>gramotnost</w:t>
      </w:r>
      <w:proofErr w:type="spellEnd"/>
      <w:r w:rsidR="0017240B" w:rsidRPr="0017240B">
        <w:t xml:space="preserve"> </w:t>
      </w:r>
      <w:proofErr w:type="spellStart"/>
      <w:r w:rsidR="0017240B" w:rsidRPr="0017240B">
        <w:t>seniorů</w:t>
      </w:r>
      <w:proofErr w:type="spellEnd"/>
      <w:r w:rsidR="0017240B">
        <w:rPr>
          <w:sz w:val="28"/>
          <w:szCs w:val="28"/>
        </w:rPr>
        <w:t xml:space="preserve"> </w:t>
      </w:r>
    </w:p>
    <w:p w:rsidR="00080D7A" w:rsidRPr="0017240B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7240B">
        <w:rPr>
          <w:b/>
        </w:rPr>
        <w:tab/>
      </w:r>
      <w:r w:rsidR="00B36ABE">
        <w:t>do</w:t>
      </w:r>
      <w:r w:rsidR="0017240B">
        <w:t>c</w:t>
      </w:r>
      <w:r w:rsidR="00B36ABE">
        <w:t>.</w:t>
      </w:r>
      <w:r w:rsidR="0017240B">
        <w:t xml:space="preserve">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7240B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450B20" w:rsidRPr="00BD54FF" w:rsidRDefault="00450B20" w:rsidP="00BF19E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Vymezení cílů je nejednoznačné, je např. jiné při formulaci výzkumu, jiné v Závěru práce, reálně autorka spíše „chodí okolo“ cílů, nežli míří k nim.</w:t>
            </w:r>
          </w:p>
        </w:tc>
        <w:tc>
          <w:tcPr>
            <w:tcW w:w="1494" w:type="dxa"/>
            <w:vAlign w:val="center"/>
          </w:tcPr>
          <w:p w:rsidR="00080D7A" w:rsidRPr="00BD54FF" w:rsidRDefault="00450B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69731C" w:rsidRPr="00BD54FF" w:rsidRDefault="0069731C" w:rsidP="0069731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Každý odborný text má svoji filozofii, ideovou niť, která autora vede od začátku do konce. Zde je v popředí spíše leporelo, skládačka, kde dominantní části tvoří primární a sekundární odkazy čerpající z Janiše a Skopalové, Jiráka a </w:t>
            </w:r>
            <w:proofErr w:type="spellStart"/>
            <w:r>
              <w:rPr>
                <w:sz w:val="22"/>
                <w:szCs w:val="22"/>
              </w:rPr>
              <w:t>Köpplové</w:t>
            </w:r>
            <w:proofErr w:type="spellEnd"/>
            <w:r>
              <w:rPr>
                <w:sz w:val="22"/>
                <w:szCs w:val="22"/>
              </w:rPr>
              <w:t xml:space="preserve">, Špatenkové a Smékalové a Sochorové. </w:t>
            </w:r>
          </w:p>
        </w:tc>
        <w:tc>
          <w:tcPr>
            <w:tcW w:w="1494" w:type="dxa"/>
            <w:vAlign w:val="center"/>
          </w:tcPr>
          <w:p w:rsidR="00080D7A" w:rsidRPr="00BD54FF" w:rsidRDefault="0069731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69731C" w:rsidRPr="00BD54FF" w:rsidRDefault="0069731C" w:rsidP="005278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větší rů</w:t>
            </w:r>
            <w:r w:rsidR="00527861">
              <w:rPr>
                <w:sz w:val="22"/>
                <w:szCs w:val="22"/>
              </w:rPr>
              <w:t>znorodost zdrojů, ale</w:t>
            </w:r>
            <w:r w:rsidR="00D724DC">
              <w:rPr>
                <w:sz w:val="22"/>
                <w:szCs w:val="22"/>
              </w:rPr>
              <w:t xml:space="preserve"> i</w:t>
            </w:r>
            <w:r w:rsidR="00527861">
              <w:rPr>
                <w:sz w:val="22"/>
                <w:szCs w:val="22"/>
              </w:rPr>
              <w:t xml:space="preserve"> jistá míra kritičnosti k nim. </w:t>
            </w:r>
          </w:p>
        </w:tc>
        <w:tc>
          <w:tcPr>
            <w:tcW w:w="1494" w:type="dxa"/>
            <w:vAlign w:val="center"/>
          </w:tcPr>
          <w:p w:rsidR="00080D7A" w:rsidRPr="00BD54FF" w:rsidRDefault="0069731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Default="00D41B46" w:rsidP="0052786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527861" w:rsidRPr="00BD54FF" w:rsidRDefault="00527861" w:rsidP="00D724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Adekvátnost výzkumné metody lze vcelku akceptovat, i když je jistý rozdíl mezi přímo podávanými dotazníky a dotazníky elektronickými. Samotný dotazník není zaměřen přes</w:t>
            </w:r>
            <w:r w:rsidR="00D724DC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ně na cíle práce a cíle výzkumu. Použití statistických metod je</w:t>
            </w:r>
            <w:r w:rsidR="00D724DC">
              <w:rPr>
                <w:sz w:val="22"/>
                <w:szCs w:val="22"/>
              </w:rPr>
              <w:t xml:space="preserve"> sice</w:t>
            </w:r>
            <w:r>
              <w:rPr>
                <w:sz w:val="22"/>
                <w:szCs w:val="22"/>
              </w:rPr>
              <w:t xml:space="preserve"> různorodé</w:t>
            </w:r>
            <w:r w:rsidR="00D724DC">
              <w:rPr>
                <w:sz w:val="22"/>
                <w:szCs w:val="22"/>
              </w:rPr>
              <w:t xml:space="preserve">, ale </w:t>
            </w:r>
            <w:proofErr w:type="spellStart"/>
            <w:r w:rsidR="00D724DC">
              <w:rPr>
                <w:sz w:val="22"/>
                <w:szCs w:val="22"/>
              </w:rPr>
              <w:t>společ-ným</w:t>
            </w:r>
            <w:proofErr w:type="spellEnd"/>
            <w:r w:rsidR="00D724DC">
              <w:rPr>
                <w:sz w:val="22"/>
                <w:szCs w:val="22"/>
              </w:rPr>
              <w:t xml:space="preserve"> znakem jsou víceré</w:t>
            </w:r>
            <w:r>
              <w:rPr>
                <w:sz w:val="22"/>
                <w:szCs w:val="22"/>
              </w:rPr>
              <w:t xml:space="preserve"> nedostatky.</w:t>
            </w:r>
          </w:p>
        </w:tc>
        <w:tc>
          <w:tcPr>
            <w:tcW w:w="1494" w:type="dxa"/>
            <w:vAlign w:val="center"/>
          </w:tcPr>
          <w:p w:rsidR="00217BBE" w:rsidRPr="00527861" w:rsidRDefault="0052786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FB5C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FB5CA6" w:rsidRPr="00BD54FF" w:rsidRDefault="00FB5CA6" w:rsidP="00246B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 je deskriptivní, kdyby se autorka vyhnula hypotézám, mohla si „ušetřit“ mnoho nepřesností i „překrývání se hypotéz“. Součástí metodologie je také interpretace výsled-</w:t>
            </w:r>
            <w:proofErr w:type="spellStart"/>
            <w:r>
              <w:rPr>
                <w:sz w:val="22"/>
                <w:szCs w:val="22"/>
              </w:rPr>
              <w:t>ků</w:t>
            </w:r>
            <w:proofErr w:type="spellEnd"/>
            <w:r>
              <w:rPr>
                <w:sz w:val="22"/>
                <w:szCs w:val="22"/>
              </w:rPr>
              <w:t>. Ten</w:t>
            </w:r>
            <w:r w:rsidR="008C57BC">
              <w:rPr>
                <w:sz w:val="22"/>
                <w:szCs w:val="22"/>
              </w:rPr>
              <w:t>to „prostor“</w:t>
            </w:r>
            <w:r>
              <w:rPr>
                <w:sz w:val="22"/>
                <w:szCs w:val="22"/>
              </w:rPr>
              <w:t xml:space="preserve"> využila autorka velmi málo.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27861" w:rsidRDefault="0052786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27861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B5CA6" w:rsidRDefault="00FB5CA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B5CA6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246B5A">
              <w:rPr>
                <w:sz w:val="22"/>
                <w:szCs w:val="22"/>
              </w:rPr>
              <w:t xml:space="preserve">. </w:t>
            </w:r>
          </w:p>
          <w:p w:rsidR="00FB5CA6" w:rsidRPr="00BD54FF" w:rsidRDefault="00246B5A" w:rsidP="00246B5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Viď předcházející hodnocení.</w:t>
            </w:r>
          </w:p>
        </w:tc>
        <w:tc>
          <w:tcPr>
            <w:tcW w:w="1494" w:type="dxa"/>
            <w:vAlign w:val="center"/>
          </w:tcPr>
          <w:p w:rsidR="00391AAF" w:rsidRPr="00BD54FF" w:rsidRDefault="00FB5C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:rsidR="001643C3" w:rsidRPr="00BD54FF" w:rsidRDefault="001643C3" w:rsidP="002B1E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ani v teoretické, ani v praktické části nevyužila dostatečně možnost vyjadřovat vlastní myšlenky. </w:t>
            </w:r>
          </w:p>
        </w:tc>
        <w:tc>
          <w:tcPr>
            <w:tcW w:w="1494" w:type="dxa"/>
            <w:vAlign w:val="center"/>
          </w:tcPr>
          <w:p w:rsidR="0082081A" w:rsidRPr="001643C3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 w:rsidRPr="001643C3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:rsidR="001643C3" w:rsidRPr="00BD54FF" w:rsidRDefault="001643C3" w:rsidP="0082081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na konstatované fakty vidím odborný přínos především pro autorku.</w:t>
            </w:r>
          </w:p>
        </w:tc>
        <w:tc>
          <w:tcPr>
            <w:tcW w:w="1494" w:type="dxa"/>
            <w:vAlign w:val="center"/>
          </w:tcPr>
          <w:p w:rsidR="00205A5E" w:rsidRPr="001643C3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643C3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 w:rsidRPr="001643C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677CFB" w:rsidRDefault="00205A5E" w:rsidP="00BF19E0">
            <w:pPr>
              <w:jc w:val="both"/>
              <w:rPr>
                <w:sz w:val="22"/>
                <w:szCs w:val="22"/>
              </w:rPr>
            </w:pPr>
            <w:r w:rsidRPr="00677CFB">
              <w:rPr>
                <w:sz w:val="22"/>
                <w:szCs w:val="22"/>
              </w:rPr>
              <w:t>Kvalita, aktuálnost a relevantnost zdrojů</w:t>
            </w:r>
          </w:p>
          <w:p w:rsidR="001643C3" w:rsidRPr="00BD54FF" w:rsidRDefault="001643C3" w:rsidP="00677CFB">
            <w:pPr>
              <w:pStyle w:val="Nadpis1"/>
              <w:shd w:val="clear" w:color="auto" w:fill="FFFFFF"/>
              <w:spacing w:before="0"/>
              <w:rPr>
                <w:sz w:val="22"/>
                <w:szCs w:val="22"/>
              </w:rPr>
            </w:pPr>
            <w:r w:rsidRPr="00677CF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Příliš velké zastoupení sekundárních odkazů na zdroje, které jsou dostupné. </w:t>
            </w:r>
            <w:r w:rsidR="00677CFB" w:rsidRPr="00677CF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Mezi zdroji mi chybí např. </w:t>
            </w:r>
            <w:r w:rsidR="00677CF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monografie </w:t>
            </w:r>
            <w:r w:rsidR="00677CFB" w:rsidRP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Moc a nemoc médií</w:t>
            </w:r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(</w:t>
            </w:r>
            <w:proofErr w:type="spellStart"/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Ilowiecki</w:t>
            </w:r>
            <w:proofErr w:type="spellEnd"/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Zas</w:t>
            </w:r>
            <w:r w:rsidR="00677CFB" w:rsidRPr="00677CFB">
              <w:rPr>
                <w:rFonts w:ascii="Times New Roman" w:hAnsi="Times New Roman" w:cs="Times New Roman"/>
                <w:color w:val="545454"/>
                <w:sz w:val="22"/>
                <w:szCs w:val="22"/>
                <w:shd w:val="clear" w:color="auto" w:fill="FFFFFF"/>
              </w:rPr>
              <w:t>ę</w:t>
            </w:r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pa</w:t>
            </w:r>
            <w:proofErr w:type="spellEnd"/>
            <w:r w:rsidR="00677CF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643C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tbl>
      <w:tblPr>
        <w:tblpPr w:leftFromText="141" w:rightFromText="141" w:vertAnchor="text" w:horzAnchor="margin" w:tblpY="293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E916DC" w:rsidRPr="00BD54FF" w:rsidTr="00E916DC">
        <w:trPr>
          <w:trHeight w:val="390"/>
        </w:trPr>
        <w:tc>
          <w:tcPr>
            <w:tcW w:w="8145" w:type="dxa"/>
            <w:vAlign w:val="center"/>
          </w:tcPr>
          <w:p w:rsidR="00E916DC" w:rsidRPr="00BD54FF" w:rsidRDefault="00E916DC" w:rsidP="00E916DC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E916DC" w:rsidRPr="00BD54FF" w:rsidRDefault="00E916DC" w:rsidP="00E916DC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E916DC" w:rsidRPr="00BD54FF" w:rsidTr="00E916DC">
        <w:trPr>
          <w:trHeight w:val="390"/>
        </w:trPr>
        <w:tc>
          <w:tcPr>
            <w:tcW w:w="8145" w:type="dxa"/>
            <w:vAlign w:val="center"/>
          </w:tcPr>
          <w:p w:rsidR="00E916DC" w:rsidRDefault="00E916DC" w:rsidP="00E916D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:rsidR="00E916DC" w:rsidRPr="00BD54FF" w:rsidRDefault="00E916DC" w:rsidP="00E916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je vícero míst, kde jsou nedostatky v používání rozdílných fontů písma, v jednot-</w:t>
            </w:r>
            <w:proofErr w:type="spellStart"/>
            <w:r>
              <w:rPr>
                <w:sz w:val="22"/>
                <w:szCs w:val="22"/>
              </w:rPr>
              <w:t>ném</w:t>
            </w:r>
            <w:proofErr w:type="spellEnd"/>
            <w:r>
              <w:rPr>
                <w:sz w:val="22"/>
                <w:szCs w:val="22"/>
              </w:rPr>
              <w:t xml:space="preserve"> řádkování, v nedodržování mezer mezi koncem podkapitoly a novou podkapitolou, nedodržování</w:t>
            </w:r>
            <w:r w:rsidR="00D724DC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 xml:space="preserve"> jednotné vzdálenosti začátku odstavce od kraje atd. </w:t>
            </w:r>
          </w:p>
        </w:tc>
        <w:tc>
          <w:tcPr>
            <w:tcW w:w="1494" w:type="dxa"/>
            <w:vAlign w:val="center"/>
          </w:tcPr>
          <w:p w:rsidR="00E916DC" w:rsidRPr="00BD54FF" w:rsidRDefault="00E916DC" w:rsidP="00E916D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E916DC" w:rsidRPr="00BD54FF" w:rsidTr="00E916DC">
        <w:trPr>
          <w:trHeight w:val="390"/>
        </w:trPr>
        <w:tc>
          <w:tcPr>
            <w:tcW w:w="8145" w:type="dxa"/>
            <w:vAlign w:val="center"/>
          </w:tcPr>
          <w:p w:rsidR="00E916DC" w:rsidRPr="00BD54FF" w:rsidRDefault="00E916DC" w:rsidP="00E916DC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E916DC" w:rsidRPr="00E916DC" w:rsidRDefault="00E916DC" w:rsidP="00E916DC">
            <w:pPr>
              <w:jc w:val="center"/>
              <w:rPr>
                <w:b/>
                <w:sz w:val="22"/>
                <w:szCs w:val="22"/>
              </w:rPr>
            </w:pPr>
            <w:r w:rsidRPr="00E916DC">
              <w:rPr>
                <w:b/>
                <w:sz w:val="22"/>
                <w:szCs w:val="22"/>
              </w:rPr>
              <w:t>2</w:t>
            </w:r>
          </w:p>
        </w:tc>
      </w:tr>
      <w:tr w:rsidR="00E916DC" w:rsidRPr="00BD54FF" w:rsidTr="00E916DC">
        <w:trPr>
          <w:trHeight w:val="390"/>
        </w:trPr>
        <w:tc>
          <w:tcPr>
            <w:tcW w:w="8145" w:type="dxa"/>
            <w:vAlign w:val="center"/>
          </w:tcPr>
          <w:p w:rsidR="00E916DC" w:rsidRDefault="00E916DC" w:rsidP="00E916D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:rsidR="00E916DC" w:rsidRDefault="00E916DC" w:rsidP="00E916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Ukázky z textu:</w:t>
            </w:r>
          </w:p>
          <w:p w:rsidR="00E916DC" w:rsidRDefault="00E916DC" w:rsidP="00E916DC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Procento seniorů v populaci se zvyšuje a předpokládá se, že i nadále bude stárnout.</w:t>
            </w:r>
          </w:p>
          <w:p w:rsidR="00E916DC" w:rsidRDefault="00E916DC" w:rsidP="00E916DC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Zatímco senior není v českém prostředí nijak jasněji vymezen, a to ani v legislativě a odborné literatuře.</w:t>
            </w:r>
          </w:p>
          <w:p w:rsidR="00E916DC" w:rsidRDefault="00E916DC" w:rsidP="00E916DC">
            <w:pPr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Geragogika</w:t>
            </w:r>
            <w:proofErr w:type="spellEnd"/>
            <w:r>
              <w:rPr>
                <w:sz w:val="23"/>
                <w:szCs w:val="23"/>
              </w:rPr>
              <w:t xml:space="preserve"> se zabývá staršími a starými lidmi a je to poměrně mladá disciplína.</w:t>
            </w:r>
          </w:p>
          <w:p w:rsidR="00E916DC" w:rsidRDefault="00E916DC" w:rsidP="00E916DC">
            <w:pPr>
              <w:rPr>
                <w:sz w:val="23"/>
                <w:szCs w:val="23"/>
              </w:rPr>
            </w:pPr>
          </w:p>
          <w:p w:rsidR="00E916DC" w:rsidRDefault="00E916DC" w:rsidP="00E916DC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Správně je </w:t>
            </w:r>
            <w:proofErr w:type="spellStart"/>
            <w:r w:rsidRPr="00E916DC">
              <w:rPr>
                <w:color w:val="222222"/>
                <w:sz w:val="22"/>
                <w:szCs w:val="22"/>
                <w:shd w:val="clear" w:color="auto" w:fill="FFFFFF"/>
              </w:rPr>
              <w:t>Gutenberg</w:t>
            </w:r>
            <w:proofErr w:type="spellEnd"/>
            <w:r>
              <w:rPr>
                <w:color w:val="222222"/>
                <w:sz w:val="22"/>
                <w:szCs w:val="22"/>
                <w:shd w:val="clear" w:color="auto" w:fill="FFFFFF"/>
              </w:rPr>
              <w:t>,</w:t>
            </w:r>
            <w:r w:rsidRPr="00E916DC">
              <w:rPr>
                <w:sz w:val="22"/>
                <w:szCs w:val="22"/>
              </w:rPr>
              <w:t xml:space="preserve"> ne </w:t>
            </w:r>
            <w:proofErr w:type="spellStart"/>
            <w:r w:rsidRPr="00E916DC">
              <w:rPr>
                <w:sz w:val="22"/>
                <w:szCs w:val="22"/>
              </w:rPr>
              <w:t>Gutenberk</w:t>
            </w:r>
            <w:proofErr w:type="spellEnd"/>
          </w:p>
          <w:p w:rsidR="00E916DC" w:rsidRPr="00BD54FF" w:rsidRDefault="00E916DC" w:rsidP="00E916D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4" w:type="dxa"/>
            <w:vAlign w:val="center"/>
          </w:tcPr>
          <w:p w:rsidR="00E916DC" w:rsidRPr="00BD54FF" w:rsidRDefault="00E916DC" w:rsidP="00E916D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</w:tbl>
    <w:p w:rsidR="00D724DC" w:rsidRDefault="00D724DC" w:rsidP="00D724DC">
      <w:pPr>
        <w:jc w:val="both"/>
        <w:rPr>
          <w:b/>
        </w:rPr>
      </w:pPr>
    </w:p>
    <w:p w:rsidR="00D724DC" w:rsidRDefault="00D724DC" w:rsidP="00D724DC">
      <w:pPr>
        <w:jc w:val="both"/>
        <w:rPr>
          <w:b/>
        </w:rPr>
      </w:pPr>
    </w:p>
    <w:p w:rsidR="00E916DC" w:rsidRPr="00BD54FF" w:rsidRDefault="00E916DC" w:rsidP="00D724DC">
      <w:pPr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  <w:r>
        <w:rPr>
          <w:b/>
        </w:rPr>
        <w:t xml:space="preserve"> </w:t>
      </w:r>
      <w:r w:rsidRPr="00E916DC">
        <w:t>Práci</w:t>
      </w:r>
      <w:r>
        <w:t xml:space="preserve"> doporučuji k obhajobě, nemá znaky plagiátu. Hodnotím ji známkou </w:t>
      </w:r>
      <w:r w:rsidRPr="00E916DC">
        <w:rPr>
          <w:b/>
        </w:rPr>
        <w:t>D</w:t>
      </w:r>
      <w:r>
        <w:rPr>
          <w:b/>
        </w:rPr>
        <w:t>.</w:t>
      </w:r>
    </w:p>
    <w:p w:rsidR="00E916DC" w:rsidRPr="00BD54FF" w:rsidRDefault="00E916DC" w:rsidP="00E916DC">
      <w:pPr>
        <w:spacing w:line="360" w:lineRule="auto"/>
        <w:jc w:val="both"/>
      </w:pPr>
      <w:r w:rsidRPr="00BD54FF">
        <w:tab/>
      </w:r>
    </w:p>
    <w:p w:rsidR="00E916DC" w:rsidRPr="00E916DC" w:rsidRDefault="00E916DC" w:rsidP="00E916DC">
      <w:pPr>
        <w:jc w:val="both"/>
        <w:rPr>
          <w:b/>
          <w:bCs/>
        </w:rPr>
      </w:pPr>
      <w:r w:rsidRPr="00E916DC">
        <w:rPr>
          <w:b/>
          <w:bCs/>
        </w:rPr>
        <w:t>Otázky pro diskusi:</w:t>
      </w:r>
    </w:p>
    <w:tbl>
      <w:tblPr>
        <w:tblpPr w:leftFromText="141" w:rightFromText="141" w:vertAnchor="text" w:horzAnchor="margin" w:tblpY="584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E916DC" w:rsidTr="00E916DC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E916DC" w:rsidRDefault="00E916DC" w:rsidP="00E916DC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E916DC" w:rsidTr="00E916DC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E916DC" w:rsidRDefault="00E916DC" w:rsidP="00E916DC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 w:rsidRPr="003A2418">
              <w:t xml:space="preserve">C </w:t>
            </w:r>
            <w:r>
              <w:t xml:space="preserve">– </w:t>
            </w:r>
            <w:r w:rsidRPr="003A2418">
              <w:rPr>
                <w:b/>
              </w:rPr>
              <w:t xml:space="preserve">D </w:t>
            </w:r>
            <w:r>
              <w:t xml:space="preserve">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E916DC" w:rsidRPr="003A2418" w:rsidRDefault="003A2418" w:rsidP="003A2418">
            <w:pPr>
              <w:jc w:val="center"/>
              <w:rPr>
                <w:b/>
              </w:rPr>
            </w:pPr>
            <w:r w:rsidRPr="003A2418">
              <w:rPr>
                <w:b/>
              </w:rPr>
              <w:t>D</w:t>
            </w:r>
          </w:p>
        </w:tc>
      </w:tr>
    </w:tbl>
    <w:p w:rsidR="00E916DC" w:rsidRDefault="00E916DC" w:rsidP="00E916DC">
      <w:pPr>
        <w:keepNext/>
        <w:rPr>
          <w:sz w:val="22"/>
          <w:szCs w:val="22"/>
        </w:rPr>
      </w:pPr>
      <w:proofErr w:type="spellStart"/>
      <w:r w:rsidRPr="00E916DC">
        <w:rPr>
          <w:sz w:val="22"/>
          <w:szCs w:val="22"/>
        </w:rPr>
        <w:t>Bour</w:t>
      </w:r>
      <w:r>
        <w:rPr>
          <w:sz w:val="22"/>
          <w:szCs w:val="22"/>
        </w:rPr>
        <w:t>dieu</w:t>
      </w:r>
      <w:proofErr w:type="spellEnd"/>
      <w:r>
        <w:rPr>
          <w:sz w:val="22"/>
          <w:szCs w:val="22"/>
        </w:rPr>
        <w:t xml:space="preserve"> zavedl do mediální oblasti pojem </w:t>
      </w:r>
      <w:r w:rsidRPr="00E916DC">
        <w:rPr>
          <w:b/>
          <w:sz w:val="22"/>
          <w:szCs w:val="22"/>
        </w:rPr>
        <w:t>symbolická moc</w:t>
      </w:r>
      <w:r w:rsidR="0029627C">
        <w:rPr>
          <w:sz w:val="22"/>
          <w:szCs w:val="22"/>
        </w:rPr>
        <w:t>. Co tento pojem znamená?</w:t>
      </w:r>
    </w:p>
    <w:p w:rsidR="0029627C" w:rsidRDefault="0029627C" w:rsidP="00E916DC">
      <w:pPr>
        <w:keepNext/>
        <w:rPr>
          <w:sz w:val="22"/>
          <w:szCs w:val="22"/>
        </w:rPr>
      </w:pPr>
    </w:p>
    <w:p w:rsidR="0029627C" w:rsidRDefault="0029627C" w:rsidP="00E916DC">
      <w:pPr>
        <w:keepNext/>
        <w:rPr>
          <w:sz w:val="22"/>
          <w:szCs w:val="22"/>
        </w:rPr>
      </w:pPr>
    </w:p>
    <w:p w:rsidR="0029627C" w:rsidRDefault="0029627C" w:rsidP="00E916DC">
      <w:pPr>
        <w:keepNext/>
        <w:rPr>
          <w:sz w:val="22"/>
          <w:szCs w:val="22"/>
        </w:rPr>
      </w:pPr>
    </w:p>
    <w:p w:rsidR="0029627C" w:rsidRPr="00BD54FF" w:rsidRDefault="0029627C" w:rsidP="0029627C">
      <w:pPr>
        <w:jc w:val="both"/>
      </w:pPr>
      <w:r w:rsidRPr="00BD54FF">
        <w:t>Dne:</w:t>
      </w:r>
      <w:r w:rsidR="00D270ED">
        <w:t xml:space="preserve"> 9. 5. 2019</w:t>
      </w:r>
      <w:r w:rsidRPr="00BD54FF">
        <w:tab/>
      </w:r>
      <w:r w:rsidRPr="00BD54FF">
        <w:tab/>
      </w:r>
      <w:r w:rsidR="00D270ED">
        <w:tab/>
      </w:r>
      <w:r w:rsidR="00D270ED">
        <w:tab/>
      </w:r>
      <w:r w:rsidR="00D270ED">
        <w:tab/>
      </w:r>
      <w:r w:rsidR="00D270ED">
        <w:tab/>
      </w:r>
      <w:bookmarkStart w:id="0" w:name="_GoBack"/>
      <w:bookmarkEnd w:id="0"/>
      <w:r w:rsidRPr="00BD54FF">
        <w:t>Podpis vedoucího práce</w:t>
      </w:r>
    </w:p>
    <w:p w:rsidR="00101049" w:rsidRPr="00BD54FF" w:rsidRDefault="00101049" w:rsidP="0029627C">
      <w:pPr>
        <w:jc w:val="both"/>
      </w:pP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F1B40A4"/>
    <w:multiLevelType w:val="multilevel"/>
    <w:tmpl w:val="4D088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43C3"/>
    <w:rsid w:val="00166C75"/>
    <w:rsid w:val="0017240B"/>
    <w:rsid w:val="001D33C4"/>
    <w:rsid w:val="00205A5E"/>
    <w:rsid w:val="00217BBE"/>
    <w:rsid w:val="00246B5A"/>
    <w:rsid w:val="0029627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2418"/>
    <w:rsid w:val="00450B20"/>
    <w:rsid w:val="004A3341"/>
    <w:rsid w:val="004D13D8"/>
    <w:rsid w:val="00516E71"/>
    <w:rsid w:val="00527861"/>
    <w:rsid w:val="00561996"/>
    <w:rsid w:val="005B5F2B"/>
    <w:rsid w:val="005D226D"/>
    <w:rsid w:val="00610512"/>
    <w:rsid w:val="00652BC7"/>
    <w:rsid w:val="00677CFB"/>
    <w:rsid w:val="0069731C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C57BC"/>
    <w:rsid w:val="008D6C87"/>
    <w:rsid w:val="00A13EA9"/>
    <w:rsid w:val="00A20930"/>
    <w:rsid w:val="00A33211"/>
    <w:rsid w:val="00A66BF6"/>
    <w:rsid w:val="00A731E8"/>
    <w:rsid w:val="00AA349F"/>
    <w:rsid w:val="00AD3CE3"/>
    <w:rsid w:val="00AF2EFB"/>
    <w:rsid w:val="00B36ABE"/>
    <w:rsid w:val="00B46FB5"/>
    <w:rsid w:val="00B9314D"/>
    <w:rsid w:val="00BB7C83"/>
    <w:rsid w:val="00BD54FF"/>
    <w:rsid w:val="00BE3AC6"/>
    <w:rsid w:val="00BF19E0"/>
    <w:rsid w:val="00C222E0"/>
    <w:rsid w:val="00C620E5"/>
    <w:rsid w:val="00CB0EF2"/>
    <w:rsid w:val="00CC23C7"/>
    <w:rsid w:val="00CC46A2"/>
    <w:rsid w:val="00D270ED"/>
    <w:rsid w:val="00D41B46"/>
    <w:rsid w:val="00D724DC"/>
    <w:rsid w:val="00D7735D"/>
    <w:rsid w:val="00D852BD"/>
    <w:rsid w:val="00DE0DF1"/>
    <w:rsid w:val="00DE5DDD"/>
    <w:rsid w:val="00E2102D"/>
    <w:rsid w:val="00E61EDA"/>
    <w:rsid w:val="00E87B8C"/>
    <w:rsid w:val="00E916DC"/>
    <w:rsid w:val="00E93E77"/>
    <w:rsid w:val="00EC137A"/>
    <w:rsid w:val="00EF0BA4"/>
    <w:rsid w:val="00EF5D6B"/>
    <w:rsid w:val="00F00F17"/>
    <w:rsid w:val="00F363D8"/>
    <w:rsid w:val="00F4620B"/>
    <w:rsid w:val="00FB5CA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docId w15:val="{9A05AF2B-5AAA-4AE2-A182-4856B76FA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77CF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7240B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character" w:customStyle="1" w:styleId="Nadpis1Char">
    <w:name w:val="Nadpis 1 Char"/>
    <w:basedOn w:val="Predvolenpsmoodseku"/>
    <w:link w:val="Nadpis1"/>
    <w:rsid w:val="00677CF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6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7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541</Words>
  <Characters>3087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Albín Škoviera</cp:lastModifiedBy>
  <cp:revision>4</cp:revision>
  <cp:lastPrinted>1900-12-31T23:00:00Z</cp:lastPrinted>
  <dcterms:created xsi:type="dcterms:W3CDTF">2019-04-29T09:29:00Z</dcterms:created>
  <dcterms:modified xsi:type="dcterms:W3CDTF">2019-05-09T11:24:00Z</dcterms:modified>
</cp:coreProperties>
</file>