
<file path=[Content_Types].xml><?xml version="1.0" encoding="utf-8"?>
<Types xmlns="http://schemas.openxmlformats.org/package/2006/content-types">
  <Override PartName="/_rels/.rels" ContentType="application/vnd.openxmlformats-package.relationships+xml"/>
  <Override PartName="/docProps/app.xml" ContentType="application/vnd.openxmlformats-officedocument.extended-properties+xml"/>
  <Override PartName="/docProps/core.xml" ContentType="application/vnd.openxmlformats-package.core-properti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both"/>
        <w:rPr/>
      </w:pPr>
      <w:r>
        <w:rPr/>
        <w:t xml:space="preserve">Posudek na diplomovou bakalářskou práci T. Jelínka </w:t>
      </w:r>
      <w:r>
        <w:rPr>
          <w:b/>
        </w:rPr>
        <w:t>„Osídlení slezskoplatěnické kultury v obci Libišany“</w:t>
      </w:r>
      <w:r>
        <w:rPr/>
        <w:t>,</w:t>
      </w:r>
      <w:r>
        <w:rPr>
          <w:b/>
        </w:rPr>
        <w:t xml:space="preserve"> </w:t>
      </w:r>
      <w:r>
        <w:rPr/>
        <w:t>Pardubice 2018, 98, str. včetně katalogu a příloh (2. verze).</w:t>
      </w:r>
    </w:p>
    <w:p>
      <w:pPr>
        <w:pStyle w:val="Normal"/>
        <w:jc w:val="both"/>
        <w:rPr/>
      </w:pPr>
      <w:r>
        <w:rPr/>
        <mc:AlternateContent>
          <mc:Choice Requires="wps">
            <w:drawing>
              <wp:inline distT="0" distB="0" distL="0" distR="0">
                <wp:extent cx="5761355" cy="19685"/>
                <wp:effectExtent l="0" t="0" r="0" b="0"/>
                <wp:docPr id="1" name=""/>
                <a:graphic xmlns:a="http://schemas.openxmlformats.org/drawingml/2006/main">
                  <a:graphicData uri="http://schemas.microsoft.com/office/word/2010/wordprocessingShape">
                    <wps:wsp>
                      <wps:cNvSpPr/>
                      <wps:spPr>
                        <a:xfrm>
                          <a:off x="0" y="0"/>
                          <a:ext cx="5760720" cy="19080"/>
                        </a:xfrm>
                        <a:prstGeom prst="rect">
                          <a:avLst/>
                        </a:prstGeom>
                        <a:solidFill>
                          <a:srgbClr val="000000"/>
                        </a:solidFill>
                        <a:ln>
                          <a:noFill/>
                        </a:ln>
                      </wps:spPr>
                      <wps:style>
                        <a:lnRef idx="0"/>
                        <a:fillRef idx="0"/>
                        <a:effectRef idx="0"/>
                        <a:fontRef idx="minor"/>
                      </wps:style>
                      <wps:bodyPr/>
                    </wps:wsp>
                  </a:graphicData>
                </a:graphic>
              </wp:inline>
            </w:drawing>
          </mc:Choice>
          <mc:Fallback>
            <w:pict>
              <v:rect id="shape_0" fillcolor="black" stroked="f" style="position:absolute;margin-left:0pt;margin-top:-1.55pt;width:453.55pt;height:1.45pt;mso-position-vertical:top">
                <w10:wrap type="none"/>
                <v:fill o:detectmouseclick="t" type="solid" color2="white"/>
                <v:stroke color="#3465a4" joinstyle="round" endcap="flat"/>
              </v:rect>
            </w:pict>
          </mc:Fallback>
        </mc:AlternateContent>
      </w:r>
    </w:p>
    <w:p>
      <w:pPr>
        <w:pStyle w:val="Normal"/>
        <w:jc w:val="both"/>
        <w:rPr/>
      </w:pPr>
      <w:r>
        <w:rPr/>
        <w:t xml:space="preserve">Tomáš Jelínek si ve své bakalářské práci předsevzal zpracovat a základně interpretovat archeologické situace a nálezy z pozdní doby bronzové a doby halštatské z k. ú. Libišany, okr. Pardubice. Většina archeologického materiálu, který byl předmětem práce, pochází ze záchranných archeologických výzkumů (dále ZAV) vedených Mgr. F. Kašpárkem, menší část pak byla získána pomocí povrchové prospekce. Na tomto místě je nutné konstatovat, že látka, kterou se posluchač v předkládané práci zabývá, nepatří k jednoduchým. Je to dáno především nedostatkem publikovaných sídlištních souborů z prostoru východních Čech, které by byly vhodné ke srovnání. </w:t>
      </w:r>
    </w:p>
    <w:p>
      <w:pPr>
        <w:pStyle w:val="Normal"/>
        <w:jc w:val="both"/>
        <w:rPr/>
      </w:pPr>
      <w:r>
        <w:rPr/>
        <w:t xml:space="preserve">Práci můžeme rozdělit na tři hlavní části. První část představují úvodní kapitoly (úvod, přírodní prostředí, dějiny bádání). Úvod je dobře strukturovaný a obsahuje hlavní cíle zpracování (str. 1). V případě kapitoly o přírodním prostředí (str. 3) se již autor vyvaroval špatnému parafrázování textu, z něhož čerpal. Stať vychází z nálezových zpráv F. Kašpárka , primární zdroj článek z roku 2009 není opět citován (Burgert – Kašpárek 2009). Nicméně nedostatek první verze práce byl odstraněn. Stať věnovaná dějinám bádání obsahuje drobná pochybení. Posluchač zde odkazuje na text M. Hlavy o „libišanských nákolních stavbách“ nicméně ponechal původní zavádějící datování Fr. Pulpána. Tento fakt ukazuje na nepříliš citlivou práci se sekundární literaturou. Následuje pojednání zaměřené na metodu práce, které podrobně popisuje práci s materiálem a členění katalogu. Za nadbytečné považuji informace o sídlištních situacích, naopak jako užitečný lze vnímat odstavec věnovaný popisu práce s materiálem.  </w:t>
      </w:r>
    </w:p>
    <w:p>
      <w:pPr>
        <w:pStyle w:val="Normal"/>
        <w:jc w:val="both"/>
        <w:rPr/>
      </w:pPr>
      <w:r>
        <w:rPr/>
        <w:t xml:space="preserve">Druhou část práce tvoří textový katalog, který lze označit za vcelku dobře strukturovaný a vhodně provázaný s obrázky. Tato kapitola patří mezi přínosné a použitelné i pro další zpracování. </w:t>
      </w:r>
    </w:p>
    <w:p>
      <w:pPr>
        <w:pStyle w:val="Normal"/>
        <w:jc w:val="both"/>
        <w:rPr/>
      </w:pPr>
      <w:r>
        <w:rPr/>
        <w:t xml:space="preserve">Třetí úsek práce je již zacílen na interpretaci archeologických situací, práci s materiálem, datování a zařazení do vývoje slezskoplatěnické kultury ve východních Čechách. V případě pojednání o interpretaci objektů postrádám srovnání s dalšími publikovanými sídlišti z období popelnicových polí (dále PP). T. Jelínek mohl využít především moravskou a středočeskou literaturu. </w:t>
      </w:r>
    </w:p>
    <w:p>
      <w:pPr>
        <w:pStyle w:val="Normal"/>
        <w:jc w:val="both"/>
        <w:rPr/>
      </w:pPr>
      <w:r>
        <w:rPr/>
        <w:t>Vlastní rozbor keramiky posluchač správně rozdělil do dvou částí. V subkapitole 8.1. charakterizuje soubor, přičemž součástí této stati jsou grafy ukazující podíl typických a atypických střepů a zastoupené ostřivo. Subkapitola 8.2. je zacílena na zajištěné keramické tvary a výzdobu. Posluchač ve srovnání s první verzí práce postupoval lépe a materiál třídil na základě typologického hlediska, a ne podle sledu archeologických situací. V této části práce autor dokládá základní znalost vývoje jednotlivých typ</w:t>
      </w:r>
      <w:r>
        <w:rPr/>
        <w:t>ů</w:t>
      </w:r>
      <w:r>
        <w:rPr/>
        <w:t xml:space="preserve"> nádob, bohužel se však neubránil opakování některých skutečností. Např. na str. 34-35 se objevují dvakrát informace o výzdobných a funkčních prvcích aplikovaných na květináčích. Tento jev považuji za nešťastný, neboť zbytečně zatěžuje čtenáře. Problém spočívá i v některých formulacích. Lze ucha nádoby považovat striktně za výzdobné elementy? T. Jelínek by se měl pokusit při obhajobě tuto skutečnost vysvětlit. Mezi terminologické nepřesnosti spadá neporozumění pojmům "stupeň" a "fáze". Oproti předchozí verzi práce se zlepšil přístup k paralelám nalezených tvarů. Posluchač správně zvolil analogie z pohřebišť z prostoru východních Čech (Ostroměř, Skalička a další). Za pozitivní rys zpracování považuji, že se autor neomezil pouze na strohé datování, ale že dokládá znalost hlavních vývojových tendencí keramických tvarů a výzdoby. Tento přístup je v rámci bc. prací akceptovatelný, neboť studenti tak jasně dokazují, že se s problematikou seznámili. Jisté rozpaky nicméně budí konstatování, že „</w:t>
      </w:r>
      <w:r>
        <w:rPr>
          <w:i/>
        </w:rPr>
        <w:t>mísy sloužily zejména k překrývání nádob, či uren, a to nejčastěji v rámci profánních účelů</w:t>
      </w:r>
      <w:r>
        <w:rPr/>
        <w:t xml:space="preserve">“ (str. 38). Zde bych se rád posluchače zeptal, co si myslí o mísách určených ke stolování? Co znamená slovo profánní? K formálním pochybením patří duplicita v číslování grafů (graf 10) a opakování definice mazanice (pozn. 78, 82). Devátá kapitola zaměřená na datování sumarizuje předešlé poznatky a je přehledným shrnutím předchozího textu. Následující desátá kapitola pojednává o osídlení slezskoplatěnické kultury v blízkosti Libišan. V mapce je správně uvedeno i sídliště objevené při záchranném archeologickém výzkumu předcházejícímu výstavbě pozemní komunikace D11. Obsažný závěr práce vhodně shrnuje studovanou problematiku. V případě některých poloh je zde nastíněna možnost pokračování osídlení z pozdní doby bronzové do doby halštatské. </w:t>
      </w:r>
    </w:p>
    <w:p>
      <w:pPr>
        <w:pStyle w:val="Normal"/>
        <w:jc w:val="both"/>
        <w:rPr/>
      </w:pPr>
      <w:r>
        <w:rPr/>
        <w:t xml:space="preserve">K formálním chybám patří absence stránkování u některých citací (např. položky: 8, 11, 16). V přiložené kresebné dokumentaci by bylo vhodné lépe zpracovat měřítka, u kterých chybí obtažení tuží/centropenem. </w:t>
      </w:r>
    </w:p>
    <w:p>
      <w:pPr>
        <w:pStyle w:val="Normal"/>
        <w:jc w:val="both"/>
        <w:rPr/>
      </w:pPr>
      <w:r>
        <w:rPr/>
        <w:t xml:space="preserve">Celkově lze říci, že druhá verze práce je již na lepší úrovni než první nevydařený pokus. T. Jelínek se pokusil odstranit většinu z dříve uvedených pochybení. I přes tuto skutečnost se však v práci vyskytnou problematická místa. Na základě výše uvedeného lze konstatovat, že </w:t>
      </w:r>
      <w:r>
        <w:rPr>
          <w:b/>
        </w:rPr>
        <w:t>text splňuje požadavky kladené na úroveň bakalářské diplomové práce.</w:t>
      </w:r>
      <w:r>
        <w:rPr/>
        <w:t xml:space="preserve"> </w:t>
      </w:r>
      <w:r>
        <w:rPr>
          <w:b/>
        </w:rPr>
        <w:t>Navrhuji tedy hodnocení za 3, tedy „E“.</w:t>
      </w:r>
      <w:r>
        <w:rPr/>
        <w:t xml:space="preserve"> </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ind w:firstLine="397"/>
        <w:jc w:val="both"/>
        <w:rPr/>
      </w:pPr>
      <w:r>
        <w:rPr/>
      </w:r>
    </w:p>
    <w:p>
      <w:pPr>
        <w:pStyle w:val="Normal"/>
        <w:jc w:val="right"/>
        <w:rPr/>
      </w:pPr>
      <w:r>
        <w:rPr/>
      </w:r>
    </w:p>
    <w:p>
      <w:pPr>
        <w:pStyle w:val="Normal"/>
        <w:jc w:val="right"/>
        <w:rPr/>
      </w:pPr>
      <w:r>
        <w:rPr/>
        <w:t xml:space="preserve">PhDr. Jan Jílek, Ph.D. </w:t>
      </w:r>
    </w:p>
    <w:p>
      <w:pPr>
        <w:pStyle w:val="Normal"/>
        <w:jc w:val="right"/>
        <w:rPr/>
      </w:pPr>
      <w:r>
        <w:rPr/>
      </w:r>
    </w:p>
    <w:p>
      <w:pPr>
        <w:pStyle w:val="Normal"/>
        <w:jc w:val="right"/>
        <w:rPr/>
      </w:pPr>
      <w:r>
        <w:rPr/>
        <w:t xml:space="preserve">       </w:t>
      </w:r>
      <w:r>
        <w:rPr/>
        <w:t>vedoucí práce</w:t>
        <w:tab/>
      </w:r>
    </w:p>
    <w:p>
      <w:pPr>
        <w:pStyle w:val="Normal"/>
        <w:jc w:val="center"/>
        <w:rPr/>
      </w:pPr>
      <w:r>
        <w:rPr/>
      </w:r>
    </w:p>
    <w:p>
      <w:pPr>
        <w:pStyle w:val="Normal"/>
        <w:jc w:val="both"/>
        <w:rPr/>
      </w:pPr>
      <w:r>
        <w:rPr/>
      </w:r>
    </w:p>
    <w:p>
      <w:pPr>
        <w:pStyle w:val="Normal"/>
        <w:jc w:val="both"/>
        <w:rPr/>
      </w:pPr>
      <w:r>
        <w:rPr/>
      </w:r>
    </w:p>
    <w:p>
      <w:pPr>
        <w:pStyle w:val="Normal"/>
        <w:jc w:val="both"/>
        <w:rPr/>
      </w:pPr>
      <w:r>
        <w:rPr/>
      </w:r>
    </w:p>
    <w:p>
      <w:pPr>
        <w:pStyle w:val="Normal"/>
        <w:jc w:val="both"/>
        <w:rPr>
          <w:b/>
          <w:b/>
        </w:rPr>
      </w:pPr>
      <w:r>
        <w:rPr>
          <w:b/>
        </w:rPr>
        <w:t>literatura</w:t>
      </w:r>
    </w:p>
    <w:p>
      <w:pPr>
        <w:pStyle w:val="Normal"/>
        <w:rPr>
          <w:color w:val="000000"/>
        </w:rPr>
      </w:pPr>
      <w:r>
        <w:rPr>
          <w:color w:val="000000"/>
        </w:rPr>
        <w:t>Burgert, P. – Kašpárek, F. 2009: Příspěvek k neolitickému osídlení v katastru Libišan (okr. Pardubice). Východočeský sborník historický 16, 3-62.</w:t>
      </w:r>
    </w:p>
    <w:p>
      <w:pPr>
        <w:pStyle w:val="Normal"/>
        <w:jc w:val="both"/>
        <w:rPr>
          <w:color w:val="000000"/>
        </w:rPr>
      </w:pPr>
      <w:r>
        <w:rPr>
          <w:color w:val="000000"/>
        </w:rPr>
      </w:r>
    </w:p>
    <w:sectPr>
      <w:type w:val="nextPage"/>
      <w:pgSz w:w="11906" w:h="16838"/>
      <w:pgMar w:left="1417" w:right="1417" w:header="0" w:top="1417" w:footer="0" w:bottom="141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ee"/>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50"/>
  <w:defaultTabStop w:val="708"/>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ans CJK SC Regular" w:cs="Lohit Devanagari"/>
        <w:szCs w:val="24"/>
        <w:lang w:val="cs-CZ" w:eastAsia="zh-CN" w:bidi="hi-IN"/>
      </w:rPr>
    </w:rPrDefault>
    <w:pPrDefault>
      <w:pPr/>
    </w:pPrDefault>
  </w:docDefaults>
  <w:style w:type="paragraph" w:styleId="Normal">
    <w:name w:val="Normal"/>
    <w:qFormat/>
    <w:pPr>
      <w:widowControl/>
      <w:bidi w:val="0"/>
    </w:pPr>
    <w:rPr>
      <w:rFonts w:ascii="Times New Roman" w:hAnsi="Times New Roman" w:eastAsia="Times New Roman" w:cs="Times New Roman"/>
      <w:color w:val="auto"/>
      <w:sz w:val="24"/>
      <w:szCs w:val="24"/>
      <w:lang w:val="cs-CZ" w:bidi="ar-SA" w:eastAsia="zh-CN"/>
    </w:rPr>
  </w:style>
  <w:style w:type="character" w:styleId="Standardnpsmoodstavce">
    <w:name w:val="Standardní písmo odstavce"/>
    <w:qFormat/>
    <w:rPr/>
  </w:style>
  <w:style w:type="paragraph" w:styleId="Nadpis">
    <w:name w:val="Nadpis"/>
    <w:basedOn w:val="Normal"/>
    <w:next w:val="Tlotextu"/>
    <w:qFormat/>
    <w:pPr>
      <w:keepNext w:val="true"/>
      <w:spacing w:before="240" w:after="120"/>
    </w:pPr>
    <w:rPr>
      <w:rFonts w:ascii="Liberation Sans" w:hAnsi="Liberation Sans" w:eastAsia="Noto Sans CJK SC Regular" w:cs="Lohit Devanagari"/>
      <w:sz w:val="28"/>
      <w:szCs w:val="28"/>
    </w:rPr>
  </w:style>
  <w:style w:type="paragraph" w:styleId="Tlotextu">
    <w:name w:val="Body Text"/>
    <w:basedOn w:val="Normal"/>
    <w:pPr>
      <w:spacing w:lineRule="auto" w:line="276" w:before="0" w:after="140"/>
    </w:pPr>
    <w:rPr/>
  </w:style>
  <w:style w:type="paragraph" w:styleId="Seznam">
    <w:name w:val="List"/>
    <w:basedOn w:val="Tlotextu"/>
    <w:pPr/>
    <w:rPr>
      <w:rFonts w:cs="Lohit Devanagari"/>
    </w:rPr>
  </w:style>
  <w:style w:type="paragraph" w:styleId="Popisek">
    <w:name w:val="Caption"/>
    <w:basedOn w:val="Normal"/>
    <w:qFormat/>
    <w:pPr>
      <w:suppressLineNumbers/>
      <w:spacing w:before="120" w:after="120"/>
    </w:pPr>
    <w:rPr>
      <w:rFonts w:cs="Lohit Devanagari"/>
      <w:i/>
      <w:iCs/>
      <w:sz w:val="24"/>
      <w:szCs w:val="24"/>
    </w:rPr>
  </w:style>
  <w:style w:type="paragraph" w:styleId="Rejstk">
    <w:name w:val="Rejstřík"/>
    <w:basedOn w:val="Normal"/>
    <w:qFormat/>
    <w:pPr>
      <w:suppressLineNumbers/>
    </w:pPr>
    <w:rPr>
      <w:rFonts w:cs="Lohit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Normal_x0000_</Template>
  <TotalTime>8</TotalTime>
  <Application>LibreOffice/6.0.6.2$Linux_X86_64 LibreOffice_project/00m0$Build-2</Application>
  <Pages>2</Pages>
  <Words>779</Words>
  <Characters>4732</Characters>
  <CharactersWithSpaces>5518</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2019-01-16T22:48:00Z</dcterms:created>
  <dc:creator>Jenda Jílek</dc:creator>
  <dc:description/>
  <cp:keywords/>
  <dc:language>cs-CZ</dc:language>
  <cp:lastModifiedBy/>
  <dcterms:modified xsi:type="dcterms:W3CDTF">2019-01-17T11:28:17Z</dcterms:modified>
  <cp:revision>4</cp:revision>
  <dc:subject/>
  <dc:title>Oponentský posudek na diplomovou bakalářskou práci A</dc:title>
</cp:coreProperties>
</file>