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76C1" w:rsidRDefault="00BB76C1" w:rsidP="001F287A">
      <w:pPr>
        <w:spacing w:after="0" w:line="240" w:lineRule="auto"/>
        <w:rPr>
          <w:b/>
          <w:sz w:val="20"/>
          <w:szCs w:val="20"/>
        </w:rPr>
      </w:pPr>
      <w:r>
        <w:rPr>
          <w:b/>
          <w:sz w:val="20"/>
          <w:szCs w:val="20"/>
        </w:rPr>
        <w:t>REMOVAL OF ACID DYES FROM AQUEOUS EFFLUENTS BY ACTION OF IONIC LIQUIDS</w:t>
      </w:r>
    </w:p>
    <w:p w:rsidR="00BB76C1" w:rsidRDefault="00BB76C1" w:rsidP="001F287A">
      <w:pPr>
        <w:spacing w:after="0" w:line="240" w:lineRule="auto"/>
        <w:rPr>
          <w:b/>
          <w:sz w:val="20"/>
          <w:szCs w:val="20"/>
        </w:rPr>
      </w:pPr>
    </w:p>
    <w:p w:rsidR="00BB76C1" w:rsidRPr="00DF1DE6" w:rsidRDefault="00BB76C1" w:rsidP="001F287A">
      <w:pPr>
        <w:spacing w:after="0" w:line="240" w:lineRule="auto"/>
        <w:rPr>
          <w:sz w:val="20"/>
          <w:szCs w:val="20"/>
          <w:vertAlign w:val="superscript"/>
        </w:rPr>
      </w:pPr>
      <w:r w:rsidRPr="0076163B">
        <w:rPr>
          <w:b/>
          <w:sz w:val="20"/>
          <w:szCs w:val="20"/>
          <w:u w:val="single"/>
        </w:rPr>
        <w:t>Weidlich T.</w:t>
      </w:r>
      <w:r w:rsidRPr="00242B11">
        <w:rPr>
          <w:sz w:val="20"/>
          <w:szCs w:val="20"/>
          <w:vertAlign w:val="superscript"/>
        </w:rPr>
        <w:t>1</w:t>
      </w:r>
      <w:r>
        <w:rPr>
          <w:sz w:val="20"/>
          <w:szCs w:val="20"/>
        </w:rPr>
        <w:t>, Václavíková J.</w:t>
      </w:r>
      <w:r>
        <w:rPr>
          <w:sz w:val="20"/>
          <w:szCs w:val="20"/>
          <w:vertAlign w:val="superscript"/>
        </w:rPr>
        <w:t>1</w:t>
      </w:r>
      <w:r>
        <w:rPr>
          <w:sz w:val="20"/>
          <w:szCs w:val="20"/>
        </w:rPr>
        <w:t>, Šimek M.</w:t>
      </w:r>
      <w:r>
        <w:rPr>
          <w:sz w:val="20"/>
          <w:szCs w:val="20"/>
          <w:vertAlign w:val="superscript"/>
        </w:rPr>
        <w:t>1</w:t>
      </w:r>
    </w:p>
    <w:p w:rsidR="00BB76C1" w:rsidRDefault="00BB76C1" w:rsidP="001F287A">
      <w:pPr>
        <w:spacing w:after="0" w:line="240" w:lineRule="auto"/>
        <w:rPr>
          <w:sz w:val="20"/>
          <w:szCs w:val="20"/>
        </w:rPr>
      </w:pPr>
    </w:p>
    <w:p w:rsidR="00BB76C1" w:rsidRPr="00603C54" w:rsidRDefault="00BB76C1" w:rsidP="00B42D22">
      <w:pPr>
        <w:spacing w:after="0" w:line="240" w:lineRule="auto"/>
        <w:rPr>
          <w:i/>
          <w:sz w:val="20"/>
          <w:szCs w:val="20"/>
          <w:lang w:val="en-US"/>
        </w:rPr>
      </w:pPr>
      <w:r w:rsidRPr="00242B11">
        <w:rPr>
          <w:i/>
          <w:sz w:val="20"/>
          <w:szCs w:val="20"/>
          <w:vertAlign w:val="superscript"/>
        </w:rPr>
        <w:t>1</w:t>
      </w:r>
      <w:r w:rsidRPr="00B42D22">
        <w:rPr>
          <w:i/>
          <w:sz w:val="20"/>
          <w:szCs w:val="20"/>
          <w:lang w:val="en-US"/>
        </w:rPr>
        <w:t xml:space="preserve"> </w:t>
      </w:r>
      <w:r w:rsidRPr="00603C54">
        <w:rPr>
          <w:i/>
          <w:sz w:val="20"/>
          <w:szCs w:val="20"/>
          <w:lang w:val="en-US"/>
        </w:rPr>
        <w:t xml:space="preserve">Institute of Environmental and Chemical Engineering, Faculty of Chemical Technology, University of Pardubice, </w:t>
      </w:r>
      <w:r>
        <w:rPr>
          <w:i/>
          <w:sz w:val="20"/>
          <w:szCs w:val="20"/>
          <w:lang w:val="en-US"/>
        </w:rPr>
        <w:t xml:space="preserve">Studentska 95, 532 10, </w:t>
      </w:r>
      <w:r w:rsidRPr="00603C54">
        <w:rPr>
          <w:i/>
          <w:sz w:val="20"/>
          <w:szCs w:val="20"/>
          <w:lang w:val="en-US"/>
        </w:rPr>
        <w:t>Pardubice, Czech Republic</w:t>
      </w:r>
    </w:p>
    <w:p w:rsidR="00BB76C1" w:rsidRDefault="00BB76C1" w:rsidP="001F287A">
      <w:pPr>
        <w:spacing w:after="0" w:line="240" w:lineRule="auto"/>
        <w:rPr>
          <w:sz w:val="20"/>
          <w:szCs w:val="20"/>
        </w:rPr>
      </w:pPr>
    </w:p>
    <w:p w:rsidR="00BB76C1" w:rsidRDefault="00BB76C1" w:rsidP="00DF1DE6">
      <w:pPr>
        <w:spacing w:line="240" w:lineRule="auto"/>
        <w:contextualSpacing/>
        <w:jc w:val="both"/>
        <w:rPr>
          <w:b/>
          <w:sz w:val="24"/>
          <w:szCs w:val="24"/>
          <w:lang w:val="en-US"/>
        </w:rPr>
      </w:pPr>
      <w:r w:rsidRPr="003E14BC">
        <w:rPr>
          <w:b/>
          <w:sz w:val="24"/>
          <w:szCs w:val="24"/>
          <w:lang w:val="en-US"/>
        </w:rPr>
        <w:t>Abstract</w:t>
      </w:r>
    </w:p>
    <w:p w:rsidR="00BB76C1" w:rsidRPr="003E14BC" w:rsidRDefault="00BB76C1" w:rsidP="00DF1DE6">
      <w:pPr>
        <w:spacing w:line="240" w:lineRule="auto"/>
        <w:contextualSpacing/>
        <w:jc w:val="both"/>
        <w:rPr>
          <w:b/>
          <w:sz w:val="20"/>
          <w:szCs w:val="20"/>
          <w:lang w:val="en-US"/>
        </w:rPr>
      </w:pPr>
    </w:p>
    <w:p w:rsidR="00BB76C1" w:rsidRPr="00E34B93" w:rsidRDefault="00BB76C1" w:rsidP="00DF1DE6">
      <w:pPr>
        <w:spacing w:line="240" w:lineRule="auto"/>
        <w:contextualSpacing/>
        <w:jc w:val="both"/>
        <w:rPr>
          <w:sz w:val="20"/>
          <w:szCs w:val="20"/>
          <w:lang w:val="en-US"/>
        </w:rPr>
      </w:pPr>
      <w:r>
        <w:rPr>
          <w:sz w:val="20"/>
          <w:szCs w:val="20"/>
          <w:lang w:val="en-US"/>
        </w:rPr>
        <w:t>Removal of a</w:t>
      </w:r>
      <w:r w:rsidRPr="00E34B93">
        <w:rPr>
          <w:sz w:val="20"/>
          <w:szCs w:val="20"/>
          <w:lang w:val="en-US"/>
        </w:rPr>
        <w:t xml:space="preserve">cid dyes </w:t>
      </w:r>
      <w:r>
        <w:rPr>
          <w:sz w:val="20"/>
          <w:szCs w:val="20"/>
          <w:lang w:val="en-US"/>
        </w:rPr>
        <w:t xml:space="preserve">Mordant Blue 9 and Reactive Red 24:1 from diluted aqueous solution was tested using ionic liquids as liquid ion exchangers with co-action of inorganic coagulant (Fe(III) sulfate). The effect of molecular weight of quarternary ammonium or phosphonium cations on the removal efficiency was studied. </w:t>
      </w:r>
    </w:p>
    <w:p w:rsidR="00BB76C1" w:rsidRDefault="00BB76C1" w:rsidP="00DF1DE6">
      <w:pPr>
        <w:spacing w:line="240" w:lineRule="auto"/>
        <w:contextualSpacing/>
        <w:jc w:val="both"/>
        <w:rPr>
          <w:b/>
          <w:sz w:val="20"/>
          <w:szCs w:val="20"/>
          <w:lang w:val="en-US"/>
        </w:rPr>
      </w:pPr>
    </w:p>
    <w:p w:rsidR="00BB76C1" w:rsidRDefault="00BB76C1" w:rsidP="00DF1DE6">
      <w:pPr>
        <w:spacing w:line="240" w:lineRule="auto"/>
        <w:contextualSpacing/>
        <w:jc w:val="both"/>
        <w:rPr>
          <w:b/>
          <w:sz w:val="24"/>
          <w:szCs w:val="24"/>
          <w:lang w:val="en-US"/>
        </w:rPr>
      </w:pPr>
      <w:r w:rsidRPr="003E14BC">
        <w:rPr>
          <w:b/>
          <w:sz w:val="24"/>
          <w:szCs w:val="24"/>
          <w:lang w:val="en-US"/>
        </w:rPr>
        <w:t>Introduction</w:t>
      </w:r>
    </w:p>
    <w:p w:rsidR="00BB76C1" w:rsidRPr="003E14BC" w:rsidRDefault="00BB76C1" w:rsidP="00DF1DE6">
      <w:pPr>
        <w:spacing w:line="240" w:lineRule="auto"/>
        <w:contextualSpacing/>
        <w:jc w:val="both"/>
        <w:rPr>
          <w:b/>
          <w:sz w:val="20"/>
          <w:szCs w:val="20"/>
          <w:lang w:val="en-US"/>
        </w:rPr>
      </w:pPr>
    </w:p>
    <w:p w:rsidR="00BB76C1" w:rsidRPr="00DF1DE6" w:rsidRDefault="00BB76C1" w:rsidP="00DF1DE6">
      <w:pPr>
        <w:spacing w:line="240" w:lineRule="auto"/>
        <w:contextualSpacing/>
        <w:jc w:val="both"/>
        <w:rPr>
          <w:sz w:val="20"/>
          <w:szCs w:val="20"/>
          <w:lang w:val="en-US"/>
        </w:rPr>
      </w:pPr>
      <w:r w:rsidRPr="00DF1DE6">
        <w:rPr>
          <w:sz w:val="20"/>
          <w:szCs w:val="20"/>
          <w:lang w:val="en-US"/>
        </w:rPr>
        <w:t xml:space="preserve">Water is the common green solvent used for the production and application of anionic (or acid) dyes. Sulfonic acid groups bonded in the structures of acid dyes make these colorants very polar and water soluble. Therefore, such dyes are not readily adsorbed onto the charcoal. </w:t>
      </w:r>
    </w:p>
    <w:p w:rsidR="00BB76C1" w:rsidRDefault="00BB76C1" w:rsidP="00DF1DE6">
      <w:pPr>
        <w:spacing w:line="240" w:lineRule="auto"/>
        <w:contextualSpacing/>
        <w:jc w:val="both"/>
        <w:rPr>
          <w:sz w:val="20"/>
          <w:szCs w:val="20"/>
          <w:lang w:val="en-US"/>
        </w:rPr>
      </w:pPr>
      <w:r w:rsidRPr="00DF1DE6">
        <w:rPr>
          <w:sz w:val="20"/>
          <w:szCs w:val="20"/>
          <w:lang w:val="en-US"/>
        </w:rPr>
        <w:t>The main method applied for the isolation of acid dyes from the reaction mixture is the precipitation of produced dye by salting out and subsequent filtration. The produced aqueous mother liquors contain high loads of refractory COD (Chemical Oxygen Demand caused by dissolved polar aromatic compounds) and AOX (Adsorbable Organic Halogens, if halogenated starting materials are used) and high salt loads from salting out</w:t>
      </w:r>
      <w:r>
        <w:rPr>
          <w:sz w:val="20"/>
          <w:szCs w:val="20"/>
          <w:lang w:val="en-US"/>
        </w:rPr>
        <w:t xml:space="preserve"> (Scheme 1)</w:t>
      </w:r>
      <w:r w:rsidRPr="00DF1DE6">
        <w:rPr>
          <w:sz w:val="20"/>
          <w:szCs w:val="20"/>
          <w:lang w:val="en-US"/>
        </w:rPr>
        <w:t xml:space="preserve"> </w:t>
      </w:r>
      <w:r>
        <w:rPr>
          <w:sz w:val="20"/>
          <w:szCs w:val="20"/>
          <w:lang w:val="en-US"/>
        </w:rPr>
        <w:t>[1</w:t>
      </w:r>
      <w:r w:rsidRPr="00DF1DE6">
        <w:rPr>
          <w:sz w:val="20"/>
          <w:szCs w:val="20"/>
          <w:lang w:val="en-US"/>
        </w:rPr>
        <w:t>].</w:t>
      </w:r>
    </w:p>
    <w:p w:rsidR="00BB76C1" w:rsidRDefault="00BB76C1" w:rsidP="00FC40CB">
      <w:pPr>
        <w:spacing w:line="240" w:lineRule="auto"/>
        <w:contextualSpacing/>
        <w:jc w:val="both"/>
        <w:rPr>
          <w:sz w:val="20"/>
          <w:szCs w:val="20"/>
          <w:lang w:val="en-US"/>
        </w:rPr>
      </w:pPr>
      <w:r w:rsidRPr="00DF1DE6">
        <w:rPr>
          <w:sz w:val="20"/>
          <w:szCs w:val="20"/>
          <w:lang w:val="en-US"/>
        </w:rPr>
        <w:t xml:space="preserve">Ionic liquids are low melting ionic compounds composed by large asymmetric organic cations and inorganic or organic anions. Some ionic liquids are water soluble, whereas the others are lipophilic and </w:t>
      </w:r>
      <w:r>
        <w:rPr>
          <w:sz w:val="20"/>
          <w:szCs w:val="20"/>
          <w:lang w:val="en-US"/>
        </w:rPr>
        <w:t>sparingly soluble</w:t>
      </w:r>
      <w:r w:rsidRPr="00DF1DE6">
        <w:rPr>
          <w:sz w:val="20"/>
          <w:szCs w:val="20"/>
          <w:lang w:val="en-US"/>
        </w:rPr>
        <w:t xml:space="preserve"> [2].</w:t>
      </w:r>
      <w:r>
        <w:rPr>
          <w:sz w:val="20"/>
          <w:szCs w:val="20"/>
          <w:lang w:val="en-US"/>
        </w:rPr>
        <w:t xml:space="preserve"> </w:t>
      </w:r>
    </w:p>
    <w:p w:rsidR="00BB76C1" w:rsidRDefault="00BB76C1" w:rsidP="00FC40CB">
      <w:pPr>
        <w:spacing w:line="240" w:lineRule="auto"/>
        <w:contextualSpacing/>
        <w:jc w:val="both"/>
        <w:rPr>
          <w:sz w:val="20"/>
          <w:szCs w:val="20"/>
          <w:lang w:val="en-US"/>
        </w:rPr>
      </w:pPr>
    </w:p>
    <w:p w:rsidR="00BB76C1" w:rsidRDefault="00BB76C1" w:rsidP="00D7311B">
      <w:pPr>
        <w:spacing w:line="240" w:lineRule="auto"/>
        <w:contextualSpacing/>
        <w:jc w:val="center"/>
        <w:rPr>
          <w:sz w:val="20"/>
          <w:szCs w:val="20"/>
          <w:lang w:val="en-US"/>
        </w:rPr>
      </w:pPr>
      <w:r w:rsidRPr="00827B1F">
        <w:rPr>
          <w:noProof/>
          <w:sz w:val="20"/>
          <w:szCs w:val="20"/>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2" o:spid="_x0000_i1025" type="#_x0000_t75" style="width:194.25pt;height:143.25pt;visibility:visible">
            <v:imagedata r:id="rId5" o:title=""/>
          </v:shape>
        </w:pict>
      </w:r>
    </w:p>
    <w:p w:rsidR="00BB76C1" w:rsidRDefault="00BB76C1" w:rsidP="00FC40CB">
      <w:pPr>
        <w:spacing w:line="240" w:lineRule="auto"/>
        <w:contextualSpacing/>
        <w:jc w:val="both"/>
        <w:rPr>
          <w:sz w:val="20"/>
          <w:szCs w:val="20"/>
          <w:lang w:val="en-US"/>
        </w:rPr>
      </w:pPr>
      <w:r>
        <w:rPr>
          <w:sz w:val="20"/>
          <w:szCs w:val="20"/>
          <w:lang w:val="en-US"/>
        </w:rPr>
        <w:t>Figure 1. Relationship between aqueous solubility and size of cation and anion of alkMIM salts as typical ionic liquids.</w:t>
      </w:r>
    </w:p>
    <w:p w:rsidR="00BB76C1" w:rsidRDefault="00BB76C1" w:rsidP="00FC40CB">
      <w:pPr>
        <w:spacing w:line="240" w:lineRule="auto"/>
        <w:contextualSpacing/>
        <w:jc w:val="both"/>
        <w:rPr>
          <w:sz w:val="20"/>
          <w:szCs w:val="20"/>
          <w:lang w:val="en-US"/>
        </w:rPr>
      </w:pPr>
    </w:p>
    <w:p w:rsidR="00BB76C1" w:rsidRDefault="00BB76C1" w:rsidP="00FC40CB">
      <w:pPr>
        <w:spacing w:line="240" w:lineRule="auto"/>
        <w:contextualSpacing/>
        <w:jc w:val="both"/>
        <w:rPr>
          <w:rFonts w:cs="AdvPSA88A"/>
          <w:sz w:val="20"/>
          <w:szCs w:val="20"/>
          <w:lang w:val="en-US"/>
        </w:rPr>
      </w:pPr>
      <w:r w:rsidRPr="00124AA5">
        <w:rPr>
          <w:sz w:val="20"/>
          <w:szCs w:val="20"/>
          <w:lang w:val="en-US"/>
        </w:rPr>
        <w:t>T</w:t>
      </w:r>
      <w:r w:rsidRPr="00124AA5">
        <w:rPr>
          <w:rFonts w:cs="AdvPSA88A"/>
          <w:sz w:val="20"/>
          <w:szCs w:val="20"/>
          <w:lang w:val="en-US"/>
        </w:rPr>
        <w:t xml:space="preserve">he interaction between dyes and bulky cations of surfactants has been observed </w:t>
      </w:r>
      <w:r w:rsidRPr="00124AA5">
        <w:rPr>
          <w:sz w:val="20"/>
          <w:szCs w:val="20"/>
          <w:lang w:val="en-US"/>
        </w:rPr>
        <w:t>[3-5]</w:t>
      </w:r>
      <w:r w:rsidRPr="00124AA5">
        <w:rPr>
          <w:rFonts w:cs="AdvPSA88A"/>
          <w:sz w:val="20"/>
          <w:szCs w:val="20"/>
          <w:lang w:val="en-US"/>
        </w:rPr>
        <w:t>. The investigation of quarternary salt</w:t>
      </w:r>
      <w:r w:rsidRPr="00124AA5">
        <w:rPr>
          <w:rFonts w:cs="AdvPS44A44B"/>
          <w:sz w:val="20"/>
          <w:szCs w:val="20"/>
          <w:lang w:val="en-US"/>
        </w:rPr>
        <w:t>-</w:t>
      </w:r>
      <w:r w:rsidRPr="00124AA5">
        <w:rPr>
          <w:rFonts w:cs="AdvPSA88A"/>
          <w:sz w:val="20"/>
          <w:szCs w:val="20"/>
          <w:lang w:val="en-US"/>
        </w:rPr>
        <w:t xml:space="preserve">anionic dye ion pair formation has shown that the importance of long-range electrical forces is basically to bring the dye anion and the surfactant cation close enough to enable the action of short-range noncoulombic attractive van der Waals forces and hydrophobic interactions </w:t>
      </w:r>
      <w:r w:rsidRPr="00124AA5">
        <w:rPr>
          <w:sz w:val="20"/>
          <w:szCs w:val="20"/>
          <w:lang w:val="en-US"/>
        </w:rPr>
        <w:t>[</w:t>
      </w:r>
      <w:r>
        <w:rPr>
          <w:sz w:val="20"/>
          <w:szCs w:val="20"/>
          <w:lang w:val="en-US"/>
        </w:rPr>
        <w:t>3</w:t>
      </w:r>
      <w:r w:rsidRPr="00124AA5">
        <w:rPr>
          <w:sz w:val="20"/>
          <w:szCs w:val="20"/>
          <w:lang w:val="en-US"/>
        </w:rPr>
        <w:t>]</w:t>
      </w:r>
      <w:r w:rsidRPr="00124AA5">
        <w:rPr>
          <w:rFonts w:cs="AdvPSA88A"/>
          <w:sz w:val="20"/>
          <w:szCs w:val="20"/>
          <w:lang w:val="en-US"/>
        </w:rPr>
        <w:t>.</w:t>
      </w:r>
      <w:r>
        <w:rPr>
          <w:rFonts w:cs="AdvPSA88A"/>
          <w:sz w:val="20"/>
          <w:szCs w:val="20"/>
          <w:lang w:val="en-US"/>
        </w:rPr>
        <w:t xml:space="preserve"> </w:t>
      </w:r>
    </w:p>
    <w:p w:rsidR="00BB76C1" w:rsidRPr="00124AA5" w:rsidRDefault="00BB76C1" w:rsidP="00FC40CB">
      <w:pPr>
        <w:spacing w:line="240" w:lineRule="auto"/>
        <w:contextualSpacing/>
        <w:jc w:val="both"/>
        <w:rPr>
          <w:sz w:val="20"/>
          <w:szCs w:val="20"/>
          <w:lang w:val="en-US"/>
        </w:rPr>
      </w:pPr>
      <w:r w:rsidRPr="00124AA5">
        <w:rPr>
          <w:sz w:val="20"/>
          <w:szCs w:val="20"/>
          <w:lang w:val="en-US"/>
        </w:rPr>
        <w:t>The cheap commercially available ionic liquids are usually halides (mostly chlorides) of quarternary ammonium salts. We proved that the anion exchange of halide (X</w:t>
      </w:r>
      <w:r w:rsidRPr="00124AA5">
        <w:rPr>
          <w:sz w:val="20"/>
          <w:szCs w:val="20"/>
          <w:vertAlign w:val="superscript"/>
          <w:lang w:val="en-US"/>
        </w:rPr>
        <w:t>-</w:t>
      </w:r>
      <w:r w:rsidRPr="00124AA5">
        <w:rPr>
          <w:sz w:val="20"/>
          <w:szCs w:val="20"/>
          <w:lang w:val="en-US"/>
        </w:rPr>
        <w:t xml:space="preserve">) in ammonium ionic liquids using suitable source of larger anion (for example sodium salt of anionic dye, </w:t>
      </w:r>
      <w:r w:rsidRPr="003E14BC">
        <w:rPr>
          <w:sz w:val="20"/>
          <w:szCs w:val="20"/>
          <w:lang w:val="en-US"/>
        </w:rPr>
        <w:t>Na</w:t>
      </w:r>
      <w:r w:rsidRPr="003E14BC">
        <w:rPr>
          <w:sz w:val="20"/>
          <w:szCs w:val="20"/>
          <w:vertAlign w:val="superscript"/>
          <w:lang w:val="en-US"/>
        </w:rPr>
        <w:t xml:space="preserve">+ </w:t>
      </w:r>
      <w:r w:rsidRPr="003E14BC">
        <w:rPr>
          <w:sz w:val="20"/>
          <w:szCs w:val="20"/>
          <w:lang w:val="en-US"/>
        </w:rPr>
        <w:t>dye-SO</w:t>
      </w:r>
      <w:r w:rsidRPr="003E14BC">
        <w:rPr>
          <w:sz w:val="20"/>
          <w:szCs w:val="20"/>
          <w:vertAlign w:val="subscript"/>
          <w:lang w:val="en-US"/>
        </w:rPr>
        <w:t>3</w:t>
      </w:r>
      <w:r w:rsidRPr="003E14BC">
        <w:rPr>
          <w:sz w:val="20"/>
          <w:szCs w:val="20"/>
          <w:vertAlign w:val="superscript"/>
          <w:lang w:val="en-US"/>
        </w:rPr>
        <w:t>−</w:t>
      </w:r>
      <w:r w:rsidRPr="00124AA5">
        <w:rPr>
          <w:sz w:val="20"/>
          <w:szCs w:val="20"/>
          <w:lang w:val="en-US"/>
        </w:rPr>
        <w:t>) is very simple even in aqueous solution [4-6]:</w:t>
      </w:r>
    </w:p>
    <w:p w:rsidR="00BB76C1" w:rsidRPr="00083BDF" w:rsidRDefault="00BB76C1" w:rsidP="00FC40CB">
      <w:pPr>
        <w:autoSpaceDE w:val="0"/>
        <w:autoSpaceDN w:val="0"/>
        <w:adjustRightInd w:val="0"/>
        <w:spacing w:after="0" w:line="240" w:lineRule="auto"/>
        <w:jc w:val="center"/>
        <w:rPr>
          <w:sz w:val="24"/>
          <w:szCs w:val="24"/>
          <w:vertAlign w:val="superscript"/>
          <w:lang w:val="pt-BR"/>
        </w:rPr>
      </w:pPr>
      <w:r w:rsidRPr="00083BDF">
        <w:rPr>
          <w:sz w:val="20"/>
          <w:szCs w:val="20"/>
          <w:lang w:val="pt-BR"/>
        </w:rPr>
        <w:t>R</w:t>
      </w:r>
      <w:r w:rsidRPr="00083BDF">
        <w:rPr>
          <w:sz w:val="20"/>
          <w:szCs w:val="20"/>
          <w:vertAlign w:val="subscript"/>
          <w:lang w:val="pt-BR"/>
        </w:rPr>
        <w:t>4</w:t>
      </w:r>
      <w:r w:rsidRPr="00083BDF">
        <w:rPr>
          <w:sz w:val="20"/>
          <w:szCs w:val="20"/>
          <w:lang w:val="pt-BR"/>
        </w:rPr>
        <w:t>N</w:t>
      </w:r>
      <w:r w:rsidRPr="00083BDF">
        <w:rPr>
          <w:sz w:val="20"/>
          <w:szCs w:val="20"/>
          <w:vertAlign w:val="superscript"/>
          <w:lang w:val="pt-BR"/>
        </w:rPr>
        <w:t xml:space="preserve">+ </w:t>
      </w:r>
      <w:r w:rsidRPr="00083BDF">
        <w:rPr>
          <w:sz w:val="20"/>
          <w:szCs w:val="20"/>
          <w:lang w:val="pt-BR"/>
        </w:rPr>
        <w:t>X</w:t>
      </w:r>
      <w:r w:rsidRPr="00083BDF">
        <w:rPr>
          <w:sz w:val="20"/>
          <w:szCs w:val="20"/>
          <w:vertAlign w:val="superscript"/>
          <w:lang w:val="pt-BR"/>
        </w:rPr>
        <w:t>−</w:t>
      </w:r>
      <w:r w:rsidRPr="00083BDF">
        <w:rPr>
          <w:sz w:val="20"/>
          <w:szCs w:val="20"/>
          <w:lang w:val="pt-BR"/>
        </w:rPr>
        <w:t xml:space="preserve"> + Na</w:t>
      </w:r>
      <w:r w:rsidRPr="00083BDF">
        <w:rPr>
          <w:sz w:val="20"/>
          <w:szCs w:val="20"/>
          <w:vertAlign w:val="superscript"/>
          <w:lang w:val="pt-BR"/>
        </w:rPr>
        <w:t xml:space="preserve">+ </w:t>
      </w:r>
      <w:r w:rsidRPr="00083BDF">
        <w:rPr>
          <w:sz w:val="20"/>
          <w:szCs w:val="20"/>
          <w:lang w:val="pt-BR"/>
        </w:rPr>
        <w:t>dye-SO</w:t>
      </w:r>
      <w:r w:rsidRPr="00083BDF">
        <w:rPr>
          <w:sz w:val="20"/>
          <w:szCs w:val="20"/>
          <w:vertAlign w:val="subscript"/>
          <w:lang w:val="pt-BR"/>
        </w:rPr>
        <w:t>3</w:t>
      </w:r>
      <w:r w:rsidRPr="00083BDF">
        <w:rPr>
          <w:sz w:val="20"/>
          <w:szCs w:val="20"/>
          <w:vertAlign w:val="superscript"/>
          <w:lang w:val="pt-BR"/>
        </w:rPr>
        <w:t>−</w:t>
      </w:r>
      <w:r w:rsidRPr="00083BDF">
        <w:rPr>
          <w:sz w:val="20"/>
          <w:szCs w:val="20"/>
          <w:lang w:val="pt-BR"/>
        </w:rPr>
        <w:t xml:space="preserve"> → R</w:t>
      </w:r>
      <w:r w:rsidRPr="00083BDF">
        <w:rPr>
          <w:sz w:val="20"/>
          <w:szCs w:val="20"/>
          <w:vertAlign w:val="subscript"/>
          <w:lang w:val="pt-BR"/>
        </w:rPr>
        <w:t>4</w:t>
      </w:r>
      <w:r w:rsidRPr="00083BDF">
        <w:rPr>
          <w:sz w:val="20"/>
          <w:szCs w:val="20"/>
          <w:lang w:val="pt-BR"/>
        </w:rPr>
        <w:t>N</w:t>
      </w:r>
      <w:r w:rsidRPr="00083BDF">
        <w:rPr>
          <w:sz w:val="20"/>
          <w:szCs w:val="20"/>
          <w:vertAlign w:val="superscript"/>
          <w:lang w:val="pt-BR"/>
        </w:rPr>
        <w:t xml:space="preserve">+ </w:t>
      </w:r>
      <w:r w:rsidRPr="00083BDF">
        <w:rPr>
          <w:sz w:val="20"/>
          <w:szCs w:val="20"/>
          <w:lang w:val="pt-BR"/>
        </w:rPr>
        <w:t>dye-SO</w:t>
      </w:r>
      <w:r w:rsidRPr="00083BDF">
        <w:rPr>
          <w:sz w:val="20"/>
          <w:szCs w:val="20"/>
          <w:vertAlign w:val="subscript"/>
          <w:lang w:val="pt-BR"/>
        </w:rPr>
        <w:t>3</w:t>
      </w:r>
      <w:r w:rsidRPr="00083BDF">
        <w:rPr>
          <w:sz w:val="20"/>
          <w:szCs w:val="20"/>
          <w:vertAlign w:val="superscript"/>
          <w:lang w:val="pt-BR"/>
        </w:rPr>
        <w:t>−</w:t>
      </w:r>
      <w:r w:rsidRPr="00083BDF">
        <w:rPr>
          <w:sz w:val="20"/>
          <w:szCs w:val="20"/>
          <w:lang w:val="pt-BR"/>
        </w:rPr>
        <w:t xml:space="preserve"> + Na</w:t>
      </w:r>
      <w:r w:rsidRPr="00083BDF">
        <w:rPr>
          <w:sz w:val="20"/>
          <w:szCs w:val="20"/>
          <w:vertAlign w:val="superscript"/>
          <w:lang w:val="pt-BR"/>
        </w:rPr>
        <w:t>+</w:t>
      </w:r>
      <w:r w:rsidRPr="00083BDF">
        <w:rPr>
          <w:sz w:val="20"/>
          <w:szCs w:val="20"/>
          <w:lang w:val="pt-BR"/>
        </w:rPr>
        <w:t xml:space="preserve"> X</w:t>
      </w:r>
      <w:r w:rsidRPr="00083BDF">
        <w:rPr>
          <w:sz w:val="24"/>
          <w:szCs w:val="24"/>
          <w:vertAlign w:val="superscript"/>
          <w:lang w:val="pt-BR"/>
        </w:rPr>
        <w:t>−</w:t>
      </w:r>
    </w:p>
    <w:p w:rsidR="00BB76C1" w:rsidRDefault="00BB76C1" w:rsidP="00F912F9">
      <w:pPr>
        <w:autoSpaceDE w:val="0"/>
        <w:autoSpaceDN w:val="0"/>
        <w:adjustRightInd w:val="0"/>
        <w:spacing w:after="0" w:line="240" w:lineRule="auto"/>
        <w:rPr>
          <w:sz w:val="20"/>
          <w:szCs w:val="20"/>
          <w:lang w:val="en-US"/>
        </w:rPr>
      </w:pPr>
      <w:r>
        <w:rPr>
          <w:sz w:val="20"/>
          <w:szCs w:val="20"/>
          <w:lang w:val="en-US"/>
        </w:rPr>
        <w:t xml:space="preserve">The effect of pH was studied and published elsewhere  [4,6,7]. </w:t>
      </w:r>
    </w:p>
    <w:p w:rsidR="00BB76C1" w:rsidRDefault="00BB76C1" w:rsidP="00DF1DE6">
      <w:pPr>
        <w:spacing w:line="240" w:lineRule="auto"/>
        <w:contextualSpacing/>
        <w:jc w:val="both"/>
        <w:rPr>
          <w:sz w:val="20"/>
          <w:szCs w:val="20"/>
          <w:lang w:val="en-US"/>
        </w:rPr>
      </w:pPr>
    </w:p>
    <w:p w:rsidR="00BB76C1" w:rsidRDefault="00BB76C1" w:rsidP="00DF1DE6">
      <w:pPr>
        <w:spacing w:line="240" w:lineRule="auto"/>
        <w:contextualSpacing/>
        <w:jc w:val="both"/>
        <w:rPr>
          <w:sz w:val="20"/>
          <w:szCs w:val="20"/>
          <w:lang w:val="en-US"/>
        </w:rPr>
      </w:pPr>
    </w:p>
    <w:p w:rsidR="00BB76C1" w:rsidRPr="003E14BC" w:rsidRDefault="00BB76C1" w:rsidP="00DF1DE6">
      <w:pPr>
        <w:spacing w:line="240" w:lineRule="auto"/>
        <w:contextualSpacing/>
        <w:jc w:val="both"/>
        <w:rPr>
          <w:sz w:val="20"/>
          <w:szCs w:val="20"/>
          <w:lang w:val="en-US"/>
        </w:rPr>
      </w:pPr>
      <w:r w:rsidRPr="003E14BC">
        <w:rPr>
          <w:sz w:val="20"/>
          <w:szCs w:val="20"/>
        </w:rPr>
        <w:object w:dxaOrig="7218" w:dyaOrig="5394">
          <v:shape id="_x0000_i1026" type="#_x0000_t75" style="width:354pt;height:270pt" o:ole="">
            <v:imagedata r:id="rId6" o:title=""/>
          </v:shape>
          <o:OLEObject Type="Embed" ProgID="PowerPoint.Slide.8" ShapeID="_x0000_i1026" DrawAspect="Content" ObjectID="_1557744000" r:id="rId7"/>
        </w:object>
      </w:r>
    </w:p>
    <w:p w:rsidR="00BB76C1" w:rsidRDefault="00BB76C1" w:rsidP="00DF1DE6">
      <w:pPr>
        <w:spacing w:line="240" w:lineRule="auto"/>
        <w:contextualSpacing/>
        <w:jc w:val="both"/>
        <w:rPr>
          <w:sz w:val="20"/>
          <w:szCs w:val="20"/>
          <w:lang w:val="en-US"/>
        </w:rPr>
      </w:pPr>
      <w:r>
        <w:rPr>
          <w:sz w:val="20"/>
          <w:szCs w:val="20"/>
          <w:lang w:val="en-US"/>
        </w:rPr>
        <w:t xml:space="preserve">Scheme 1. Production of acid dye </w:t>
      </w:r>
      <w:r w:rsidRPr="00DF1DE6">
        <w:rPr>
          <w:sz w:val="20"/>
          <w:szCs w:val="20"/>
          <w:lang w:val="en-US"/>
        </w:rPr>
        <w:t xml:space="preserve"> </w:t>
      </w:r>
      <w:r>
        <w:rPr>
          <w:sz w:val="20"/>
          <w:szCs w:val="20"/>
          <w:lang w:val="en-US"/>
        </w:rPr>
        <w:t>Reactive Red 24:1.</w:t>
      </w:r>
    </w:p>
    <w:p w:rsidR="00BB76C1" w:rsidRDefault="00BB76C1" w:rsidP="00DF1DE6">
      <w:pPr>
        <w:spacing w:line="240" w:lineRule="auto"/>
        <w:contextualSpacing/>
        <w:jc w:val="both"/>
        <w:rPr>
          <w:sz w:val="20"/>
          <w:szCs w:val="20"/>
          <w:lang w:val="en-US"/>
        </w:rPr>
      </w:pPr>
    </w:p>
    <w:p w:rsidR="00BB76C1" w:rsidRDefault="00BB76C1" w:rsidP="003E14BC">
      <w:pPr>
        <w:autoSpaceDE w:val="0"/>
        <w:autoSpaceDN w:val="0"/>
        <w:adjustRightInd w:val="0"/>
        <w:spacing w:after="0" w:line="240" w:lineRule="auto"/>
        <w:jc w:val="both"/>
        <w:rPr>
          <w:sz w:val="20"/>
          <w:szCs w:val="20"/>
          <w:lang w:val="en-US"/>
        </w:rPr>
      </w:pPr>
      <w:r w:rsidRPr="003E14BC">
        <w:rPr>
          <w:sz w:val="20"/>
          <w:szCs w:val="20"/>
          <w:lang w:val="en-US"/>
        </w:rPr>
        <w:t>As was observed earlier, the most effective molar ratio of large organic cation (R</w:t>
      </w:r>
      <w:r w:rsidRPr="003E14BC">
        <w:rPr>
          <w:sz w:val="20"/>
          <w:szCs w:val="20"/>
          <w:vertAlign w:val="subscript"/>
          <w:lang w:val="en-US"/>
        </w:rPr>
        <w:t>4</w:t>
      </w:r>
      <w:r w:rsidRPr="003E14BC">
        <w:rPr>
          <w:sz w:val="20"/>
          <w:szCs w:val="20"/>
          <w:lang w:val="en-US"/>
        </w:rPr>
        <w:t>G</w:t>
      </w:r>
      <w:r w:rsidRPr="003E14BC">
        <w:rPr>
          <w:sz w:val="20"/>
          <w:szCs w:val="20"/>
          <w:vertAlign w:val="superscript"/>
          <w:lang w:val="en-US"/>
        </w:rPr>
        <w:t>+</w:t>
      </w:r>
      <w:r w:rsidRPr="003E14BC">
        <w:rPr>
          <w:sz w:val="20"/>
          <w:szCs w:val="20"/>
          <w:lang w:val="en-US"/>
        </w:rPr>
        <w:t>) and sulfonic acid anions (dye-SO</w:t>
      </w:r>
      <w:r w:rsidRPr="003E14BC">
        <w:rPr>
          <w:sz w:val="20"/>
          <w:szCs w:val="20"/>
          <w:vertAlign w:val="subscript"/>
          <w:lang w:val="en-US"/>
        </w:rPr>
        <w:t>3</w:t>
      </w:r>
      <w:r w:rsidRPr="003E14BC">
        <w:rPr>
          <w:sz w:val="20"/>
          <w:szCs w:val="20"/>
          <w:lang w:val="en-US"/>
        </w:rPr>
        <w:t>Na)  is R</w:t>
      </w:r>
      <w:r w:rsidRPr="003E14BC">
        <w:rPr>
          <w:sz w:val="20"/>
          <w:szCs w:val="20"/>
          <w:vertAlign w:val="subscript"/>
          <w:lang w:val="en-US"/>
        </w:rPr>
        <w:t>4</w:t>
      </w:r>
      <w:r w:rsidRPr="003E14BC">
        <w:rPr>
          <w:sz w:val="20"/>
          <w:szCs w:val="20"/>
          <w:lang w:val="en-US"/>
        </w:rPr>
        <w:t>G</w:t>
      </w:r>
      <w:r w:rsidRPr="003E14BC">
        <w:rPr>
          <w:sz w:val="20"/>
          <w:szCs w:val="20"/>
          <w:vertAlign w:val="superscript"/>
          <w:lang w:val="en-US"/>
        </w:rPr>
        <w:t xml:space="preserve">+ </w:t>
      </w:r>
      <w:r w:rsidRPr="003E14BC">
        <w:rPr>
          <w:sz w:val="20"/>
          <w:szCs w:val="20"/>
          <w:lang w:val="en-US"/>
        </w:rPr>
        <w:t>: dye-SO</w:t>
      </w:r>
      <w:r w:rsidRPr="003E14BC">
        <w:rPr>
          <w:sz w:val="20"/>
          <w:szCs w:val="20"/>
          <w:vertAlign w:val="subscript"/>
          <w:lang w:val="en-US"/>
        </w:rPr>
        <w:t>3</w:t>
      </w:r>
      <w:r w:rsidRPr="003E14BC">
        <w:rPr>
          <w:sz w:val="20"/>
          <w:szCs w:val="20"/>
          <w:lang w:val="en-US"/>
        </w:rPr>
        <w:t xml:space="preserve">Na = 1 : 1  </w:t>
      </w:r>
      <w:r w:rsidRPr="00124AA5">
        <w:rPr>
          <w:sz w:val="20"/>
          <w:szCs w:val="20"/>
          <w:lang w:val="en-US"/>
        </w:rPr>
        <w:t>[</w:t>
      </w:r>
      <w:r>
        <w:rPr>
          <w:sz w:val="20"/>
          <w:szCs w:val="20"/>
          <w:lang w:val="en-US"/>
        </w:rPr>
        <w:t>4-6].</w:t>
      </w:r>
    </w:p>
    <w:p w:rsidR="00BB76C1" w:rsidRPr="003E14BC" w:rsidRDefault="00BB76C1" w:rsidP="003E14BC">
      <w:pPr>
        <w:autoSpaceDE w:val="0"/>
        <w:autoSpaceDN w:val="0"/>
        <w:adjustRightInd w:val="0"/>
        <w:spacing w:after="0" w:line="240" w:lineRule="auto"/>
        <w:jc w:val="both"/>
        <w:rPr>
          <w:sz w:val="20"/>
          <w:szCs w:val="20"/>
          <w:lang w:val="en-US"/>
        </w:rPr>
      </w:pPr>
      <w:r>
        <w:rPr>
          <w:sz w:val="20"/>
          <w:szCs w:val="20"/>
          <w:lang w:val="en-US"/>
        </w:rPr>
        <w:t xml:space="preserve">The efficiency of different phosphonium and ammonium based ionic liquids on the removal of above mentioned dyes was tested. The obtained results are summarized in Figures 2-4. The main drawback of the ion pairs </w:t>
      </w:r>
      <w:r w:rsidRPr="003E14BC">
        <w:rPr>
          <w:sz w:val="20"/>
          <w:szCs w:val="20"/>
          <w:lang w:val="en-US"/>
        </w:rPr>
        <w:t>formation based separation method in case of studied dyes is the common formation of quite stable colloidal systems, which unables simple isolation of produced ion pairs R</w:t>
      </w:r>
      <w:r w:rsidRPr="003E14BC">
        <w:rPr>
          <w:sz w:val="20"/>
          <w:szCs w:val="20"/>
          <w:vertAlign w:val="subscript"/>
          <w:lang w:val="en-US"/>
        </w:rPr>
        <w:t>4</w:t>
      </w:r>
      <w:r w:rsidRPr="003E14BC">
        <w:rPr>
          <w:sz w:val="20"/>
          <w:szCs w:val="20"/>
          <w:lang w:val="en-US"/>
        </w:rPr>
        <w:t>N</w:t>
      </w:r>
      <w:r w:rsidRPr="003E14BC">
        <w:rPr>
          <w:sz w:val="20"/>
          <w:szCs w:val="20"/>
          <w:vertAlign w:val="superscript"/>
          <w:lang w:val="en-US"/>
        </w:rPr>
        <w:t xml:space="preserve">+ </w:t>
      </w:r>
      <w:r w:rsidRPr="003E14BC">
        <w:rPr>
          <w:sz w:val="20"/>
          <w:szCs w:val="20"/>
          <w:lang w:val="en-US"/>
        </w:rPr>
        <w:t>dye-SO</w:t>
      </w:r>
      <w:r w:rsidRPr="003E14BC">
        <w:rPr>
          <w:sz w:val="20"/>
          <w:szCs w:val="20"/>
          <w:vertAlign w:val="subscript"/>
          <w:lang w:val="en-US"/>
        </w:rPr>
        <w:t>3</w:t>
      </w:r>
      <w:r w:rsidRPr="003E14BC">
        <w:rPr>
          <w:sz w:val="20"/>
          <w:szCs w:val="20"/>
          <w:vertAlign w:val="superscript"/>
          <w:lang w:val="en-US"/>
        </w:rPr>
        <w:t xml:space="preserve">− </w:t>
      </w:r>
      <w:r w:rsidRPr="003E14BC">
        <w:rPr>
          <w:sz w:val="20"/>
          <w:szCs w:val="20"/>
          <w:lang w:val="en-US"/>
        </w:rPr>
        <w:t xml:space="preserve">from the aqueous phase. The effective separation of insoluble product takes about 16 hours of slow overnight stirring. </w:t>
      </w:r>
    </w:p>
    <w:p w:rsidR="00BB76C1" w:rsidRDefault="00BB76C1" w:rsidP="003E14BC">
      <w:pPr>
        <w:autoSpaceDE w:val="0"/>
        <w:autoSpaceDN w:val="0"/>
        <w:adjustRightInd w:val="0"/>
        <w:spacing w:after="0" w:line="240" w:lineRule="auto"/>
        <w:jc w:val="both"/>
        <w:rPr>
          <w:b/>
          <w:sz w:val="20"/>
          <w:szCs w:val="20"/>
          <w:lang w:val="en-US"/>
        </w:rPr>
      </w:pPr>
      <w:r w:rsidRPr="003E14BC">
        <w:rPr>
          <w:sz w:val="20"/>
          <w:szCs w:val="20"/>
          <w:lang w:val="en-US"/>
        </w:rPr>
        <w:t xml:space="preserve">Due to this reason addition of iron(III) sulfate as cheap inorganic coagulant was tested </w:t>
      </w:r>
      <w:r w:rsidRPr="00124AA5">
        <w:rPr>
          <w:sz w:val="20"/>
          <w:szCs w:val="20"/>
          <w:lang w:val="en-US"/>
        </w:rPr>
        <w:t>[</w:t>
      </w:r>
      <w:r>
        <w:rPr>
          <w:sz w:val="20"/>
          <w:szCs w:val="20"/>
          <w:lang w:val="en-US"/>
        </w:rPr>
        <w:t>4-6]. The results obtained using Mordant Blue 9 dye are depicted in Figure 5.</w:t>
      </w:r>
      <w:r w:rsidRPr="003E14BC">
        <w:rPr>
          <w:b/>
          <w:sz w:val="20"/>
          <w:szCs w:val="20"/>
          <w:lang w:val="en-US"/>
        </w:rPr>
        <w:t xml:space="preserve"> </w:t>
      </w:r>
    </w:p>
    <w:p w:rsidR="00BB76C1" w:rsidRDefault="00BB76C1" w:rsidP="003E14BC">
      <w:pPr>
        <w:autoSpaceDE w:val="0"/>
        <w:autoSpaceDN w:val="0"/>
        <w:adjustRightInd w:val="0"/>
        <w:spacing w:after="0" w:line="240" w:lineRule="auto"/>
        <w:jc w:val="both"/>
        <w:rPr>
          <w:b/>
          <w:sz w:val="20"/>
          <w:szCs w:val="20"/>
          <w:lang w:val="en-US"/>
        </w:rPr>
      </w:pPr>
    </w:p>
    <w:p w:rsidR="00BB76C1" w:rsidRDefault="00BB76C1" w:rsidP="003E14BC">
      <w:pPr>
        <w:autoSpaceDE w:val="0"/>
        <w:autoSpaceDN w:val="0"/>
        <w:adjustRightInd w:val="0"/>
        <w:spacing w:after="0" w:line="240" w:lineRule="auto"/>
        <w:jc w:val="both"/>
        <w:rPr>
          <w:b/>
          <w:sz w:val="24"/>
          <w:szCs w:val="24"/>
          <w:lang w:val="en-US"/>
        </w:rPr>
      </w:pPr>
      <w:r>
        <w:rPr>
          <w:b/>
          <w:sz w:val="24"/>
          <w:szCs w:val="24"/>
          <w:lang w:val="en-US"/>
        </w:rPr>
        <w:t>Experimental</w:t>
      </w:r>
    </w:p>
    <w:p w:rsidR="00BB76C1" w:rsidRPr="00001564" w:rsidRDefault="00BB76C1" w:rsidP="00001564">
      <w:pPr>
        <w:autoSpaceDE w:val="0"/>
        <w:autoSpaceDN w:val="0"/>
        <w:adjustRightInd w:val="0"/>
        <w:spacing w:before="120" w:after="60"/>
        <w:rPr>
          <w:rFonts w:cs="Arial"/>
          <w:iCs/>
          <w:sz w:val="20"/>
          <w:szCs w:val="20"/>
          <w:lang w:val="en-US"/>
        </w:rPr>
      </w:pPr>
      <w:r w:rsidRPr="00001564">
        <w:rPr>
          <w:rFonts w:cs="Arial"/>
          <w:iCs/>
          <w:sz w:val="20"/>
          <w:szCs w:val="20"/>
          <w:lang w:val="en-US"/>
        </w:rPr>
        <w:t>Chemicals</w:t>
      </w:r>
    </w:p>
    <w:p w:rsidR="00BB76C1" w:rsidRPr="00001564" w:rsidRDefault="00BB76C1" w:rsidP="00001564">
      <w:pPr>
        <w:autoSpaceDE w:val="0"/>
        <w:autoSpaceDN w:val="0"/>
        <w:adjustRightInd w:val="0"/>
        <w:spacing w:after="0"/>
        <w:rPr>
          <w:rFonts w:cs="Arial"/>
          <w:sz w:val="20"/>
          <w:szCs w:val="20"/>
          <w:lang w:val="en-US"/>
        </w:rPr>
      </w:pPr>
      <w:r w:rsidRPr="00001564">
        <w:rPr>
          <w:rFonts w:cs="Arial"/>
          <w:sz w:val="20"/>
          <w:szCs w:val="20"/>
          <w:lang w:val="en-US"/>
        </w:rPr>
        <w:t>Mordant Blue 9 and Reactive Red 45:1 and used ionic liquids or cationic surfactants were supplied by Sigma-Aldrich Co. Stock solutions of the dyes (1×10</w:t>
      </w:r>
      <w:r w:rsidRPr="00001564">
        <w:rPr>
          <w:rFonts w:cs="Arial"/>
          <w:sz w:val="20"/>
          <w:szCs w:val="20"/>
          <w:vertAlign w:val="superscript"/>
          <w:lang w:val="en-US"/>
        </w:rPr>
        <w:t>−2</w:t>
      </w:r>
      <w:r w:rsidRPr="00001564">
        <w:rPr>
          <w:rFonts w:cs="Arial"/>
          <w:sz w:val="20"/>
          <w:szCs w:val="20"/>
          <w:lang w:val="en-US"/>
        </w:rPr>
        <w:t xml:space="preserve"> M) were prepared in distilled water. </w:t>
      </w:r>
      <w:r>
        <w:rPr>
          <w:rFonts w:cs="Arial"/>
          <w:sz w:val="20"/>
          <w:szCs w:val="20"/>
          <w:lang w:val="en-US"/>
        </w:rPr>
        <w:t xml:space="preserve">50 or </w:t>
      </w:r>
      <w:smartTag w:uri="urn:schemas-microsoft-com:office:smarttags" w:element="metricconverter">
        <w:smartTagPr>
          <w:attr w:name="ProductID" w:val="100 mM"/>
        </w:smartTagPr>
        <w:r>
          <w:rPr>
            <w:rFonts w:cs="Arial"/>
            <w:sz w:val="20"/>
            <w:szCs w:val="20"/>
            <w:lang w:val="en-US"/>
          </w:rPr>
          <w:t>100 mM</w:t>
        </w:r>
      </w:smartTag>
      <w:r>
        <w:rPr>
          <w:rFonts w:cs="Arial"/>
          <w:sz w:val="20"/>
          <w:szCs w:val="20"/>
          <w:lang w:val="en-US"/>
        </w:rPr>
        <w:t xml:space="preserve"> s</w:t>
      </w:r>
      <w:r w:rsidRPr="00001564">
        <w:rPr>
          <w:rFonts w:cs="Arial"/>
          <w:sz w:val="20"/>
          <w:szCs w:val="20"/>
          <w:lang w:val="en-US"/>
        </w:rPr>
        <w:t>tock solutions of ionic liquids were prepared in distilled water.</w:t>
      </w:r>
    </w:p>
    <w:p w:rsidR="00BB76C1" w:rsidRPr="00001564" w:rsidRDefault="00BB76C1" w:rsidP="00001564">
      <w:pPr>
        <w:autoSpaceDE w:val="0"/>
        <w:autoSpaceDN w:val="0"/>
        <w:adjustRightInd w:val="0"/>
        <w:spacing w:before="120" w:after="60"/>
        <w:rPr>
          <w:rFonts w:cs="Arial"/>
          <w:iCs/>
          <w:sz w:val="20"/>
          <w:szCs w:val="20"/>
          <w:lang w:val="en-US"/>
        </w:rPr>
      </w:pPr>
      <w:r w:rsidRPr="00001564">
        <w:rPr>
          <w:rFonts w:cs="Arial"/>
          <w:iCs/>
          <w:sz w:val="20"/>
          <w:szCs w:val="20"/>
          <w:lang w:val="en-US"/>
        </w:rPr>
        <w:t>Instruments</w:t>
      </w:r>
    </w:p>
    <w:p w:rsidR="00BB76C1" w:rsidRPr="00001564" w:rsidRDefault="00BB76C1" w:rsidP="00001564">
      <w:pPr>
        <w:autoSpaceDE w:val="0"/>
        <w:autoSpaceDN w:val="0"/>
        <w:adjustRightInd w:val="0"/>
        <w:rPr>
          <w:rFonts w:cs="Arial"/>
          <w:sz w:val="20"/>
          <w:szCs w:val="20"/>
          <w:lang w:val="en-US"/>
        </w:rPr>
      </w:pPr>
      <w:r w:rsidRPr="00001564">
        <w:rPr>
          <w:rFonts w:cs="Arial"/>
          <w:sz w:val="20"/>
          <w:szCs w:val="20"/>
          <w:lang w:val="en-US"/>
        </w:rPr>
        <w:t>A UV-visible spectrophotometer Libra S22 (</w:t>
      </w:r>
      <w:smartTag w:uri="urn:schemas-microsoft-com:office:smarttags" w:element="metricconverter">
        <w:smartTagPr>
          <w:attr w:name="ProductID" w:val="5 mM"/>
        </w:smartTagPr>
        <w:smartTag w:uri="urn:schemas-microsoft-com:office:smarttags" w:element="City">
          <w:r w:rsidRPr="00001564">
            <w:rPr>
              <w:rFonts w:cs="Arial"/>
              <w:sz w:val="20"/>
              <w:szCs w:val="20"/>
              <w:lang w:val="en-US"/>
            </w:rPr>
            <w:t>Biochrom</w:t>
          </w:r>
        </w:smartTag>
        <w:r w:rsidRPr="00001564">
          <w:rPr>
            <w:rFonts w:cs="Arial"/>
            <w:sz w:val="20"/>
            <w:szCs w:val="20"/>
            <w:lang w:val="en-US"/>
          </w:rPr>
          <w:t xml:space="preserve">, </w:t>
        </w:r>
        <w:smartTag w:uri="urn:schemas-microsoft-com:office:smarttags" w:element="metricconverter">
          <w:smartTagPr>
            <w:attr w:name="ProductID" w:val="5 mM"/>
          </w:smartTagPr>
          <w:r w:rsidRPr="00001564">
            <w:rPr>
              <w:rFonts w:cs="Arial"/>
              <w:sz w:val="20"/>
              <w:szCs w:val="20"/>
              <w:lang w:val="en-US"/>
            </w:rPr>
            <w:t>Great Britain</w:t>
          </w:r>
        </w:smartTag>
      </w:smartTag>
      <w:r w:rsidRPr="00001564">
        <w:rPr>
          <w:rFonts w:cs="Arial"/>
          <w:sz w:val="20"/>
          <w:szCs w:val="20"/>
          <w:lang w:val="en-US"/>
        </w:rPr>
        <w:t xml:space="preserve">) was used to measure the absorbance values of the dyes to establish their </w:t>
      </w:r>
      <w:r w:rsidRPr="00001564">
        <w:rPr>
          <w:rFonts w:cs="Calibri"/>
          <w:sz w:val="20"/>
          <w:szCs w:val="20"/>
          <w:lang w:val="en-US"/>
        </w:rPr>
        <w:t></w:t>
      </w:r>
      <w:r w:rsidRPr="00001564">
        <w:rPr>
          <w:rFonts w:cs="Arial"/>
          <w:sz w:val="20"/>
          <w:szCs w:val="20"/>
          <w:lang w:val="en-US"/>
        </w:rPr>
        <w:t>max and concentrations. A magnetic stirrer HeiTEC (Heidolph Instruments GmbH&amp;Co.) was used for stirring of solutions.</w:t>
      </w:r>
    </w:p>
    <w:p w:rsidR="00BB76C1" w:rsidRPr="00001564" w:rsidRDefault="00BB76C1" w:rsidP="00001564">
      <w:pPr>
        <w:autoSpaceDE w:val="0"/>
        <w:autoSpaceDN w:val="0"/>
        <w:adjustRightInd w:val="0"/>
        <w:spacing w:before="120" w:after="60"/>
        <w:jc w:val="both"/>
        <w:rPr>
          <w:rFonts w:cs="Arial"/>
          <w:iCs/>
          <w:sz w:val="20"/>
          <w:szCs w:val="20"/>
          <w:lang w:val="en-US"/>
        </w:rPr>
      </w:pPr>
      <w:r w:rsidRPr="00001564">
        <w:rPr>
          <w:rFonts w:cs="Arial"/>
          <w:iCs/>
          <w:sz w:val="20"/>
          <w:szCs w:val="20"/>
          <w:lang w:val="en-US"/>
        </w:rPr>
        <w:t>Precipitation of dyes</w:t>
      </w:r>
    </w:p>
    <w:p w:rsidR="00BB76C1" w:rsidRPr="00001564" w:rsidRDefault="00BB76C1" w:rsidP="00001564">
      <w:pPr>
        <w:autoSpaceDE w:val="0"/>
        <w:autoSpaceDN w:val="0"/>
        <w:adjustRightInd w:val="0"/>
        <w:spacing w:after="0" w:line="240" w:lineRule="auto"/>
        <w:jc w:val="both"/>
        <w:rPr>
          <w:rFonts w:cs="Arial"/>
          <w:sz w:val="20"/>
          <w:szCs w:val="20"/>
          <w:lang w:val="en-US"/>
        </w:rPr>
      </w:pPr>
      <w:r w:rsidRPr="00001564">
        <w:rPr>
          <w:rFonts w:cs="Arial"/>
          <w:sz w:val="20"/>
          <w:szCs w:val="20"/>
          <w:lang w:val="en-US"/>
        </w:rPr>
        <w:t>An aliquot of neat room temperature ionic liquid or of the above-mentioned aqueous solution of ionic liquid was added into a beaker (400 mL) with the same 100 mL of 1×10</w:t>
      </w:r>
      <w:r w:rsidRPr="00001564">
        <w:rPr>
          <w:rFonts w:cs="Arial"/>
          <w:sz w:val="20"/>
          <w:szCs w:val="20"/>
          <w:vertAlign w:val="superscript"/>
          <w:lang w:val="en-US"/>
        </w:rPr>
        <w:t>−2</w:t>
      </w:r>
      <w:r w:rsidRPr="00001564">
        <w:rPr>
          <w:rFonts w:cs="Arial"/>
          <w:sz w:val="20"/>
          <w:szCs w:val="20"/>
          <w:lang w:val="en-US"/>
        </w:rPr>
        <w:t xml:space="preserve"> M dye solution, and the volume of solution in each beaker was replenished up to 200 mL. After 16 hours of stirring at the speed of 400 rpm and the temperature of 20±</w:t>
      </w:r>
      <w:smartTag w:uri="urn:schemas-microsoft-com:office:smarttags" w:element="metricconverter">
        <w:smartTagPr>
          <w:attr w:name="ProductID" w:val="5 mM"/>
        </w:smartTagPr>
        <w:r w:rsidRPr="00001564">
          <w:rPr>
            <w:rFonts w:cs="Arial"/>
            <w:sz w:val="20"/>
            <w:szCs w:val="20"/>
            <w:lang w:val="en-US"/>
          </w:rPr>
          <w:t>1°C</w:t>
        </w:r>
      </w:smartTag>
      <w:r w:rsidRPr="00001564">
        <w:rPr>
          <w:rFonts w:cs="Arial"/>
          <w:sz w:val="20"/>
          <w:szCs w:val="20"/>
          <w:lang w:val="en-US"/>
        </w:rPr>
        <w:t xml:space="preserve">, filtration by suction and measuring dye concentration in filtrates, the maximum </w:t>
      </w:r>
      <w:r>
        <w:rPr>
          <w:rFonts w:cs="Arial"/>
          <w:sz w:val="20"/>
          <w:szCs w:val="20"/>
          <w:lang w:val="en-US"/>
        </w:rPr>
        <w:t>removal</w:t>
      </w:r>
      <w:r w:rsidRPr="00001564">
        <w:rPr>
          <w:rFonts w:cs="Arial"/>
          <w:sz w:val="20"/>
          <w:szCs w:val="20"/>
          <w:lang w:val="en-US"/>
        </w:rPr>
        <w:t xml:space="preserve"> efficiency (</w:t>
      </w:r>
      <w:r>
        <w:rPr>
          <w:rFonts w:cs="Arial"/>
          <w:i/>
          <w:iCs/>
          <w:sz w:val="20"/>
          <w:szCs w:val="20"/>
          <w:lang w:val="en-US"/>
        </w:rPr>
        <w:t>R</w:t>
      </w:r>
      <w:r w:rsidRPr="00001564">
        <w:rPr>
          <w:rFonts w:cs="Arial"/>
          <w:i/>
          <w:iCs/>
          <w:sz w:val="20"/>
          <w:szCs w:val="20"/>
          <w:lang w:val="en-US"/>
        </w:rPr>
        <w:t>E %</w:t>
      </w:r>
      <w:r w:rsidRPr="00001564">
        <w:rPr>
          <w:rFonts w:cs="Arial"/>
          <w:sz w:val="20"/>
          <w:szCs w:val="20"/>
          <w:lang w:val="en-US"/>
        </w:rPr>
        <w:t>) of dyes was determined from absorbance measurements, according to the concentration absorbance standard curves at the respe</w:t>
      </w:r>
      <w:r>
        <w:rPr>
          <w:rFonts w:cs="Arial"/>
          <w:sz w:val="20"/>
          <w:szCs w:val="20"/>
          <w:lang w:val="en-US"/>
        </w:rPr>
        <w:t>c</w:t>
      </w:r>
      <w:r w:rsidRPr="00001564">
        <w:rPr>
          <w:rFonts w:cs="Arial"/>
          <w:sz w:val="20"/>
          <w:szCs w:val="20"/>
          <w:lang w:val="en-US"/>
        </w:rPr>
        <w:t xml:space="preserve">tive maximum adsorption wavelength of the individual dye solutions. </w:t>
      </w:r>
    </w:p>
    <w:p w:rsidR="00BB76C1" w:rsidRPr="00001564" w:rsidRDefault="00BB76C1" w:rsidP="00001564">
      <w:pPr>
        <w:autoSpaceDE w:val="0"/>
        <w:autoSpaceDN w:val="0"/>
        <w:adjustRightInd w:val="0"/>
        <w:spacing w:after="0" w:line="240" w:lineRule="auto"/>
        <w:jc w:val="both"/>
        <w:rPr>
          <w:rFonts w:cs="Arial"/>
          <w:sz w:val="20"/>
          <w:szCs w:val="20"/>
          <w:lang w:val="en-US"/>
        </w:rPr>
      </w:pPr>
      <w:r w:rsidRPr="00001564">
        <w:rPr>
          <w:rFonts w:cs="Arial"/>
          <w:sz w:val="20"/>
          <w:szCs w:val="20"/>
          <w:lang w:val="en-US"/>
        </w:rPr>
        <w:t xml:space="preserve">Afterwards, </w:t>
      </w:r>
      <w:r>
        <w:rPr>
          <w:rFonts w:cs="Arial"/>
          <w:i/>
          <w:iCs/>
          <w:sz w:val="20"/>
          <w:szCs w:val="20"/>
          <w:lang w:val="en-US"/>
        </w:rPr>
        <w:t>R</w:t>
      </w:r>
      <w:r w:rsidRPr="00001564">
        <w:rPr>
          <w:rFonts w:cs="Arial"/>
          <w:i/>
          <w:iCs/>
          <w:sz w:val="20"/>
          <w:szCs w:val="20"/>
          <w:lang w:val="en-US"/>
        </w:rPr>
        <w:t xml:space="preserve">E % </w:t>
      </w:r>
      <w:r w:rsidRPr="00001564">
        <w:rPr>
          <w:rFonts w:cs="Arial"/>
          <w:sz w:val="20"/>
          <w:szCs w:val="20"/>
          <w:lang w:val="en-US"/>
        </w:rPr>
        <w:t>was calculated from Eq.1:</w:t>
      </w:r>
    </w:p>
    <w:p w:rsidR="00BB76C1" w:rsidRPr="00001564" w:rsidRDefault="00BB76C1" w:rsidP="00001564">
      <w:pPr>
        <w:autoSpaceDE w:val="0"/>
        <w:autoSpaceDN w:val="0"/>
        <w:adjustRightInd w:val="0"/>
        <w:spacing w:after="0" w:line="240" w:lineRule="auto"/>
        <w:jc w:val="center"/>
        <w:rPr>
          <w:rFonts w:cs="Arial"/>
          <w:sz w:val="20"/>
          <w:szCs w:val="20"/>
          <w:lang w:val="en-US"/>
        </w:rPr>
      </w:pPr>
      <w:r>
        <w:rPr>
          <w:rFonts w:cs="Arial"/>
          <w:sz w:val="20"/>
          <w:szCs w:val="20"/>
          <w:lang w:val="en-US"/>
        </w:rPr>
        <w:t>R</w:t>
      </w:r>
      <w:r w:rsidRPr="00001564">
        <w:rPr>
          <w:rFonts w:cs="Arial"/>
          <w:sz w:val="20"/>
          <w:szCs w:val="20"/>
          <w:lang w:val="en-US"/>
        </w:rPr>
        <w:t>E (%) = (1-A/A</w:t>
      </w:r>
      <w:r w:rsidRPr="00001564">
        <w:rPr>
          <w:rFonts w:cs="Arial"/>
          <w:sz w:val="20"/>
          <w:szCs w:val="20"/>
          <w:vertAlign w:val="subscript"/>
          <w:lang w:val="en-US"/>
        </w:rPr>
        <w:t>0</w:t>
      </w:r>
      <w:r w:rsidRPr="00001564">
        <w:rPr>
          <w:rFonts w:cs="Arial"/>
          <w:sz w:val="20"/>
          <w:szCs w:val="20"/>
          <w:lang w:val="en-US"/>
        </w:rPr>
        <w:t>) x 100</w:t>
      </w:r>
      <w:r w:rsidRPr="00001564">
        <w:rPr>
          <w:rFonts w:cs="Arial"/>
          <w:sz w:val="20"/>
          <w:szCs w:val="20"/>
          <w:lang w:val="en-US"/>
        </w:rPr>
        <w:tab/>
      </w:r>
      <w:r w:rsidRPr="00001564">
        <w:rPr>
          <w:rFonts w:cs="Arial"/>
          <w:sz w:val="20"/>
          <w:szCs w:val="20"/>
          <w:lang w:val="en-US"/>
        </w:rPr>
        <w:tab/>
        <w:t>(Eq. 1)</w:t>
      </w:r>
    </w:p>
    <w:p w:rsidR="00BB76C1" w:rsidRPr="00001564" w:rsidRDefault="00BB76C1" w:rsidP="00001564">
      <w:pPr>
        <w:autoSpaceDE w:val="0"/>
        <w:autoSpaceDN w:val="0"/>
        <w:adjustRightInd w:val="0"/>
        <w:spacing w:after="0" w:line="240" w:lineRule="auto"/>
        <w:jc w:val="both"/>
        <w:rPr>
          <w:rFonts w:cs="Arial"/>
          <w:sz w:val="20"/>
          <w:szCs w:val="20"/>
          <w:lang w:val="en-US"/>
        </w:rPr>
      </w:pPr>
      <w:r>
        <w:rPr>
          <w:rFonts w:cs="Arial"/>
          <w:sz w:val="20"/>
          <w:szCs w:val="20"/>
          <w:lang w:val="en-US"/>
        </w:rPr>
        <w:t>,</w:t>
      </w:r>
      <w:r w:rsidRPr="00001564">
        <w:rPr>
          <w:rFonts w:cs="Arial"/>
          <w:sz w:val="20"/>
          <w:szCs w:val="20"/>
          <w:lang w:val="en-US"/>
        </w:rPr>
        <w:t xml:space="preserve">where </w:t>
      </w:r>
      <w:r w:rsidRPr="00001564">
        <w:rPr>
          <w:rFonts w:cs="Arial"/>
          <w:i/>
          <w:iCs/>
          <w:sz w:val="20"/>
          <w:szCs w:val="20"/>
          <w:lang w:val="en-US"/>
        </w:rPr>
        <w:t xml:space="preserve">A </w:t>
      </w:r>
      <w:r w:rsidRPr="00001564">
        <w:rPr>
          <w:rFonts w:cs="Arial"/>
          <w:sz w:val="20"/>
          <w:szCs w:val="20"/>
          <w:lang w:val="en-US"/>
        </w:rPr>
        <w:t xml:space="preserve">and </w:t>
      </w:r>
      <w:r w:rsidRPr="00001564">
        <w:rPr>
          <w:rFonts w:cs="Arial"/>
          <w:i/>
          <w:iCs/>
          <w:sz w:val="20"/>
          <w:szCs w:val="20"/>
          <w:lang w:val="en-US"/>
        </w:rPr>
        <w:t>A</w:t>
      </w:r>
      <w:r w:rsidRPr="00001564">
        <w:rPr>
          <w:rFonts w:cs="Arial"/>
          <w:i/>
          <w:iCs/>
          <w:sz w:val="20"/>
          <w:szCs w:val="20"/>
          <w:vertAlign w:val="subscript"/>
          <w:lang w:val="en-US"/>
        </w:rPr>
        <w:t>0</w:t>
      </w:r>
      <w:r w:rsidRPr="00001564">
        <w:rPr>
          <w:rFonts w:cs="Arial"/>
          <w:i/>
          <w:iCs/>
          <w:sz w:val="20"/>
          <w:szCs w:val="20"/>
          <w:lang w:val="en-US"/>
        </w:rPr>
        <w:t xml:space="preserve"> </w:t>
      </w:r>
      <w:r w:rsidRPr="00001564">
        <w:rPr>
          <w:rFonts w:cs="Arial"/>
          <w:sz w:val="20"/>
          <w:szCs w:val="20"/>
          <w:lang w:val="en-US"/>
        </w:rPr>
        <w:t>denote the absorbance in the solution after and before precipitation, respectively.</w:t>
      </w:r>
    </w:p>
    <w:p w:rsidR="00BB76C1" w:rsidRPr="00001564" w:rsidRDefault="00BB76C1" w:rsidP="00001564">
      <w:pPr>
        <w:autoSpaceDE w:val="0"/>
        <w:autoSpaceDN w:val="0"/>
        <w:adjustRightInd w:val="0"/>
        <w:spacing w:before="120" w:after="60"/>
        <w:jc w:val="both"/>
        <w:rPr>
          <w:rFonts w:cs="Arial"/>
          <w:iCs/>
          <w:sz w:val="20"/>
          <w:szCs w:val="20"/>
          <w:lang w:val="en-US"/>
        </w:rPr>
      </w:pPr>
      <w:r w:rsidRPr="00001564">
        <w:rPr>
          <w:rFonts w:cs="Arial"/>
          <w:iCs/>
          <w:sz w:val="20"/>
          <w:szCs w:val="20"/>
          <w:lang w:val="en-US"/>
        </w:rPr>
        <w:t>Precipitation of Mordant Blue 9 using benzalkonium chloride and Fe</w:t>
      </w:r>
      <w:r w:rsidRPr="00001564">
        <w:rPr>
          <w:rFonts w:cs="Arial"/>
          <w:iCs/>
          <w:sz w:val="20"/>
          <w:szCs w:val="20"/>
          <w:vertAlign w:val="subscript"/>
          <w:lang w:val="en-US"/>
        </w:rPr>
        <w:t>2</w:t>
      </w:r>
      <w:r w:rsidRPr="00001564">
        <w:rPr>
          <w:rFonts w:cs="Arial"/>
          <w:iCs/>
          <w:sz w:val="20"/>
          <w:szCs w:val="20"/>
          <w:lang w:val="en-US"/>
        </w:rPr>
        <w:t>(SO</w:t>
      </w:r>
      <w:r w:rsidRPr="00001564">
        <w:rPr>
          <w:rFonts w:cs="Arial"/>
          <w:iCs/>
          <w:sz w:val="20"/>
          <w:szCs w:val="20"/>
          <w:vertAlign w:val="subscript"/>
          <w:lang w:val="en-US"/>
        </w:rPr>
        <w:t>4</w:t>
      </w:r>
      <w:r w:rsidRPr="00001564">
        <w:rPr>
          <w:rFonts w:cs="Arial"/>
          <w:iCs/>
          <w:sz w:val="20"/>
          <w:szCs w:val="20"/>
          <w:lang w:val="en-US"/>
        </w:rPr>
        <w:t>)</w:t>
      </w:r>
      <w:r w:rsidRPr="00001564">
        <w:rPr>
          <w:rFonts w:cs="Arial"/>
          <w:iCs/>
          <w:sz w:val="20"/>
          <w:szCs w:val="20"/>
          <w:vertAlign w:val="subscript"/>
          <w:lang w:val="en-US"/>
        </w:rPr>
        <w:t>3</w:t>
      </w:r>
    </w:p>
    <w:p w:rsidR="00BB76C1" w:rsidRPr="00083BDF" w:rsidRDefault="00BB76C1" w:rsidP="003E14BC">
      <w:pPr>
        <w:autoSpaceDE w:val="0"/>
        <w:autoSpaceDN w:val="0"/>
        <w:adjustRightInd w:val="0"/>
        <w:spacing w:after="0" w:line="240" w:lineRule="auto"/>
        <w:jc w:val="both"/>
        <w:rPr>
          <w:rFonts w:cs="Arial"/>
          <w:sz w:val="20"/>
          <w:szCs w:val="20"/>
          <w:lang w:val="en-US"/>
        </w:rPr>
      </w:pPr>
      <w:r w:rsidRPr="00083BDF">
        <w:rPr>
          <w:rFonts w:cs="Arial"/>
          <w:sz w:val="20"/>
          <w:szCs w:val="20"/>
          <w:lang w:val="en-US"/>
        </w:rPr>
        <w:t xml:space="preserve">An aliquot of </w:t>
      </w:r>
      <w:smartTag w:uri="urn:schemas-microsoft-com:office:smarttags" w:element="metricconverter">
        <w:smartTagPr>
          <w:attr w:name="ProductID" w:val="5 mM"/>
        </w:smartTagPr>
        <w:r w:rsidRPr="00083BDF">
          <w:rPr>
            <w:rFonts w:cs="Arial"/>
            <w:sz w:val="20"/>
            <w:szCs w:val="20"/>
            <w:lang w:val="en-US"/>
          </w:rPr>
          <w:t>100 mM</w:t>
        </w:r>
      </w:smartTag>
      <w:r w:rsidRPr="00083BDF">
        <w:rPr>
          <w:rFonts w:cs="Arial"/>
          <w:sz w:val="20"/>
          <w:szCs w:val="20"/>
          <w:lang w:val="en-US"/>
        </w:rPr>
        <w:t xml:space="preserve"> aqueous solution of benzalkonium chloride was added into a beaker (400 mL) with the same 100 mL of 1×10</w:t>
      </w:r>
      <w:r w:rsidRPr="00083BDF">
        <w:rPr>
          <w:rFonts w:cs="Arial"/>
          <w:sz w:val="20"/>
          <w:szCs w:val="20"/>
          <w:vertAlign w:val="superscript"/>
          <w:lang w:val="en-US"/>
        </w:rPr>
        <w:t>−2</w:t>
      </w:r>
      <w:r w:rsidRPr="00083BDF">
        <w:rPr>
          <w:rFonts w:cs="Arial"/>
          <w:sz w:val="20"/>
          <w:szCs w:val="20"/>
          <w:lang w:val="en-US"/>
        </w:rPr>
        <w:t xml:space="preserve"> M dye solution, the aliquot of aqueous 40 wt. % Fe</w:t>
      </w:r>
      <w:r w:rsidRPr="00083BDF">
        <w:rPr>
          <w:rFonts w:cs="Arial"/>
          <w:sz w:val="20"/>
          <w:szCs w:val="20"/>
          <w:vertAlign w:val="subscript"/>
          <w:lang w:val="en-US"/>
        </w:rPr>
        <w:t>2</w:t>
      </w:r>
      <w:r w:rsidRPr="00083BDF">
        <w:rPr>
          <w:rFonts w:cs="Arial"/>
          <w:sz w:val="20"/>
          <w:szCs w:val="20"/>
          <w:lang w:val="en-US"/>
        </w:rPr>
        <w:t>(SO</w:t>
      </w:r>
      <w:r w:rsidRPr="00083BDF">
        <w:rPr>
          <w:rFonts w:cs="Arial"/>
          <w:sz w:val="20"/>
          <w:szCs w:val="20"/>
          <w:vertAlign w:val="subscript"/>
          <w:lang w:val="en-US"/>
        </w:rPr>
        <w:t>4</w:t>
      </w:r>
      <w:r w:rsidRPr="00083BDF">
        <w:rPr>
          <w:rFonts w:cs="Arial"/>
          <w:sz w:val="20"/>
          <w:szCs w:val="20"/>
          <w:lang w:val="en-US"/>
        </w:rPr>
        <w:t>)</w:t>
      </w:r>
      <w:r w:rsidRPr="00083BDF">
        <w:rPr>
          <w:rFonts w:cs="Arial"/>
          <w:sz w:val="20"/>
          <w:szCs w:val="20"/>
          <w:vertAlign w:val="subscript"/>
          <w:lang w:val="en-US"/>
        </w:rPr>
        <w:t>3</w:t>
      </w:r>
      <w:r w:rsidRPr="00083BDF">
        <w:rPr>
          <w:rFonts w:cs="Arial"/>
          <w:sz w:val="20"/>
          <w:szCs w:val="20"/>
          <w:lang w:val="en-US"/>
        </w:rPr>
        <w:t xml:space="preserve"> was added dropwise and the volume of solution in each beaker was replenished up to 200 mL. After 15 minutes of stirring at the speed of 400 rpm and the temperature of 20±</w:t>
      </w:r>
      <w:smartTag w:uri="urn:schemas-microsoft-com:office:smarttags" w:element="metricconverter">
        <w:smartTagPr>
          <w:attr w:name="ProductID" w:val="5 mM"/>
        </w:smartTagPr>
        <w:r w:rsidRPr="00083BDF">
          <w:rPr>
            <w:rFonts w:cs="Arial"/>
            <w:sz w:val="20"/>
            <w:szCs w:val="20"/>
            <w:lang w:val="en-US"/>
          </w:rPr>
          <w:t>1°C</w:t>
        </w:r>
      </w:smartTag>
      <w:r w:rsidRPr="00083BDF">
        <w:rPr>
          <w:rFonts w:cs="Arial"/>
          <w:sz w:val="20"/>
          <w:szCs w:val="20"/>
          <w:lang w:val="en-US"/>
        </w:rPr>
        <w:t>, filtration by suction and measuring dye concentration in filtrates, the maximum decolorization efficiency (</w:t>
      </w:r>
      <w:r w:rsidRPr="00083BDF">
        <w:rPr>
          <w:rFonts w:cs="Arial"/>
          <w:i/>
          <w:iCs/>
          <w:sz w:val="20"/>
          <w:szCs w:val="20"/>
          <w:lang w:val="en-US"/>
        </w:rPr>
        <w:t>DE %</w:t>
      </w:r>
      <w:r w:rsidRPr="00083BDF">
        <w:rPr>
          <w:rFonts w:cs="Arial"/>
          <w:sz w:val="20"/>
          <w:szCs w:val="20"/>
          <w:lang w:val="en-US"/>
        </w:rPr>
        <w:t>) of dyes was determined from absorbance measurements (see above).</w:t>
      </w:r>
    </w:p>
    <w:p w:rsidR="00BB76C1" w:rsidRPr="00083BDF" w:rsidRDefault="00BB76C1" w:rsidP="003E14BC">
      <w:pPr>
        <w:autoSpaceDE w:val="0"/>
        <w:autoSpaceDN w:val="0"/>
        <w:adjustRightInd w:val="0"/>
        <w:spacing w:after="0" w:line="240" w:lineRule="auto"/>
        <w:rPr>
          <w:b/>
          <w:sz w:val="20"/>
          <w:szCs w:val="20"/>
          <w:lang w:val="en-US"/>
        </w:rPr>
      </w:pPr>
    </w:p>
    <w:p w:rsidR="00BB76C1" w:rsidRDefault="00BB76C1" w:rsidP="003E14BC">
      <w:pPr>
        <w:autoSpaceDE w:val="0"/>
        <w:autoSpaceDN w:val="0"/>
        <w:adjustRightInd w:val="0"/>
        <w:spacing w:after="0" w:line="240" w:lineRule="auto"/>
        <w:rPr>
          <w:b/>
          <w:sz w:val="24"/>
          <w:szCs w:val="24"/>
          <w:lang w:val="en-US"/>
        </w:rPr>
      </w:pPr>
      <w:r w:rsidRPr="003E14BC">
        <w:rPr>
          <w:b/>
          <w:sz w:val="24"/>
          <w:szCs w:val="24"/>
          <w:lang w:val="en-US"/>
        </w:rPr>
        <w:t>Conclusion</w:t>
      </w:r>
    </w:p>
    <w:p w:rsidR="00BB76C1" w:rsidRPr="003E14BC" w:rsidRDefault="00BB76C1" w:rsidP="003E14BC">
      <w:pPr>
        <w:autoSpaceDE w:val="0"/>
        <w:autoSpaceDN w:val="0"/>
        <w:adjustRightInd w:val="0"/>
        <w:spacing w:after="0" w:line="240" w:lineRule="auto"/>
        <w:rPr>
          <w:b/>
          <w:sz w:val="20"/>
          <w:szCs w:val="20"/>
          <w:lang w:val="en-US"/>
        </w:rPr>
      </w:pPr>
    </w:p>
    <w:p w:rsidR="00BB76C1" w:rsidRPr="003E14BC" w:rsidRDefault="00BB76C1" w:rsidP="003E14BC">
      <w:pPr>
        <w:autoSpaceDE w:val="0"/>
        <w:autoSpaceDN w:val="0"/>
        <w:adjustRightInd w:val="0"/>
        <w:spacing w:after="0" w:line="240" w:lineRule="auto"/>
        <w:jc w:val="both"/>
        <w:rPr>
          <w:sz w:val="20"/>
          <w:szCs w:val="20"/>
          <w:lang w:val="en-US"/>
        </w:rPr>
      </w:pPr>
      <w:r w:rsidRPr="003E14BC">
        <w:rPr>
          <w:sz w:val="20"/>
          <w:szCs w:val="20"/>
          <w:lang w:val="en-US"/>
        </w:rPr>
        <w:t>The effect of addition of d</w:t>
      </w:r>
      <w:r>
        <w:rPr>
          <w:sz w:val="20"/>
          <w:szCs w:val="20"/>
          <w:lang w:val="en-US"/>
        </w:rPr>
        <w:t xml:space="preserve">ifferent ionic liquids to the </w:t>
      </w:r>
      <w:smartTag w:uri="urn:schemas-microsoft-com:office:smarttags" w:element="metricconverter">
        <w:smartTagPr>
          <w:attr w:name="ProductID" w:val="5 mM"/>
        </w:smartTagPr>
        <w:r w:rsidRPr="003E14BC">
          <w:rPr>
            <w:sz w:val="20"/>
            <w:szCs w:val="20"/>
            <w:lang w:val="en-US"/>
          </w:rPr>
          <w:t>5 mM</w:t>
        </w:r>
      </w:smartTag>
      <w:r w:rsidRPr="003E14BC">
        <w:rPr>
          <w:sz w:val="20"/>
          <w:szCs w:val="20"/>
          <w:lang w:val="en-US"/>
        </w:rPr>
        <w:t xml:space="preserve"> aqueous dyes solutions was tested as the method for dye removal from the aqueous effluents. The formation of sparingly soluble ion pairs R</w:t>
      </w:r>
      <w:r w:rsidRPr="003E14BC">
        <w:rPr>
          <w:sz w:val="20"/>
          <w:szCs w:val="20"/>
          <w:vertAlign w:val="subscript"/>
          <w:lang w:val="en-US"/>
        </w:rPr>
        <w:t>4</w:t>
      </w:r>
      <w:r w:rsidRPr="003E14BC">
        <w:rPr>
          <w:sz w:val="20"/>
          <w:szCs w:val="20"/>
          <w:lang w:val="en-US"/>
        </w:rPr>
        <w:t>G</w:t>
      </w:r>
      <w:r w:rsidRPr="003E14BC">
        <w:rPr>
          <w:sz w:val="20"/>
          <w:szCs w:val="20"/>
          <w:vertAlign w:val="superscript"/>
          <w:lang w:val="en-US"/>
        </w:rPr>
        <w:t>+</w:t>
      </w:r>
      <w:r w:rsidRPr="003E14BC">
        <w:rPr>
          <w:sz w:val="20"/>
          <w:szCs w:val="20"/>
          <w:lang w:val="en-US"/>
        </w:rPr>
        <w:t>dye-SO</w:t>
      </w:r>
      <w:r w:rsidRPr="003E14BC">
        <w:rPr>
          <w:sz w:val="20"/>
          <w:szCs w:val="20"/>
          <w:vertAlign w:val="subscript"/>
          <w:lang w:val="en-US"/>
        </w:rPr>
        <w:t>3</w:t>
      </w:r>
      <w:r w:rsidRPr="003E14BC">
        <w:rPr>
          <w:sz w:val="20"/>
          <w:szCs w:val="20"/>
          <w:vertAlign w:val="superscript"/>
          <w:lang w:val="en-US"/>
        </w:rPr>
        <w:t>−</w:t>
      </w:r>
      <w:r w:rsidRPr="003E14BC">
        <w:rPr>
          <w:sz w:val="20"/>
          <w:szCs w:val="20"/>
          <w:lang w:val="en-US"/>
        </w:rPr>
        <w:t xml:space="preserve"> (G=nitrogen or phosphorus) caused by ion exchange between dye and added ionic liquid enables simple removal of dyes from the aqueous solution.</w:t>
      </w:r>
      <w:r w:rsidRPr="003E14BC">
        <w:rPr>
          <w:b/>
          <w:sz w:val="20"/>
          <w:szCs w:val="20"/>
          <w:lang w:val="en-US"/>
        </w:rPr>
        <w:t xml:space="preserve"> </w:t>
      </w:r>
      <w:r w:rsidRPr="003E14BC">
        <w:rPr>
          <w:sz w:val="20"/>
          <w:szCs w:val="20"/>
          <w:lang w:val="en-US"/>
        </w:rPr>
        <w:t>It was demonstrated that tested ionic liquid should be added in equimolar quantity to the sulfo groups in the dye structure for quantitative formation of ion pairs. Cheap and commercially available benzalkonium chloride was proved as the most effective precipitation agent for the tested dyes. It was tested that addition of at least 2 equivalents of Fe</w:t>
      </w:r>
      <w:r w:rsidRPr="003E14BC">
        <w:rPr>
          <w:sz w:val="20"/>
          <w:szCs w:val="20"/>
          <w:vertAlign w:val="subscript"/>
          <w:lang w:val="en-US"/>
        </w:rPr>
        <w:t>2</w:t>
      </w:r>
      <w:r w:rsidRPr="003E14BC">
        <w:rPr>
          <w:sz w:val="20"/>
          <w:szCs w:val="20"/>
          <w:lang w:val="en-US"/>
        </w:rPr>
        <w:t>(SO</w:t>
      </w:r>
      <w:r w:rsidRPr="003E14BC">
        <w:rPr>
          <w:sz w:val="20"/>
          <w:szCs w:val="20"/>
          <w:vertAlign w:val="subscript"/>
          <w:lang w:val="en-US"/>
        </w:rPr>
        <w:t>4</w:t>
      </w:r>
      <w:r w:rsidRPr="003E14BC">
        <w:rPr>
          <w:sz w:val="20"/>
          <w:szCs w:val="20"/>
          <w:lang w:val="en-US"/>
        </w:rPr>
        <w:t>)</w:t>
      </w:r>
      <w:r w:rsidRPr="003E14BC">
        <w:rPr>
          <w:sz w:val="20"/>
          <w:szCs w:val="20"/>
          <w:vertAlign w:val="subscript"/>
          <w:lang w:val="en-US"/>
        </w:rPr>
        <w:t xml:space="preserve">3 </w:t>
      </w:r>
      <w:r w:rsidRPr="003E14BC">
        <w:rPr>
          <w:sz w:val="20"/>
          <w:szCs w:val="20"/>
          <w:lang w:val="en-US"/>
        </w:rPr>
        <w:t>to the aqueous dye solution treated with 2 equivalents of benzalkonium chloride (calculated in respect to the dye concentration) is crucial for the almost quantitative precipitation and simple removal of tested dyes from the aqueous solution.</w:t>
      </w:r>
    </w:p>
    <w:p w:rsidR="00BB76C1" w:rsidRPr="003E14BC" w:rsidRDefault="00BB76C1" w:rsidP="003E14BC">
      <w:pPr>
        <w:autoSpaceDE w:val="0"/>
        <w:autoSpaceDN w:val="0"/>
        <w:adjustRightInd w:val="0"/>
        <w:spacing w:after="0" w:line="240" w:lineRule="auto"/>
        <w:jc w:val="both"/>
        <w:rPr>
          <w:sz w:val="20"/>
          <w:szCs w:val="20"/>
          <w:lang w:val="en-US"/>
        </w:rPr>
      </w:pPr>
    </w:p>
    <w:p w:rsidR="00BB76C1" w:rsidRPr="00B661B4" w:rsidRDefault="00BB76C1" w:rsidP="00124AA5">
      <w:pPr>
        <w:autoSpaceDE w:val="0"/>
        <w:autoSpaceDN w:val="0"/>
        <w:adjustRightInd w:val="0"/>
        <w:spacing w:after="0" w:line="240" w:lineRule="auto"/>
        <w:rPr>
          <w:sz w:val="20"/>
          <w:szCs w:val="20"/>
          <w:lang w:val="en-US"/>
        </w:rPr>
      </w:pPr>
    </w:p>
    <w:p w:rsidR="00BB76C1" w:rsidRDefault="00BB76C1" w:rsidP="003E14BC">
      <w:pPr>
        <w:autoSpaceDE w:val="0"/>
        <w:autoSpaceDN w:val="0"/>
        <w:adjustRightInd w:val="0"/>
        <w:spacing w:after="0" w:line="240" w:lineRule="auto"/>
        <w:jc w:val="center"/>
        <w:rPr>
          <w:sz w:val="20"/>
          <w:szCs w:val="20"/>
          <w:lang w:val="en-US"/>
        </w:rPr>
      </w:pPr>
      <w:r w:rsidRPr="003E14BC">
        <w:rPr>
          <w:sz w:val="20"/>
          <w:szCs w:val="20"/>
        </w:rPr>
        <w:object w:dxaOrig="7218" w:dyaOrig="5394">
          <v:shape id="_x0000_i1027" type="#_x0000_t75" style="width:285pt;height:207.75pt" o:ole="">
            <v:imagedata r:id="rId8" o:title=""/>
          </v:shape>
          <o:OLEObject Type="Embed" ProgID="PowerPoint.Slide.8" ShapeID="_x0000_i1027" DrawAspect="Content" ObjectID="_1557744001" r:id="rId9"/>
        </w:object>
      </w:r>
    </w:p>
    <w:p w:rsidR="00BB76C1" w:rsidRDefault="00BB76C1" w:rsidP="00124AA5">
      <w:pPr>
        <w:autoSpaceDE w:val="0"/>
        <w:autoSpaceDN w:val="0"/>
        <w:adjustRightInd w:val="0"/>
        <w:spacing w:after="0" w:line="240" w:lineRule="auto"/>
        <w:rPr>
          <w:sz w:val="20"/>
          <w:szCs w:val="20"/>
          <w:lang w:val="en-US"/>
        </w:rPr>
      </w:pPr>
    </w:p>
    <w:p w:rsidR="00BB76C1" w:rsidRDefault="00BB76C1" w:rsidP="00124AA5">
      <w:pPr>
        <w:autoSpaceDE w:val="0"/>
        <w:autoSpaceDN w:val="0"/>
        <w:adjustRightInd w:val="0"/>
        <w:spacing w:after="0" w:line="240" w:lineRule="auto"/>
        <w:rPr>
          <w:sz w:val="20"/>
          <w:szCs w:val="20"/>
          <w:lang w:val="en-US"/>
        </w:rPr>
      </w:pPr>
      <w:r>
        <w:rPr>
          <w:sz w:val="20"/>
          <w:szCs w:val="20"/>
          <w:lang w:val="en-US"/>
        </w:rPr>
        <w:t>Figure 2. Comparison of removal efficiencies of Mordant Blue 9 dye from aqueous solution using different types of ionic liquids.</w:t>
      </w:r>
    </w:p>
    <w:p w:rsidR="00BB76C1" w:rsidRDefault="00BB76C1" w:rsidP="00124AA5">
      <w:pPr>
        <w:autoSpaceDE w:val="0"/>
        <w:autoSpaceDN w:val="0"/>
        <w:adjustRightInd w:val="0"/>
        <w:spacing w:after="0" w:line="240" w:lineRule="auto"/>
        <w:rPr>
          <w:sz w:val="20"/>
          <w:szCs w:val="20"/>
          <w:lang w:val="en-US"/>
        </w:rPr>
      </w:pPr>
    </w:p>
    <w:p w:rsidR="00BB76C1" w:rsidRDefault="00BB76C1" w:rsidP="003E14BC">
      <w:pPr>
        <w:autoSpaceDE w:val="0"/>
        <w:autoSpaceDN w:val="0"/>
        <w:adjustRightInd w:val="0"/>
        <w:spacing w:after="0" w:line="240" w:lineRule="auto"/>
        <w:jc w:val="center"/>
        <w:rPr>
          <w:sz w:val="20"/>
          <w:szCs w:val="20"/>
          <w:lang w:val="en-US"/>
        </w:rPr>
      </w:pPr>
      <w:r w:rsidRPr="003E14BC">
        <w:rPr>
          <w:sz w:val="20"/>
          <w:szCs w:val="20"/>
        </w:rPr>
        <w:object w:dxaOrig="7218" w:dyaOrig="5394">
          <v:shape id="_x0000_i1028" type="#_x0000_t75" style="width:285pt;height:207.75pt" o:ole="">
            <v:imagedata r:id="rId10" o:title=""/>
          </v:shape>
          <o:OLEObject Type="Embed" ProgID="PowerPoint.Slide.8" ShapeID="_x0000_i1028" DrawAspect="Content" ObjectID="_1557744002" r:id="rId11"/>
        </w:object>
      </w:r>
    </w:p>
    <w:p w:rsidR="00BB76C1" w:rsidRDefault="00BB76C1" w:rsidP="00124AA5">
      <w:pPr>
        <w:autoSpaceDE w:val="0"/>
        <w:autoSpaceDN w:val="0"/>
        <w:adjustRightInd w:val="0"/>
        <w:spacing w:after="0" w:line="240" w:lineRule="auto"/>
        <w:rPr>
          <w:b/>
          <w:bCs/>
          <w:sz w:val="20"/>
          <w:szCs w:val="20"/>
        </w:rPr>
      </w:pPr>
      <w:r>
        <w:rPr>
          <w:sz w:val="20"/>
          <w:szCs w:val="20"/>
          <w:lang w:val="en-US"/>
        </w:rPr>
        <w:t>Figure 3</w:t>
      </w:r>
      <w:r w:rsidRPr="00083BDF">
        <w:rPr>
          <w:sz w:val="20"/>
          <w:szCs w:val="20"/>
          <w:lang w:val="en-US"/>
        </w:rPr>
        <w:t xml:space="preserve">. </w:t>
      </w:r>
      <w:r w:rsidRPr="00083BDF">
        <w:rPr>
          <w:bCs/>
          <w:sz w:val="20"/>
          <w:szCs w:val="20"/>
          <w:lang w:val="en-US"/>
        </w:rPr>
        <w:t>Removal efficiencies of Reactive Red</w:t>
      </w:r>
      <w:bookmarkStart w:id="0" w:name="_GoBack"/>
      <w:bookmarkEnd w:id="0"/>
      <w:r w:rsidRPr="00083BDF">
        <w:rPr>
          <w:bCs/>
          <w:sz w:val="20"/>
          <w:szCs w:val="20"/>
          <w:lang w:val="en-US"/>
        </w:rPr>
        <w:t xml:space="preserve"> 45:1 dye from the aqueous solution affected using different ionic liquids.</w:t>
      </w:r>
      <w:r>
        <w:rPr>
          <w:b/>
          <w:bCs/>
          <w:sz w:val="20"/>
          <w:szCs w:val="20"/>
        </w:rPr>
        <w:t xml:space="preserve"> </w:t>
      </w:r>
    </w:p>
    <w:p w:rsidR="00BB76C1" w:rsidRDefault="00BB76C1" w:rsidP="00124AA5">
      <w:pPr>
        <w:autoSpaceDE w:val="0"/>
        <w:autoSpaceDN w:val="0"/>
        <w:adjustRightInd w:val="0"/>
        <w:spacing w:after="0" w:line="240" w:lineRule="auto"/>
        <w:rPr>
          <w:bCs/>
          <w:sz w:val="20"/>
          <w:szCs w:val="20"/>
        </w:rPr>
      </w:pPr>
    </w:p>
    <w:p w:rsidR="00BB76C1" w:rsidRDefault="00BB76C1" w:rsidP="00C64261">
      <w:pPr>
        <w:autoSpaceDE w:val="0"/>
        <w:autoSpaceDN w:val="0"/>
        <w:adjustRightInd w:val="0"/>
        <w:spacing w:after="0" w:line="240" w:lineRule="auto"/>
        <w:jc w:val="center"/>
        <w:rPr>
          <w:bCs/>
          <w:sz w:val="20"/>
          <w:szCs w:val="20"/>
        </w:rPr>
      </w:pPr>
      <w:r w:rsidRPr="00C64261">
        <w:rPr>
          <w:bCs/>
          <w:sz w:val="20"/>
          <w:szCs w:val="20"/>
        </w:rPr>
        <w:object w:dxaOrig="7218" w:dyaOrig="5394">
          <v:shape id="_x0000_i1029" type="#_x0000_t75" style="width:288.75pt;height:3in" o:ole="">
            <v:imagedata r:id="rId12" o:title=""/>
          </v:shape>
          <o:OLEObject Type="Embed" ProgID="PowerPoint.Slide.8" ShapeID="_x0000_i1029" DrawAspect="Content" ObjectID="_1557744003" r:id="rId13"/>
        </w:object>
      </w:r>
    </w:p>
    <w:p w:rsidR="00BB76C1" w:rsidRPr="003E14BC" w:rsidRDefault="00BB76C1" w:rsidP="00124AA5">
      <w:pPr>
        <w:autoSpaceDE w:val="0"/>
        <w:autoSpaceDN w:val="0"/>
        <w:adjustRightInd w:val="0"/>
        <w:spacing w:after="0" w:line="240" w:lineRule="auto"/>
        <w:rPr>
          <w:sz w:val="20"/>
          <w:szCs w:val="20"/>
          <w:lang w:val="en-US"/>
        </w:rPr>
      </w:pPr>
      <w:r w:rsidRPr="003E14BC">
        <w:rPr>
          <w:sz w:val="20"/>
          <w:szCs w:val="20"/>
          <w:lang w:val="en-US"/>
        </w:rPr>
        <w:t xml:space="preserve">Figure </w:t>
      </w:r>
      <w:r>
        <w:rPr>
          <w:sz w:val="20"/>
          <w:szCs w:val="20"/>
          <w:lang w:val="en-US"/>
        </w:rPr>
        <w:t>4</w:t>
      </w:r>
      <w:r w:rsidRPr="003E14BC">
        <w:rPr>
          <w:sz w:val="20"/>
          <w:szCs w:val="20"/>
          <w:lang w:val="en-US"/>
        </w:rPr>
        <w:t>. Removal efficiency of M</w:t>
      </w:r>
      <w:r>
        <w:rPr>
          <w:sz w:val="20"/>
          <w:szCs w:val="20"/>
          <w:lang w:val="en-US"/>
        </w:rPr>
        <w:t xml:space="preserve">ordant Blue </w:t>
      </w:r>
      <w:r w:rsidRPr="003E14BC">
        <w:rPr>
          <w:sz w:val="20"/>
          <w:szCs w:val="20"/>
          <w:lang w:val="en-US"/>
        </w:rPr>
        <w:t>9 dye from aqueous solution using benzalkonium chloride and Fe</w:t>
      </w:r>
      <w:r w:rsidRPr="003E14BC">
        <w:rPr>
          <w:sz w:val="20"/>
          <w:szCs w:val="20"/>
          <w:vertAlign w:val="subscript"/>
          <w:lang w:val="en-US"/>
        </w:rPr>
        <w:t>2</w:t>
      </w:r>
      <w:r w:rsidRPr="003E14BC">
        <w:rPr>
          <w:sz w:val="20"/>
          <w:szCs w:val="20"/>
          <w:lang w:val="en-US"/>
        </w:rPr>
        <w:t>(SO</w:t>
      </w:r>
      <w:r w:rsidRPr="003E14BC">
        <w:rPr>
          <w:sz w:val="20"/>
          <w:szCs w:val="20"/>
          <w:vertAlign w:val="subscript"/>
          <w:lang w:val="en-US"/>
        </w:rPr>
        <w:t>4</w:t>
      </w:r>
      <w:r w:rsidRPr="003E14BC">
        <w:rPr>
          <w:sz w:val="20"/>
          <w:szCs w:val="20"/>
          <w:lang w:val="en-US"/>
        </w:rPr>
        <w:t>)</w:t>
      </w:r>
      <w:r w:rsidRPr="003E14BC">
        <w:rPr>
          <w:sz w:val="20"/>
          <w:szCs w:val="20"/>
          <w:vertAlign w:val="subscript"/>
          <w:lang w:val="en-US"/>
        </w:rPr>
        <w:t>3</w:t>
      </w:r>
      <w:r w:rsidRPr="003E14BC">
        <w:rPr>
          <w:sz w:val="20"/>
          <w:szCs w:val="20"/>
          <w:lang w:val="en-US"/>
        </w:rPr>
        <w:t>, filtrate obtained after 60 minutes of stirring.</w:t>
      </w:r>
    </w:p>
    <w:p w:rsidR="00BB76C1" w:rsidRPr="003E14BC" w:rsidRDefault="00BB76C1" w:rsidP="00124AA5">
      <w:pPr>
        <w:autoSpaceDE w:val="0"/>
        <w:autoSpaceDN w:val="0"/>
        <w:adjustRightInd w:val="0"/>
        <w:spacing w:after="0" w:line="240" w:lineRule="auto"/>
        <w:rPr>
          <w:b/>
          <w:sz w:val="20"/>
          <w:szCs w:val="20"/>
          <w:lang w:val="en-US"/>
        </w:rPr>
      </w:pPr>
    </w:p>
    <w:p w:rsidR="00BB76C1" w:rsidRPr="00124AA5" w:rsidRDefault="00BB76C1" w:rsidP="00124AA5">
      <w:pPr>
        <w:autoSpaceDE w:val="0"/>
        <w:autoSpaceDN w:val="0"/>
        <w:adjustRightInd w:val="0"/>
        <w:spacing w:after="0" w:line="240" w:lineRule="auto"/>
        <w:rPr>
          <w:b/>
          <w:sz w:val="20"/>
          <w:szCs w:val="20"/>
          <w:lang w:val="pt-BR"/>
        </w:rPr>
      </w:pPr>
      <w:r w:rsidRPr="00124AA5">
        <w:rPr>
          <w:b/>
          <w:sz w:val="20"/>
          <w:szCs w:val="20"/>
          <w:lang w:val="pt-BR"/>
        </w:rPr>
        <w:t>References</w:t>
      </w:r>
    </w:p>
    <w:p w:rsidR="00BB76C1" w:rsidRPr="00124AA5" w:rsidRDefault="00BB76C1" w:rsidP="0076163B">
      <w:pPr>
        <w:pStyle w:val="ListParagraph"/>
        <w:numPr>
          <w:ilvl w:val="0"/>
          <w:numId w:val="2"/>
        </w:numPr>
        <w:spacing w:after="0" w:line="240" w:lineRule="auto"/>
        <w:jc w:val="both"/>
        <w:rPr>
          <w:rFonts w:cs="Tahoma"/>
          <w:sz w:val="20"/>
          <w:szCs w:val="20"/>
          <w:lang w:val="en-US"/>
        </w:rPr>
      </w:pPr>
      <w:r w:rsidRPr="00124AA5">
        <w:rPr>
          <w:rFonts w:cs="Tahoma"/>
          <w:sz w:val="20"/>
          <w:szCs w:val="20"/>
          <w:lang w:val="en-US"/>
        </w:rPr>
        <w:t xml:space="preserve">Integrated Pollution Prevention and Control, Reference Document on Best Available Techniques for the Manufacture of Organic Fine Chemicals, August 2006, available on: </w:t>
      </w:r>
      <w:r w:rsidRPr="0076163B">
        <w:rPr>
          <w:sz w:val="20"/>
          <w:szCs w:val="20"/>
        </w:rPr>
        <w:t>https://www.mpo.cz/ippc/bref/--143226/</w:t>
      </w:r>
      <w:r w:rsidRPr="0076163B">
        <w:rPr>
          <w:rFonts w:cs="Tahoma"/>
          <w:sz w:val="20"/>
          <w:szCs w:val="20"/>
          <w:lang w:val="en-US"/>
        </w:rPr>
        <w:t>.</w:t>
      </w:r>
    </w:p>
    <w:p w:rsidR="00BB76C1" w:rsidRPr="00124AA5" w:rsidRDefault="00BB76C1" w:rsidP="00DF1DE6">
      <w:pPr>
        <w:pStyle w:val="ListParagraph"/>
        <w:numPr>
          <w:ilvl w:val="0"/>
          <w:numId w:val="2"/>
        </w:numPr>
        <w:spacing w:after="0" w:line="240" w:lineRule="auto"/>
        <w:ind w:left="426" w:hanging="426"/>
        <w:jc w:val="both"/>
        <w:rPr>
          <w:rFonts w:cs="Tahoma"/>
          <w:sz w:val="20"/>
          <w:szCs w:val="20"/>
          <w:lang w:val="en-US"/>
        </w:rPr>
      </w:pPr>
      <w:r w:rsidRPr="00124AA5">
        <w:rPr>
          <w:sz w:val="20"/>
          <w:szCs w:val="20"/>
        </w:rPr>
        <w:t xml:space="preserve">Anthony, J. L.; Magnin, E. J.; Brennecke, J. F.: </w:t>
      </w:r>
      <w:r w:rsidRPr="00124AA5">
        <w:rPr>
          <w:iCs/>
          <w:sz w:val="20"/>
          <w:szCs w:val="20"/>
        </w:rPr>
        <w:t>Journal of Physical Chemistry B</w:t>
      </w:r>
      <w:r w:rsidRPr="00124AA5">
        <w:rPr>
          <w:i/>
          <w:iCs/>
          <w:sz w:val="20"/>
          <w:szCs w:val="20"/>
        </w:rPr>
        <w:t xml:space="preserve"> </w:t>
      </w:r>
      <w:r w:rsidRPr="00124AA5">
        <w:rPr>
          <w:sz w:val="20"/>
          <w:szCs w:val="20"/>
        </w:rPr>
        <w:t xml:space="preserve">(2001), </w:t>
      </w:r>
      <w:r w:rsidRPr="00124AA5">
        <w:rPr>
          <w:bCs/>
          <w:iCs/>
          <w:sz w:val="20"/>
          <w:szCs w:val="20"/>
        </w:rPr>
        <w:t xml:space="preserve">105 </w:t>
      </w:r>
      <w:r w:rsidRPr="00124AA5">
        <w:rPr>
          <w:sz w:val="20"/>
          <w:szCs w:val="20"/>
        </w:rPr>
        <w:t>10942.</w:t>
      </w:r>
    </w:p>
    <w:p w:rsidR="00BB76C1" w:rsidRPr="00124AA5" w:rsidRDefault="00BB76C1" w:rsidP="00124AA5">
      <w:pPr>
        <w:pStyle w:val="ListParagraph"/>
        <w:numPr>
          <w:ilvl w:val="0"/>
          <w:numId w:val="2"/>
        </w:numPr>
        <w:spacing w:after="0" w:line="240" w:lineRule="auto"/>
        <w:ind w:left="426" w:hanging="426"/>
        <w:jc w:val="both"/>
        <w:rPr>
          <w:rFonts w:cs="Tahoma"/>
          <w:sz w:val="20"/>
          <w:szCs w:val="20"/>
          <w:lang w:val="en-US"/>
        </w:rPr>
      </w:pPr>
      <w:r w:rsidRPr="00124AA5">
        <w:rPr>
          <w:rFonts w:cs="AdvPSA88A"/>
          <w:color w:val="000000"/>
          <w:sz w:val="20"/>
          <w:szCs w:val="20"/>
        </w:rPr>
        <w:t xml:space="preserve">Tehrani Bagha, A.R.; Bahrami, H.; Movassagh B., Arami, M.; Menger, F.M.: </w:t>
      </w:r>
      <w:r w:rsidRPr="00124AA5">
        <w:rPr>
          <w:rFonts w:cs="AdvP640E"/>
          <w:sz w:val="20"/>
          <w:szCs w:val="20"/>
        </w:rPr>
        <w:t>Dyes and Pigments (2007), 72, 331</w:t>
      </w:r>
      <w:r w:rsidRPr="00124AA5">
        <w:rPr>
          <w:rFonts w:cs="AdvPS44A44B"/>
          <w:sz w:val="20"/>
          <w:szCs w:val="20"/>
        </w:rPr>
        <w:t>-</w:t>
      </w:r>
      <w:r w:rsidRPr="00124AA5">
        <w:rPr>
          <w:rFonts w:cs="AdvP640E"/>
          <w:sz w:val="20"/>
          <w:szCs w:val="20"/>
        </w:rPr>
        <w:t>338.</w:t>
      </w:r>
    </w:p>
    <w:p w:rsidR="00BB76C1" w:rsidRPr="00124AA5" w:rsidRDefault="00BB76C1" w:rsidP="00124AA5">
      <w:pPr>
        <w:pStyle w:val="ListParagraph"/>
        <w:numPr>
          <w:ilvl w:val="0"/>
          <w:numId w:val="2"/>
        </w:numPr>
        <w:spacing w:after="0" w:line="240" w:lineRule="auto"/>
        <w:ind w:left="426" w:hanging="426"/>
        <w:jc w:val="both"/>
        <w:rPr>
          <w:rFonts w:cs="Tahoma"/>
          <w:sz w:val="20"/>
          <w:szCs w:val="20"/>
          <w:lang w:val="en-US"/>
        </w:rPr>
      </w:pPr>
      <w:r w:rsidRPr="00124AA5">
        <w:rPr>
          <w:sz w:val="20"/>
          <w:szCs w:val="20"/>
        </w:rPr>
        <w:t xml:space="preserve">Weidlich, T.; Martinková, J.: Separation Science and Technology (2012), 47(9), 1310. </w:t>
      </w:r>
    </w:p>
    <w:p w:rsidR="00BB76C1" w:rsidRPr="003E14BC" w:rsidRDefault="00BB76C1" w:rsidP="00124AA5">
      <w:pPr>
        <w:pStyle w:val="ListParagraph"/>
        <w:numPr>
          <w:ilvl w:val="0"/>
          <w:numId w:val="2"/>
        </w:numPr>
        <w:spacing w:after="0" w:line="240" w:lineRule="auto"/>
        <w:ind w:left="426" w:hanging="426"/>
        <w:jc w:val="both"/>
        <w:rPr>
          <w:rFonts w:cs="Tahoma"/>
          <w:sz w:val="20"/>
          <w:szCs w:val="20"/>
          <w:lang w:val="nl-NL"/>
        </w:rPr>
      </w:pPr>
      <w:hyperlink r:id="rId14" w:history="1">
        <w:r w:rsidRPr="00124AA5">
          <w:rPr>
            <w:sz w:val="20"/>
            <w:szCs w:val="20"/>
          </w:rPr>
          <w:t xml:space="preserve"> Šimek</w:t>
        </w:r>
      </w:hyperlink>
      <w:r w:rsidRPr="00124AA5">
        <w:rPr>
          <w:sz w:val="20"/>
          <w:szCs w:val="20"/>
        </w:rPr>
        <w:t xml:space="preserve">, M.; </w:t>
      </w:r>
      <w:hyperlink r:id="rId15" w:history="1">
        <w:r w:rsidRPr="00124AA5">
          <w:rPr>
            <w:sz w:val="20"/>
            <w:szCs w:val="20"/>
          </w:rPr>
          <w:t xml:space="preserve"> Mikulášek</w:t>
        </w:r>
      </w:hyperlink>
      <w:r w:rsidRPr="00124AA5">
        <w:rPr>
          <w:sz w:val="20"/>
          <w:szCs w:val="20"/>
        </w:rPr>
        <w:t xml:space="preserve">, </w:t>
      </w:r>
      <w:hyperlink r:id="rId16" w:history="1">
        <w:r w:rsidRPr="00124AA5">
          <w:rPr>
            <w:sz w:val="20"/>
            <w:szCs w:val="20"/>
          </w:rPr>
          <w:t>P.;  Kalenda</w:t>
        </w:r>
      </w:hyperlink>
      <w:r w:rsidRPr="00124AA5">
        <w:rPr>
          <w:sz w:val="20"/>
          <w:szCs w:val="20"/>
        </w:rPr>
        <w:t xml:space="preserve">, P.; </w:t>
      </w:r>
      <w:hyperlink r:id="rId17" w:history="1">
        <w:r w:rsidRPr="00124AA5">
          <w:rPr>
            <w:sz w:val="20"/>
            <w:szCs w:val="20"/>
          </w:rPr>
          <w:t>Weidlich</w:t>
        </w:r>
      </w:hyperlink>
      <w:r w:rsidRPr="00124AA5">
        <w:rPr>
          <w:sz w:val="20"/>
          <w:szCs w:val="20"/>
        </w:rPr>
        <w:t>, T.: Chemical Papers (2016) 70(4), 470.</w:t>
      </w:r>
    </w:p>
    <w:p w:rsidR="00BB76C1" w:rsidRPr="003E14BC" w:rsidRDefault="00BB76C1" w:rsidP="00124AA5">
      <w:pPr>
        <w:pStyle w:val="ListParagraph"/>
        <w:numPr>
          <w:ilvl w:val="0"/>
          <w:numId w:val="2"/>
        </w:numPr>
        <w:spacing w:after="0" w:line="240" w:lineRule="auto"/>
        <w:ind w:left="426" w:hanging="426"/>
        <w:jc w:val="both"/>
        <w:rPr>
          <w:rFonts w:cs="Tahoma"/>
          <w:sz w:val="20"/>
          <w:szCs w:val="20"/>
          <w:lang w:val="de-DE"/>
        </w:rPr>
      </w:pPr>
      <w:r>
        <w:rPr>
          <w:sz w:val="20"/>
          <w:szCs w:val="20"/>
        </w:rPr>
        <w:t>Weidlich, T.</w:t>
      </w:r>
      <w:r w:rsidRPr="00124AA5">
        <w:rPr>
          <w:sz w:val="20"/>
          <w:szCs w:val="20"/>
        </w:rPr>
        <w:t>; Martinková, J</w:t>
      </w:r>
      <w:r>
        <w:rPr>
          <w:sz w:val="20"/>
          <w:szCs w:val="20"/>
        </w:rPr>
        <w:t>.</w:t>
      </w:r>
      <w:r w:rsidRPr="00124AA5">
        <w:rPr>
          <w:sz w:val="20"/>
          <w:szCs w:val="20"/>
        </w:rPr>
        <w:t>: CZ303942 (B6) (2013).</w:t>
      </w:r>
    </w:p>
    <w:p w:rsidR="00BB76C1" w:rsidRPr="0076163B" w:rsidRDefault="00BB76C1" w:rsidP="00124AA5">
      <w:pPr>
        <w:pStyle w:val="ListParagraph"/>
        <w:numPr>
          <w:ilvl w:val="0"/>
          <w:numId w:val="2"/>
        </w:numPr>
        <w:spacing w:after="0" w:line="240" w:lineRule="auto"/>
        <w:ind w:left="426" w:hanging="426"/>
        <w:jc w:val="both"/>
        <w:rPr>
          <w:rFonts w:cs="Tahoma"/>
          <w:sz w:val="20"/>
          <w:szCs w:val="20"/>
          <w:lang w:val="en-US"/>
        </w:rPr>
      </w:pPr>
      <w:r w:rsidRPr="0076163B">
        <w:rPr>
          <w:sz w:val="20"/>
          <w:szCs w:val="20"/>
        </w:rPr>
        <w:t>Weidlich, T.; Martinková, J.: Fibres and Textiles (2016) 23, 219</w:t>
      </w:r>
    </w:p>
    <w:sectPr w:rsidR="00BB76C1" w:rsidRPr="0076163B" w:rsidSect="00242B11">
      <w:pgSz w:w="8391" w:h="11907" w:code="11"/>
      <w:pgMar w:top="567" w:right="567" w:bottom="567" w:left="56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dvPSA88A">
    <w:altName w:val="Times New Roman"/>
    <w:panose1 w:val="00000000000000000000"/>
    <w:charset w:val="00"/>
    <w:family w:val="roman"/>
    <w:notTrueType/>
    <w:pitch w:val="default"/>
    <w:sig w:usb0="00000003" w:usb1="00000000" w:usb2="00000000" w:usb3="00000000" w:csb0="00000001" w:csb1="00000000"/>
  </w:font>
  <w:font w:name="AdvPS44A44B">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AdvP640E">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090406"/>
    <w:multiLevelType w:val="hybridMultilevel"/>
    <w:tmpl w:val="4962A88E"/>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5D512F5D"/>
    <w:multiLevelType w:val="hybridMultilevel"/>
    <w:tmpl w:val="D292A7F6"/>
    <w:lvl w:ilvl="0" w:tplc="0405000F">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attachedTemplate r:id="rId1"/>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42D22"/>
    <w:rsid w:val="00001564"/>
    <w:rsid w:val="00012BF3"/>
    <w:rsid w:val="00082207"/>
    <w:rsid w:val="00083BDF"/>
    <w:rsid w:val="0010470F"/>
    <w:rsid w:val="00124AA5"/>
    <w:rsid w:val="00156A18"/>
    <w:rsid w:val="001F287A"/>
    <w:rsid w:val="00242B11"/>
    <w:rsid w:val="00264C74"/>
    <w:rsid w:val="002D14A3"/>
    <w:rsid w:val="002D5BE6"/>
    <w:rsid w:val="00326EBE"/>
    <w:rsid w:val="00351EA9"/>
    <w:rsid w:val="0038028D"/>
    <w:rsid w:val="003B0FFD"/>
    <w:rsid w:val="003E14BC"/>
    <w:rsid w:val="00426B52"/>
    <w:rsid w:val="00484BFE"/>
    <w:rsid w:val="004B4938"/>
    <w:rsid w:val="005E0108"/>
    <w:rsid w:val="005F77FE"/>
    <w:rsid w:val="006016A5"/>
    <w:rsid w:val="00603C54"/>
    <w:rsid w:val="00750727"/>
    <w:rsid w:val="0076163B"/>
    <w:rsid w:val="007D3312"/>
    <w:rsid w:val="007E5D96"/>
    <w:rsid w:val="00827B1F"/>
    <w:rsid w:val="009040DC"/>
    <w:rsid w:val="00924823"/>
    <w:rsid w:val="009721CF"/>
    <w:rsid w:val="009F561F"/>
    <w:rsid w:val="00A552EB"/>
    <w:rsid w:val="00AB62F3"/>
    <w:rsid w:val="00B42D22"/>
    <w:rsid w:val="00B661B4"/>
    <w:rsid w:val="00BB76C1"/>
    <w:rsid w:val="00BF4C37"/>
    <w:rsid w:val="00C64261"/>
    <w:rsid w:val="00C752A6"/>
    <w:rsid w:val="00C837BE"/>
    <w:rsid w:val="00C8569F"/>
    <w:rsid w:val="00D15EC5"/>
    <w:rsid w:val="00D162E1"/>
    <w:rsid w:val="00D57952"/>
    <w:rsid w:val="00D7311B"/>
    <w:rsid w:val="00D8174F"/>
    <w:rsid w:val="00D93C76"/>
    <w:rsid w:val="00DB0A20"/>
    <w:rsid w:val="00DF1DE6"/>
    <w:rsid w:val="00E01B75"/>
    <w:rsid w:val="00E34B93"/>
    <w:rsid w:val="00E435EB"/>
    <w:rsid w:val="00E46C18"/>
    <w:rsid w:val="00E75F46"/>
    <w:rsid w:val="00EC02F5"/>
    <w:rsid w:val="00F6444C"/>
    <w:rsid w:val="00F724B0"/>
    <w:rsid w:val="00F912F9"/>
    <w:rsid w:val="00FC40CB"/>
    <w:rsid w:val="00FC7FE7"/>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61F"/>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DF1DE6"/>
    <w:pPr>
      <w:ind w:left="720"/>
      <w:contextualSpacing/>
    </w:pPr>
  </w:style>
  <w:style w:type="character" w:styleId="Hyperlink">
    <w:name w:val="Hyperlink"/>
    <w:basedOn w:val="DefaultParagraphFont"/>
    <w:uiPriority w:val="99"/>
    <w:rsid w:val="00DF1DE6"/>
    <w:rPr>
      <w:rFonts w:cs="Times New Roman"/>
      <w:color w:val="0000FF"/>
      <w:u w:val="single"/>
    </w:rPr>
  </w:style>
  <w:style w:type="paragraph" w:styleId="BalloonText">
    <w:name w:val="Balloon Text"/>
    <w:basedOn w:val="Normal"/>
    <w:link w:val="BalloonTextChar"/>
    <w:uiPriority w:val="99"/>
    <w:semiHidden/>
    <w:rsid w:val="00FC40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C40CB"/>
    <w:rPr>
      <w:rFonts w:ascii="Tahoma" w:hAnsi="Tahoma" w:cs="Tahoma"/>
      <w:sz w:val="16"/>
      <w:szCs w:val="16"/>
      <w:lang w:eastAsia="en-US"/>
    </w:rPr>
  </w:style>
  <w:style w:type="character" w:styleId="FollowedHyperlink">
    <w:name w:val="FollowedHyperlink"/>
    <w:basedOn w:val="DefaultParagraphFont"/>
    <w:uiPriority w:val="99"/>
    <w:semiHidden/>
    <w:rsid w:val="0076163B"/>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oleObject4.bin"/><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image" Target="media/image5.emf"/><Relationship Id="rId17" Type="http://schemas.openxmlformats.org/officeDocument/2006/relationships/hyperlink" Target="http://www.chemicalpapers.com/?id=9&amp;author=Weidlich" TargetMode="External"/><Relationship Id="rId2" Type="http://schemas.openxmlformats.org/officeDocument/2006/relationships/styles" Target="styles.xml"/><Relationship Id="rId16" Type="http://schemas.openxmlformats.org/officeDocument/2006/relationships/hyperlink" Target="http://www.chemicalpapers.com/?id=9&amp;author=Kalenda" TargetMode="Externa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oleObject" Target="embeddings/oleObject3.bin"/><Relationship Id="rId5" Type="http://schemas.openxmlformats.org/officeDocument/2006/relationships/image" Target="media/image1.png"/><Relationship Id="rId15" Type="http://schemas.openxmlformats.org/officeDocument/2006/relationships/hyperlink" Target="http://www.chemicalpapers.com/?id=9&amp;author=Mikul%C3%A1%C5%A1ek" TargetMode="External"/><Relationship Id="rId10" Type="http://schemas.openxmlformats.org/officeDocument/2006/relationships/image" Target="media/image4.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hyperlink" Target="http://www.chemicalpapers.com/?id=9&amp;author=%C5%A0ime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ata\towe0372\Dokumenty\konference%20a%20publikace\konference2016\ICCT2016\ICCTtemplate_abstra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ICCTtemplate_abstract.dot</Template>
  <TotalTime>1</TotalTime>
  <Pages>6</Pages>
  <Words>1155</Words>
  <Characters>6815</Characters>
  <Application>Microsoft Office Outlook</Application>
  <DocSecurity>0</DocSecurity>
  <Lines>0</Lines>
  <Paragraphs>0</Paragraphs>
  <ScaleCrop>false</ScaleCrop>
  <Company>Univerzita Pardubice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REMOVAL OF ACID DYES FROM AQUEOUS EFFLUENTS BY ACTION OF IONIC LIQUIDS</dc:title>
  <dc:subject/>
  <dc:creator>spravce</dc:creator>
  <cp:keywords/>
  <dc:description/>
  <cp:lastModifiedBy>UPa</cp:lastModifiedBy>
  <cp:revision>2</cp:revision>
  <dcterms:created xsi:type="dcterms:W3CDTF">2017-05-31T11:54:00Z</dcterms:created>
  <dcterms:modified xsi:type="dcterms:W3CDTF">2017-05-31T11:54:00Z</dcterms:modified>
</cp:coreProperties>
</file>