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E9F6E8" w14:textId="2DC238D2" w:rsidR="009C3163" w:rsidRPr="00F80D87" w:rsidRDefault="009C3163" w:rsidP="00F80D8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D87">
        <w:rPr>
          <w:rFonts w:ascii="Times New Roman" w:hAnsi="Times New Roman" w:cs="Times New Roman"/>
          <w:b/>
          <w:sz w:val="24"/>
          <w:szCs w:val="24"/>
        </w:rPr>
        <w:t>Dominik NEPRAŠ, Spor o Goldhagena – příběh historiografické kontroverze, bakalářská práce, Univerzita Pardubice 2024, 78 s.</w:t>
      </w:r>
    </w:p>
    <w:p w14:paraId="6BB1F620" w14:textId="77777777" w:rsidR="009C3163" w:rsidRPr="00F80D87" w:rsidRDefault="009C3163" w:rsidP="00F80D8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D87">
        <w:rPr>
          <w:rFonts w:ascii="Times New Roman" w:hAnsi="Times New Roman" w:cs="Times New Roman"/>
          <w:b/>
          <w:sz w:val="24"/>
          <w:szCs w:val="24"/>
        </w:rPr>
        <w:t>Posudek oponenta práce</w:t>
      </w:r>
    </w:p>
    <w:p w14:paraId="1E0CA7D0" w14:textId="45E34D28" w:rsidR="0092075E" w:rsidRPr="00F80D87" w:rsidRDefault="009C3163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 xml:space="preserve">Předkládaná bakalářská práce je analýzou kontroverze vyvolané knihou </w:t>
      </w:r>
      <w:r w:rsidRPr="00F80D87">
        <w:rPr>
          <w:rFonts w:ascii="Times New Roman" w:hAnsi="Times New Roman" w:cs="Times New Roman"/>
          <w:i/>
          <w:iCs/>
          <w:sz w:val="24"/>
          <w:szCs w:val="24"/>
        </w:rPr>
        <w:t xml:space="preserve">Hitlerovi ochotní katani </w:t>
      </w:r>
      <w:r w:rsidRPr="00F80D87">
        <w:rPr>
          <w:rFonts w:ascii="Times New Roman" w:hAnsi="Times New Roman" w:cs="Times New Roman"/>
          <w:sz w:val="24"/>
          <w:szCs w:val="24"/>
        </w:rPr>
        <w:t xml:space="preserve">Daniela Goldhagena. </w:t>
      </w:r>
      <w:r w:rsidR="00E81DB0" w:rsidRPr="00F80D87">
        <w:rPr>
          <w:rFonts w:ascii="Times New Roman" w:hAnsi="Times New Roman" w:cs="Times New Roman"/>
          <w:sz w:val="24"/>
          <w:szCs w:val="24"/>
        </w:rPr>
        <w:t>Autor se nicméně nezaměřuje pouze na odbornou disku</w:t>
      </w:r>
      <w:r w:rsidR="009B4C7A" w:rsidRPr="00F80D87">
        <w:rPr>
          <w:rFonts w:ascii="Times New Roman" w:hAnsi="Times New Roman" w:cs="Times New Roman"/>
          <w:sz w:val="24"/>
          <w:szCs w:val="24"/>
        </w:rPr>
        <w:t>z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i, kterou kniha vyvolala. Na základě odborné literatury, která na dílo reagovala, se autor pokouší o zhodnocení Goldhagenových </w:t>
      </w:r>
      <w:r w:rsidR="000735B0">
        <w:rPr>
          <w:rFonts w:ascii="Times New Roman" w:hAnsi="Times New Roman" w:cs="Times New Roman"/>
          <w:sz w:val="24"/>
          <w:szCs w:val="24"/>
        </w:rPr>
        <w:t xml:space="preserve">přístupů k problematice a </w:t>
      </w:r>
      <w:r w:rsidR="00E81DB0" w:rsidRPr="00F80D87">
        <w:rPr>
          <w:rFonts w:ascii="Times New Roman" w:hAnsi="Times New Roman" w:cs="Times New Roman"/>
          <w:sz w:val="24"/>
          <w:szCs w:val="24"/>
        </w:rPr>
        <w:t>teorií, zejména</w:t>
      </w:r>
      <w:r w:rsidR="003A335D">
        <w:rPr>
          <w:rFonts w:ascii="Times New Roman" w:hAnsi="Times New Roman" w:cs="Times New Roman"/>
          <w:sz w:val="24"/>
          <w:szCs w:val="24"/>
        </w:rPr>
        <w:t xml:space="preserve"> teorie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 eliminačního antisemitismu</w:t>
      </w:r>
      <w:r w:rsidR="000735B0">
        <w:rPr>
          <w:rFonts w:ascii="Times New Roman" w:hAnsi="Times New Roman" w:cs="Times New Roman"/>
          <w:sz w:val="24"/>
          <w:szCs w:val="24"/>
        </w:rPr>
        <w:t>.</w:t>
      </w:r>
    </w:p>
    <w:p w14:paraId="36D8EFDF" w14:textId="619FD2AD" w:rsidR="00A17BA5" w:rsidRPr="00F80D87" w:rsidRDefault="00F54B0B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 xml:space="preserve">V </w:t>
      </w:r>
      <w:r w:rsidR="009A1F07" w:rsidRPr="00F80D87">
        <w:rPr>
          <w:rFonts w:ascii="Times New Roman" w:hAnsi="Times New Roman" w:cs="Times New Roman"/>
          <w:sz w:val="24"/>
          <w:szCs w:val="24"/>
        </w:rPr>
        <w:t xml:space="preserve">druhé verzi </w:t>
      </w:r>
      <w:r w:rsidR="001A4B7D" w:rsidRPr="00F80D87">
        <w:rPr>
          <w:rFonts w:ascii="Times New Roman" w:hAnsi="Times New Roman" w:cs="Times New Roman"/>
          <w:sz w:val="24"/>
          <w:szCs w:val="24"/>
        </w:rPr>
        <w:t xml:space="preserve">bakalářské </w:t>
      </w:r>
      <w:r w:rsidR="009A1F07" w:rsidRPr="00F80D87">
        <w:rPr>
          <w:rFonts w:ascii="Times New Roman" w:hAnsi="Times New Roman" w:cs="Times New Roman"/>
          <w:sz w:val="24"/>
          <w:szCs w:val="24"/>
        </w:rPr>
        <w:t>práce autor prokazuje pokrok, a to zejména gramatický a stylistický. Částečné zlepšení je patrné také v argumentační rovině</w:t>
      </w:r>
      <w:r w:rsidR="001A4B7D" w:rsidRPr="00F80D87">
        <w:rPr>
          <w:rFonts w:ascii="Times New Roman" w:hAnsi="Times New Roman" w:cs="Times New Roman"/>
          <w:sz w:val="24"/>
          <w:szCs w:val="24"/>
        </w:rPr>
        <w:t>.</w:t>
      </w:r>
      <w:r w:rsidR="009A1F07" w:rsidRPr="00F80D87">
        <w:rPr>
          <w:rFonts w:ascii="Times New Roman" w:hAnsi="Times New Roman" w:cs="Times New Roman"/>
          <w:sz w:val="24"/>
          <w:szCs w:val="24"/>
        </w:rPr>
        <w:t xml:space="preserve"> Autor zapracoval řadu připomínek a kritických poznámek uvedených v posudcích k první verzi bakalářské práce.</w:t>
      </w:r>
      <w:r w:rsidR="00C31B4A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530B51" w:rsidRPr="00F80D87">
        <w:rPr>
          <w:rFonts w:ascii="Times New Roman" w:hAnsi="Times New Roman" w:cs="Times New Roman"/>
          <w:sz w:val="24"/>
          <w:szCs w:val="24"/>
        </w:rPr>
        <w:t>Například lze zmíni</w:t>
      </w:r>
      <w:r w:rsidR="001A4B7D" w:rsidRPr="00F80D87">
        <w:rPr>
          <w:rFonts w:ascii="Times New Roman" w:hAnsi="Times New Roman" w:cs="Times New Roman"/>
          <w:sz w:val="24"/>
          <w:szCs w:val="24"/>
        </w:rPr>
        <w:t>t snahu o přehlednější členění práce.</w:t>
      </w:r>
      <w:r w:rsidR="00F71FF6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530B51" w:rsidRPr="00F80D87">
        <w:rPr>
          <w:rFonts w:ascii="Times New Roman" w:hAnsi="Times New Roman" w:cs="Times New Roman"/>
          <w:sz w:val="24"/>
          <w:szCs w:val="24"/>
        </w:rPr>
        <w:t>Je však třeba dodat, že některé pasáže a soudy, které autorovi nebyly explicitně vytknuty, zůstaly víceméně beze změn.</w:t>
      </w:r>
    </w:p>
    <w:p w14:paraId="5A2B3579" w14:textId="3C13CC20" w:rsidR="00293A35" w:rsidRPr="00F80D87" w:rsidRDefault="00530B51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>Přistupme k podrobnějšímu rozboru předložené bakalářské práce. Ta vykazovala tři hlavní nedostatky: 1. přehlednost struktury, 2. práci s odbornou literaturou a 3. jazykovou úroveň</w:t>
      </w:r>
      <w:r w:rsidR="00BC7DBB" w:rsidRPr="00F80D87">
        <w:rPr>
          <w:rFonts w:ascii="Times New Roman" w:hAnsi="Times New Roman" w:cs="Times New Roman"/>
          <w:sz w:val="24"/>
          <w:szCs w:val="24"/>
        </w:rPr>
        <w:t>.</w:t>
      </w:r>
      <w:r w:rsidR="00F71FF6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78113A" w:rsidRPr="00F80D87">
        <w:rPr>
          <w:rFonts w:ascii="Times New Roman" w:hAnsi="Times New Roman" w:cs="Times New Roman"/>
          <w:sz w:val="24"/>
          <w:szCs w:val="24"/>
        </w:rPr>
        <w:t>Autor ku prospěchu přehlednosti práce zredukoval počet kapitol z 18 na 14.</w:t>
      </w:r>
      <w:r w:rsidR="00B561DC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406653" w:rsidRPr="00F80D87">
        <w:rPr>
          <w:rFonts w:ascii="Times New Roman" w:hAnsi="Times New Roman" w:cs="Times New Roman"/>
          <w:sz w:val="24"/>
          <w:szCs w:val="24"/>
        </w:rPr>
        <w:t xml:space="preserve">V úvodu autor stanovuje cíle a otázky, na které si předkládaná práce klade za úkol odpovědět. Následně stručně shrnuje vývoj výzkumu dějin holokaustu, včetně </w:t>
      </w:r>
      <w:r w:rsidR="00824B44" w:rsidRPr="00F80D87">
        <w:rPr>
          <w:rFonts w:ascii="Times New Roman" w:hAnsi="Times New Roman" w:cs="Times New Roman"/>
          <w:sz w:val="24"/>
          <w:szCs w:val="24"/>
        </w:rPr>
        <w:t>rozdíl</w:t>
      </w:r>
      <w:r w:rsidR="001A4B7D" w:rsidRPr="00F80D87">
        <w:rPr>
          <w:rFonts w:ascii="Times New Roman" w:hAnsi="Times New Roman" w:cs="Times New Roman"/>
          <w:sz w:val="24"/>
          <w:szCs w:val="24"/>
        </w:rPr>
        <w:t>u</w:t>
      </w:r>
      <w:r w:rsidR="00406653" w:rsidRPr="00F80D87">
        <w:rPr>
          <w:rFonts w:ascii="Times New Roman" w:hAnsi="Times New Roman" w:cs="Times New Roman"/>
          <w:sz w:val="24"/>
          <w:szCs w:val="24"/>
        </w:rPr>
        <w:t xml:space="preserve"> mezi zastánci intencionalismu a funkcionalismu. Dále se věnuje Historikerstreitu, Reemtsmově výstavě a Klempererovým deníkům. V dalších kapitolách se autor zaměřuje na osobnost Daniela Goldhagena, jeho dílo a popisuje jeho </w:t>
      </w:r>
      <w:r w:rsidR="00F7043E" w:rsidRPr="00F80D87">
        <w:rPr>
          <w:rFonts w:ascii="Times New Roman" w:hAnsi="Times New Roman" w:cs="Times New Roman"/>
          <w:sz w:val="24"/>
          <w:szCs w:val="24"/>
        </w:rPr>
        <w:t>výstupy</w:t>
      </w:r>
      <w:r w:rsidR="00406653" w:rsidRPr="00F80D87">
        <w:rPr>
          <w:rFonts w:ascii="Times New Roman" w:hAnsi="Times New Roman" w:cs="Times New Roman"/>
          <w:sz w:val="24"/>
          <w:szCs w:val="24"/>
        </w:rPr>
        <w:t xml:space="preserve"> před vydáním monografie </w:t>
      </w:r>
      <w:r w:rsidR="00406653" w:rsidRPr="00F80D87">
        <w:rPr>
          <w:rFonts w:ascii="Times New Roman" w:hAnsi="Times New Roman" w:cs="Times New Roman"/>
          <w:i/>
          <w:iCs/>
          <w:sz w:val="24"/>
          <w:szCs w:val="24"/>
        </w:rPr>
        <w:t>Hitlerovi ochotní kati</w:t>
      </w:r>
      <w:r w:rsidR="00406653" w:rsidRPr="00F80D87">
        <w:rPr>
          <w:rFonts w:ascii="Times New Roman" w:hAnsi="Times New Roman" w:cs="Times New Roman"/>
          <w:sz w:val="24"/>
          <w:szCs w:val="24"/>
        </w:rPr>
        <w:t xml:space="preserve">. </w:t>
      </w:r>
      <w:r w:rsidR="00293A35" w:rsidRPr="00F80D87">
        <w:rPr>
          <w:rFonts w:ascii="Times New Roman" w:hAnsi="Times New Roman" w:cs="Times New Roman"/>
          <w:sz w:val="24"/>
          <w:szCs w:val="24"/>
        </w:rPr>
        <w:t xml:space="preserve">Zabývá se obsahem monografie a její kritikou, přičemž sleduje debaty o Goldhagenově přístupu a kontroverze, které jeho kniha vyvolala. </w:t>
      </w:r>
      <w:r w:rsidR="00F7043E" w:rsidRPr="00F80D87">
        <w:rPr>
          <w:rFonts w:ascii="Times New Roman" w:hAnsi="Times New Roman" w:cs="Times New Roman"/>
          <w:sz w:val="24"/>
          <w:szCs w:val="24"/>
        </w:rPr>
        <w:t>Klíčovou</w:t>
      </w:r>
      <w:r w:rsidR="00293A35" w:rsidRPr="00F80D87">
        <w:rPr>
          <w:rFonts w:ascii="Times New Roman" w:hAnsi="Times New Roman" w:cs="Times New Roman"/>
          <w:sz w:val="24"/>
          <w:szCs w:val="24"/>
        </w:rPr>
        <w:t xml:space="preserve"> částí je rozebrání názorů významných kritiků, jako jsou Christopher Browning, Yehuda Bauer, Ian Kershaw, Raul Hilberg, Herbert Lehnert a další, kteří poukazují na nedostatky a sporné aspekty jeho </w:t>
      </w:r>
      <w:r w:rsidR="001C2DE5" w:rsidRPr="00F80D87">
        <w:rPr>
          <w:rFonts w:ascii="Times New Roman" w:hAnsi="Times New Roman" w:cs="Times New Roman"/>
          <w:sz w:val="24"/>
          <w:szCs w:val="24"/>
        </w:rPr>
        <w:t>argumentace</w:t>
      </w:r>
      <w:r w:rsidR="00293A35" w:rsidRPr="00F80D87">
        <w:rPr>
          <w:rFonts w:ascii="Times New Roman" w:hAnsi="Times New Roman" w:cs="Times New Roman"/>
          <w:sz w:val="24"/>
          <w:szCs w:val="24"/>
        </w:rPr>
        <w:t xml:space="preserve">. </w:t>
      </w:r>
      <w:r w:rsidR="001C2DE5" w:rsidRPr="00F80D87">
        <w:rPr>
          <w:rFonts w:ascii="Times New Roman" w:hAnsi="Times New Roman" w:cs="Times New Roman"/>
          <w:sz w:val="24"/>
          <w:szCs w:val="24"/>
        </w:rPr>
        <w:t>V závěrečných kapitolách</w:t>
      </w:r>
      <w:r w:rsidR="00293A35" w:rsidRPr="00F80D87">
        <w:rPr>
          <w:rFonts w:ascii="Times New Roman" w:hAnsi="Times New Roman" w:cs="Times New Roman"/>
          <w:sz w:val="24"/>
          <w:szCs w:val="24"/>
        </w:rPr>
        <w:t xml:space="preserve"> reflektuje kladné ohlasy a vliv Goldhagenovy knihy v Německu, přičemž hodnotí,</w:t>
      </w:r>
      <w:r w:rsidR="001C2DE5" w:rsidRPr="00F80D87">
        <w:rPr>
          <w:rFonts w:ascii="Times New Roman" w:hAnsi="Times New Roman" w:cs="Times New Roman"/>
          <w:sz w:val="24"/>
          <w:szCs w:val="24"/>
        </w:rPr>
        <w:t xml:space="preserve"> jaké </w:t>
      </w:r>
      <w:r w:rsidR="00F7043E" w:rsidRPr="00F80D87">
        <w:rPr>
          <w:rFonts w:ascii="Times New Roman" w:hAnsi="Times New Roman" w:cs="Times New Roman"/>
          <w:sz w:val="24"/>
          <w:szCs w:val="24"/>
        </w:rPr>
        <w:t>má kniha nedostatky</w:t>
      </w:r>
      <w:r w:rsidR="001C2DE5" w:rsidRPr="00F80D87">
        <w:rPr>
          <w:rFonts w:ascii="Times New Roman" w:hAnsi="Times New Roman" w:cs="Times New Roman"/>
          <w:sz w:val="24"/>
          <w:szCs w:val="24"/>
        </w:rPr>
        <w:t>. V z</w:t>
      </w:r>
      <w:r w:rsidR="00293A35" w:rsidRPr="00F80D87">
        <w:rPr>
          <w:rFonts w:ascii="Times New Roman" w:hAnsi="Times New Roman" w:cs="Times New Roman"/>
          <w:sz w:val="24"/>
          <w:szCs w:val="24"/>
        </w:rPr>
        <w:t>ávěr</w:t>
      </w:r>
      <w:r w:rsidR="001C2DE5" w:rsidRPr="00F80D87">
        <w:rPr>
          <w:rFonts w:ascii="Times New Roman" w:hAnsi="Times New Roman" w:cs="Times New Roman"/>
          <w:sz w:val="24"/>
          <w:szCs w:val="24"/>
        </w:rPr>
        <w:t>u autor</w:t>
      </w:r>
      <w:r w:rsidR="00293A35" w:rsidRPr="00F80D87">
        <w:rPr>
          <w:rFonts w:ascii="Times New Roman" w:hAnsi="Times New Roman" w:cs="Times New Roman"/>
          <w:sz w:val="24"/>
          <w:szCs w:val="24"/>
        </w:rPr>
        <w:t xml:space="preserve"> shrnuje poznatky</w:t>
      </w:r>
      <w:r w:rsidR="001C2DE5" w:rsidRPr="00F80D87">
        <w:rPr>
          <w:rFonts w:ascii="Times New Roman" w:hAnsi="Times New Roman" w:cs="Times New Roman"/>
          <w:sz w:val="24"/>
          <w:szCs w:val="24"/>
        </w:rPr>
        <w:t xml:space="preserve">, poukazuje na rozpor v hodnocení knihy odbornou a laickou </w:t>
      </w:r>
      <w:r w:rsidR="001A4B7D" w:rsidRPr="00F80D87">
        <w:rPr>
          <w:rFonts w:ascii="Times New Roman" w:hAnsi="Times New Roman" w:cs="Times New Roman"/>
          <w:sz w:val="24"/>
          <w:szCs w:val="24"/>
        </w:rPr>
        <w:t>veřejností</w:t>
      </w:r>
      <w:r w:rsidR="001C2DE5" w:rsidRPr="00F80D87">
        <w:rPr>
          <w:rFonts w:ascii="Times New Roman" w:hAnsi="Times New Roman" w:cs="Times New Roman"/>
          <w:sz w:val="24"/>
          <w:szCs w:val="24"/>
        </w:rPr>
        <w:t xml:space="preserve"> a zhodnocuje přínos</w:t>
      </w:r>
      <w:r w:rsidR="00B561DC" w:rsidRPr="00F80D87">
        <w:rPr>
          <w:rFonts w:ascii="Times New Roman" w:hAnsi="Times New Roman" w:cs="Times New Roman"/>
          <w:sz w:val="24"/>
          <w:szCs w:val="24"/>
        </w:rPr>
        <w:t xml:space="preserve"> díla. Poslední</w:t>
      </w:r>
      <w:r w:rsidR="00F2321E" w:rsidRPr="00F80D87">
        <w:rPr>
          <w:rFonts w:ascii="Times New Roman" w:hAnsi="Times New Roman" w:cs="Times New Roman"/>
          <w:sz w:val="24"/>
          <w:szCs w:val="24"/>
        </w:rPr>
        <w:t xml:space="preserve"> uvedené</w:t>
      </w:r>
      <w:r w:rsidR="00B561DC" w:rsidRPr="00F80D87">
        <w:rPr>
          <w:rFonts w:ascii="Times New Roman" w:hAnsi="Times New Roman" w:cs="Times New Roman"/>
          <w:sz w:val="24"/>
          <w:szCs w:val="24"/>
        </w:rPr>
        <w:t xml:space="preserve"> tvrzení bakalářské práce je však poněkud přehnané: </w:t>
      </w:r>
      <w:r w:rsidR="00B561DC" w:rsidRPr="00F80D87">
        <w:rPr>
          <w:rFonts w:ascii="Times New Roman" w:hAnsi="Times New Roman" w:cs="Times New Roman"/>
          <w:i/>
          <w:iCs/>
          <w:sz w:val="24"/>
          <w:szCs w:val="24"/>
        </w:rPr>
        <w:t>„Zajistil, že nacistická minulost nebude zapomenuta po další generace, protože vyvolal u jedinců obviňování sama sebe za minulost svých předků“</w:t>
      </w:r>
      <w:r w:rsidR="001C2DE5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B561DC" w:rsidRPr="00F80D87">
        <w:rPr>
          <w:rFonts w:ascii="Times New Roman" w:hAnsi="Times New Roman" w:cs="Times New Roman"/>
          <w:sz w:val="24"/>
          <w:szCs w:val="24"/>
        </w:rPr>
        <w:t>(s. 68).</w:t>
      </w:r>
    </w:p>
    <w:p w14:paraId="4EFDC1CF" w14:textId="6B371C66" w:rsidR="00F7043E" w:rsidRPr="00F80D87" w:rsidRDefault="00F7043E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 xml:space="preserve">Jak jsem již uvedl v posudku na první verzi bakalářské práce, přehlednosti a plynulosti textu by prospělo, kdyby biografické údaje odborníků, kteří se do debaty zapojili, byly uvedeny </w:t>
      </w:r>
      <w:r w:rsidRPr="00F80D87">
        <w:rPr>
          <w:rFonts w:ascii="Times New Roman" w:hAnsi="Times New Roman" w:cs="Times New Roman"/>
          <w:sz w:val="24"/>
          <w:szCs w:val="24"/>
        </w:rPr>
        <w:lastRenderedPageBreak/>
        <w:t>v poznámkách pod čarou. Nicméně je nutné zmínit, že autor provedl změny ve struktuře celého textu, které práci zpřehlednily ve srovnání s první verzí.</w:t>
      </w:r>
      <w:r w:rsidR="00E563C4" w:rsidRPr="00F80D87">
        <w:rPr>
          <w:rFonts w:ascii="Times New Roman" w:hAnsi="Times New Roman" w:cs="Times New Roman"/>
          <w:sz w:val="24"/>
          <w:szCs w:val="24"/>
        </w:rPr>
        <w:t xml:space="preserve"> V pasážích, kde autor zmiňuje historické reálie, by vzhledem k povaze práce bylo vhodné čerpat z relevantní literatury a tuto citovat pro doplnění kontextu.</w:t>
      </w:r>
    </w:p>
    <w:p w14:paraId="48055090" w14:textId="4F0F7349" w:rsidR="007340FE" w:rsidRPr="00F80D87" w:rsidRDefault="008C2C8F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 xml:space="preserve">Stejně jako po přečtení první odevzdané verze bakalářské práce je potřeba pozastavit se nad stylem autorova citování. Například v kapitole věnované Herbertu Lehnertovi autor sice uvádí, že čerpá z článku </w:t>
      </w:r>
      <w:r w:rsidRPr="00F80D87">
        <w:rPr>
          <w:rFonts w:ascii="Times New Roman" w:hAnsi="Times New Roman" w:cs="Times New Roman"/>
          <w:i/>
          <w:iCs/>
          <w:sz w:val="24"/>
          <w:szCs w:val="24"/>
        </w:rPr>
        <w:t>Was wir von Goldhagen lernen können</w:t>
      </w:r>
      <w:r w:rsidRPr="00F80D87">
        <w:rPr>
          <w:rFonts w:ascii="Times New Roman" w:hAnsi="Times New Roman" w:cs="Times New Roman"/>
          <w:sz w:val="24"/>
          <w:szCs w:val="24"/>
        </w:rPr>
        <w:t>,</w:t>
      </w:r>
      <w:r w:rsidR="00E563C4" w:rsidRPr="00F80D87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Pr="00F80D87">
        <w:rPr>
          <w:rFonts w:ascii="Times New Roman" w:hAnsi="Times New Roman" w:cs="Times New Roman"/>
          <w:sz w:val="24"/>
          <w:szCs w:val="24"/>
        </w:rPr>
        <w:t xml:space="preserve"> avšak citace umisťuje pouze za úvodní věty. </w:t>
      </w:r>
      <w:r w:rsidR="00530B51" w:rsidRPr="00F80D87">
        <w:rPr>
          <w:rFonts w:ascii="Times New Roman" w:hAnsi="Times New Roman" w:cs="Times New Roman"/>
          <w:sz w:val="24"/>
          <w:szCs w:val="24"/>
        </w:rPr>
        <w:t xml:space="preserve">Za zbylým textem, který – jak sám uvádí – rovněž vychází z Lehnertovy práce, však již citace </w:t>
      </w:r>
      <w:r w:rsidR="00E81DB0" w:rsidRPr="00F80D87">
        <w:rPr>
          <w:rFonts w:ascii="Times New Roman" w:hAnsi="Times New Roman" w:cs="Times New Roman"/>
          <w:sz w:val="24"/>
          <w:szCs w:val="24"/>
        </w:rPr>
        <w:t>chybí</w:t>
      </w:r>
      <w:r w:rsidR="00530B51" w:rsidRPr="00F80D87">
        <w:rPr>
          <w:rFonts w:ascii="Times New Roman" w:hAnsi="Times New Roman" w:cs="Times New Roman"/>
          <w:sz w:val="24"/>
          <w:szCs w:val="24"/>
        </w:rPr>
        <w:t xml:space="preserve"> </w:t>
      </w:r>
      <w:r w:rsidRPr="00F80D87">
        <w:rPr>
          <w:rFonts w:ascii="Times New Roman" w:hAnsi="Times New Roman" w:cs="Times New Roman"/>
          <w:sz w:val="24"/>
          <w:szCs w:val="24"/>
        </w:rPr>
        <w:t>(s. 44).</w:t>
      </w:r>
      <w:r w:rsidR="006919E2">
        <w:rPr>
          <w:rFonts w:ascii="Times New Roman" w:hAnsi="Times New Roman" w:cs="Times New Roman"/>
          <w:sz w:val="24"/>
          <w:szCs w:val="24"/>
        </w:rPr>
        <w:t xml:space="preserve"> Textu by prospěl větší důraz na kvalitnější práci s odbornou literaturou.</w:t>
      </w:r>
    </w:p>
    <w:p w14:paraId="0D3658C4" w14:textId="1916B7D6" w:rsidR="00824B44" w:rsidRPr="00F80D87" w:rsidRDefault="00824B44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 xml:space="preserve">Na straně 38 autor dezinterpretuje Browningův výzkum týkající se lucemburských branců, jež byli součástí 101. záložního policejního praporu. Neprašův výrok </w:t>
      </w:r>
      <w:r w:rsidRPr="00F80D87">
        <w:rPr>
          <w:rFonts w:ascii="Times New Roman" w:hAnsi="Times New Roman" w:cs="Times New Roman"/>
          <w:i/>
          <w:iCs/>
          <w:sz w:val="24"/>
          <w:szCs w:val="24"/>
        </w:rPr>
        <w:t>„Nikdy nejsou zobrazeni jako ti, kdo stříleli, mrzačili nebo se chovali krutě“</w:t>
      </w:r>
      <w:r w:rsidRPr="00F80D87">
        <w:rPr>
          <w:rFonts w:ascii="Times New Roman" w:hAnsi="Times New Roman" w:cs="Times New Roman"/>
          <w:sz w:val="24"/>
          <w:szCs w:val="24"/>
        </w:rPr>
        <w:t xml:space="preserve"> patrně plyne z kusé četby článku, ze kterého cituje. Browning pouze uvádí, že dva z nich napsali stručný popis, </w:t>
      </w:r>
      <w:r w:rsidR="006919E2">
        <w:rPr>
          <w:rFonts w:ascii="Times New Roman" w:hAnsi="Times New Roman" w:cs="Times New Roman"/>
          <w:sz w:val="24"/>
          <w:szCs w:val="24"/>
        </w:rPr>
        <w:t>ve kterém</w:t>
      </w:r>
      <w:r w:rsidRPr="00F80D87">
        <w:rPr>
          <w:rFonts w:ascii="Times New Roman" w:hAnsi="Times New Roman" w:cs="Times New Roman"/>
          <w:sz w:val="24"/>
          <w:szCs w:val="24"/>
        </w:rPr>
        <w:t xml:space="preserve"> se o </w:t>
      </w:r>
      <w:r w:rsidR="006919E2">
        <w:rPr>
          <w:rFonts w:ascii="Times New Roman" w:hAnsi="Times New Roman" w:cs="Times New Roman"/>
          <w:sz w:val="24"/>
          <w:szCs w:val="24"/>
        </w:rPr>
        <w:t>vraždění</w:t>
      </w:r>
      <w:r w:rsidRPr="00F80D87">
        <w:rPr>
          <w:rFonts w:ascii="Times New Roman" w:hAnsi="Times New Roman" w:cs="Times New Roman"/>
          <w:sz w:val="24"/>
          <w:szCs w:val="24"/>
        </w:rPr>
        <w:t xml:space="preserve"> nezmiňují. Lucemburčané ze 101. záložního policejního praporu se tedy oproti Neprašově tvrzení podíleli na zvěrstvech stejně jako němečtí příslušníci praporu.</w:t>
      </w:r>
      <w:r w:rsidRPr="00F80D87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</w:p>
    <w:p w14:paraId="10A9947A" w14:textId="41C93358" w:rsidR="00F7043E" w:rsidRPr="00F80D87" w:rsidRDefault="00F7043E" w:rsidP="006919E2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735B0">
        <w:rPr>
          <w:rFonts w:ascii="Times New Roman" w:hAnsi="Times New Roman" w:cs="Times New Roman"/>
          <w:sz w:val="24"/>
          <w:szCs w:val="24"/>
        </w:rPr>
        <w:t>C</w:t>
      </w:r>
      <w:r w:rsidR="00BC7DBB" w:rsidRPr="000735B0">
        <w:rPr>
          <w:rFonts w:ascii="Times New Roman" w:hAnsi="Times New Roman" w:cs="Times New Roman"/>
          <w:sz w:val="24"/>
          <w:szCs w:val="24"/>
        </w:rPr>
        <w:t xml:space="preserve">o se týče </w:t>
      </w:r>
      <w:r w:rsidRPr="000735B0">
        <w:rPr>
          <w:rFonts w:ascii="Times New Roman" w:hAnsi="Times New Roman" w:cs="Times New Roman"/>
          <w:sz w:val="24"/>
          <w:szCs w:val="24"/>
        </w:rPr>
        <w:t>jazykové úrovně</w:t>
      </w:r>
      <w:r w:rsidR="00BC7DBB" w:rsidRPr="000735B0">
        <w:rPr>
          <w:rFonts w:ascii="Times New Roman" w:hAnsi="Times New Roman" w:cs="Times New Roman"/>
          <w:sz w:val="24"/>
          <w:szCs w:val="24"/>
        </w:rPr>
        <w:t xml:space="preserve">, gramatické chyby se </w:t>
      </w:r>
      <w:r w:rsidR="000735B0" w:rsidRPr="000735B0">
        <w:rPr>
          <w:rFonts w:ascii="Times New Roman" w:hAnsi="Times New Roman" w:cs="Times New Roman"/>
          <w:sz w:val="24"/>
          <w:szCs w:val="24"/>
        </w:rPr>
        <w:t>v</w:t>
      </w:r>
      <w:r w:rsidR="006919E2">
        <w:rPr>
          <w:rFonts w:ascii="Times New Roman" w:hAnsi="Times New Roman" w:cs="Times New Roman"/>
          <w:sz w:val="24"/>
          <w:szCs w:val="24"/>
        </w:rPr>
        <w:t>e</w:t>
      </w:r>
      <w:r w:rsidR="000735B0" w:rsidRPr="000735B0">
        <w:rPr>
          <w:rFonts w:ascii="Times New Roman" w:hAnsi="Times New Roman" w:cs="Times New Roman"/>
          <w:sz w:val="24"/>
          <w:szCs w:val="24"/>
        </w:rPr>
        <w:t xml:space="preserve"> druhé odevzdané verzi práce </w:t>
      </w:r>
      <w:r w:rsidR="00BC7DBB" w:rsidRPr="000735B0">
        <w:rPr>
          <w:rFonts w:ascii="Times New Roman" w:hAnsi="Times New Roman" w:cs="Times New Roman"/>
          <w:sz w:val="24"/>
          <w:szCs w:val="24"/>
        </w:rPr>
        <w:t>autorovi podařilo eliminovat.</w:t>
      </w:r>
      <w:r w:rsidR="00E563C4" w:rsidRPr="000735B0">
        <w:rPr>
          <w:rFonts w:ascii="Times New Roman" w:hAnsi="Times New Roman" w:cs="Times New Roman"/>
          <w:sz w:val="24"/>
          <w:szCs w:val="24"/>
        </w:rPr>
        <w:t xml:space="preserve"> </w:t>
      </w:r>
      <w:r w:rsidR="001B6933" w:rsidRPr="000735B0">
        <w:rPr>
          <w:rFonts w:ascii="Times New Roman" w:hAnsi="Times New Roman" w:cs="Times New Roman"/>
          <w:sz w:val="24"/>
          <w:szCs w:val="24"/>
        </w:rPr>
        <w:t xml:space="preserve">V jednom případě autor patrně vinnou překlepu napsal </w:t>
      </w:r>
      <w:r w:rsidR="001B6933" w:rsidRPr="000735B0">
        <w:rPr>
          <w:rFonts w:ascii="Times New Roman" w:hAnsi="Times New Roman" w:cs="Times New Roman"/>
          <w:i/>
          <w:iCs/>
          <w:sz w:val="24"/>
          <w:szCs w:val="24"/>
        </w:rPr>
        <w:t>„Wehrmacht“</w:t>
      </w:r>
      <w:r w:rsidR="001B6933" w:rsidRPr="000735B0">
        <w:rPr>
          <w:rFonts w:ascii="Times New Roman" w:hAnsi="Times New Roman" w:cs="Times New Roman"/>
          <w:sz w:val="24"/>
          <w:szCs w:val="24"/>
        </w:rPr>
        <w:t xml:space="preserve"> s velkým počátečním písmenem </w:t>
      </w:r>
      <w:r w:rsidR="00F574C7" w:rsidRPr="000735B0">
        <w:rPr>
          <w:rFonts w:ascii="Times New Roman" w:hAnsi="Times New Roman" w:cs="Times New Roman"/>
          <w:sz w:val="24"/>
          <w:szCs w:val="24"/>
        </w:rPr>
        <w:t>(s. 20)</w:t>
      </w:r>
      <w:r w:rsidR="001B6933" w:rsidRPr="000735B0">
        <w:rPr>
          <w:rFonts w:ascii="Times New Roman" w:hAnsi="Times New Roman" w:cs="Times New Roman"/>
          <w:sz w:val="24"/>
          <w:szCs w:val="24"/>
        </w:rPr>
        <w:t>.</w:t>
      </w:r>
      <w:r w:rsidR="00F574C7" w:rsidRPr="000735B0">
        <w:rPr>
          <w:rFonts w:ascii="Times New Roman" w:hAnsi="Times New Roman" w:cs="Times New Roman"/>
          <w:sz w:val="24"/>
          <w:szCs w:val="24"/>
        </w:rPr>
        <w:t xml:space="preserve"> U předposlední věty na straně 32 chybí tečka.</w:t>
      </w:r>
      <w:r w:rsidR="00C02DC3" w:rsidRPr="000735B0">
        <w:rPr>
          <w:rFonts w:ascii="Times New Roman" w:hAnsi="Times New Roman" w:cs="Times New Roman"/>
          <w:sz w:val="24"/>
          <w:szCs w:val="24"/>
        </w:rPr>
        <w:t xml:space="preserve"> </w:t>
      </w:r>
      <w:r w:rsidR="00E563C4" w:rsidRPr="000735B0">
        <w:rPr>
          <w:rFonts w:ascii="Times New Roman" w:hAnsi="Times New Roman" w:cs="Times New Roman"/>
          <w:sz w:val="24"/>
          <w:szCs w:val="24"/>
        </w:rPr>
        <w:t>Další p</w:t>
      </w:r>
      <w:r w:rsidR="00C02DC3" w:rsidRPr="000735B0">
        <w:rPr>
          <w:rFonts w:ascii="Times New Roman" w:hAnsi="Times New Roman" w:cs="Times New Roman"/>
          <w:sz w:val="24"/>
          <w:szCs w:val="24"/>
        </w:rPr>
        <w:t>řeklep na</w:t>
      </w:r>
      <w:r w:rsidR="00E563C4" w:rsidRPr="000735B0">
        <w:rPr>
          <w:rFonts w:ascii="Times New Roman" w:hAnsi="Times New Roman" w:cs="Times New Roman"/>
          <w:sz w:val="24"/>
          <w:szCs w:val="24"/>
        </w:rPr>
        <w:t>lezneme na</w:t>
      </w:r>
      <w:r w:rsidR="00C02DC3" w:rsidRPr="000735B0">
        <w:rPr>
          <w:rFonts w:ascii="Times New Roman" w:hAnsi="Times New Roman" w:cs="Times New Roman"/>
          <w:sz w:val="24"/>
          <w:szCs w:val="24"/>
        </w:rPr>
        <w:t xml:space="preserve"> straně 56</w:t>
      </w:r>
      <w:r w:rsidR="00E563C4" w:rsidRPr="000735B0">
        <w:rPr>
          <w:rFonts w:ascii="Times New Roman" w:hAnsi="Times New Roman" w:cs="Times New Roman"/>
          <w:sz w:val="24"/>
          <w:szCs w:val="24"/>
        </w:rPr>
        <w:t>:</w:t>
      </w:r>
      <w:r w:rsidR="00C02DC3" w:rsidRPr="000735B0">
        <w:rPr>
          <w:rFonts w:ascii="Times New Roman" w:hAnsi="Times New Roman" w:cs="Times New Roman"/>
          <w:sz w:val="24"/>
          <w:szCs w:val="24"/>
        </w:rPr>
        <w:t xml:space="preserve"> </w:t>
      </w:r>
      <w:r w:rsidR="00C02DC3" w:rsidRPr="000735B0">
        <w:rPr>
          <w:rFonts w:ascii="Times New Roman" w:hAnsi="Times New Roman" w:cs="Times New Roman"/>
          <w:i/>
          <w:iCs/>
          <w:sz w:val="24"/>
          <w:szCs w:val="24"/>
        </w:rPr>
        <w:t>„[…] která by by čtenář očekával při čtení o nacismu</w:t>
      </w:r>
      <w:r w:rsidR="00F2321E" w:rsidRPr="000735B0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C02DC3" w:rsidRPr="000735B0">
        <w:rPr>
          <w:rFonts w:ascii="Times New Roman" w:hAnsi="Times New Roman" w:cs="Times New Roman"/>
          <w:i/>
          <w:iCs/>
          <w:sz w:val="24"/>
          <w:szCs w:val="24"/>
        </w:rPr>
        <w:t>“</w:t>
      </w:r>
      <w:r w:rsidR="00F2321E" w:rsidRPr="000735B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563C4" w:rsidRPr="000735B0">
        <w:rPr>
          <w:rFonts w:ascii="Times New Roman" w:hAnsi="Times New Roman" w:cs="Times New Roman"/>
          <w:sz w:val="24"/>
          <w:szCs w:val="24"/>
        </w:rPr>
        <w:t>Styl vyjadřování však zůstává v podstatě nezměněn. Jako zvlášť nápadné příklady lze uvést</w:t>
      </w:r>
      <w:r w:rsidR="00527AA8" w:rsidRPr="000735B0">
        <w:rPr>
          <w:rFonts w:ascii="Times New Roman" w:hAnsi="Times New Roman" w:cs="Times New Roman"/>
          <w:sz w:val="24"/>
          <w:szCs w:val="24"/>
        </w:rPr>
        <w:t xml:space="preserve">: </w:t>
      </w:r>
      <w:r w:rsidR="00170054" w:rsidRPr="000735B0">
        <w:rPr>
          <w:rFonts w:ascii="Times New Roman" w:hAnsi="Times New Roman" w:cs="Times New Roman"/>
          <w:i/>
          <w:iCs/>
          <w:sz w:val="24"/>
          <w:szCs w:val="24"/>
        </w:rPr>
        <w:t>„Počátek holokaustu se měl objevit v roce 1941“</w:t>
      </w:r>
      <w:r w:rsidR="00170054" w:rsidRPr="000735B0">
        <w:rPr>
          <w:rFonts w:ascii="Times New Roman" w:hAnsi="Times New Roman" w:cs="Times New Roman"/>
          <w:sz w:val="24"/>
          <w:szCs w:val="24"/>
        </w:rPr>
        <w:t xml:space="preserve"> (s. 14).</w:t>
      </w:r>
      <w:r w:rsidR="00527AA8" w:rsidRPr="000735B0">
        <w:rPr>
          <w:rFonts w:ascii="Times New Roman" w:hAnsi="Times New Roman" w:cs="Times New Roman"/>
          <w:sz w:val="24"/>
          <w:szCs w:val="24"/>
        </w:rPr>
        <w:t xml:space="preserve"> </w:t>
      </w:r>
      <w:r w:rsidR="00527AA8" w:rsidRPr="000735B0">
        <w:rPr>
          <w:rFonts w:ascii="Times New Roman" w:hAnsi="Times New Roman" w:cs="Times New Roman"/>
          <w:i/>
          <w:iCs/>
          <w:sz w:val="24"/>
          <w:szCs w:val="24"/>
        </w:rPr>
        <w:t xml:space="preserve">„To šlo od jejich nucené emigrace až k plánu na jejich vyvraždění“ </w:t>
      </w:r>
      <w:r w:rsidR="00527AA8" w:rsidRPr="000735B0">
        <w:rPr>
          <w:rFonts w:ascii="Times New Roman" w:hAnsi="Times New Roman" w:cs="Times New Roman"/>
          <w:sz w:val="24"/>
          <w:szCs w:val="24"/>
        </w:rPr>
        <w:t>(s. 50).</w:t>
      </w:r>
      <w:r w:rsidR="00170054" w:rsidRPr="000735B0">
        <w:rPr>
          <w:rFonts w:ascii="Times New Roman" w:hAnsi="Times New Roman" w:cs="Times New Roman"/>
          <w:sz w:val="24"/>
          <w:szCs w:val="24"/>
        </w:rPr>
        <w:t xml:space="preserve"> </w:t>
      </w:r>
      <w:r w:rsidR="00170054" w:rsidRPr="000735B0">
        <w:rPr>
          <w:rFonts w:ascii="Times New Roman" w:hAnsi="Times New Roman" w:cs="Times New Roman"/>
          <w:i/>
          <w:iCs/>
          <w:sz w:val="24"/>
          <w:szCs w:val="24"/>
        </w:rPr>
        <w:t>„Použitím logického myšlení je jasné, že nelze všechny Němce z období války házet do pytle s nápisem vrahové a antisemité, který se poté uzavře.“</w:t>
      </w:r>
      <w:r w:rsidR="00170054" w:rsidRPr="000735B0">
        <w:rPr>
          <w:rFonts w:ascii="Times New Roman" w:hAnsi="Times New Roman" w:cs="Times New Roman"/>
          <w:sz w:val="24"/>
          <w:szCs w:val="24"/>
        </w:rPr>
        <w:t xml:space="preserve"> (s. 63). </w:t>
      </w:r>
      <w:r w:rsidR="000735B0">
        <w:rPr>
          <w:rFonts w:ascii="Times New Roman" w:hAnsi="Times New Roman" w:cs="Times New Roman"/>
          <w:sz w:val="24"/>
          <w:szCs w:val="24"/>
        </w:rPr>
        <w:t>Například v</w:t>
      </w:r>
      <w:r w:rsidR="000735B0" w:rsidRPr="000735B0">
        <w:rPr>
          <w:rFonts w:ascii="Times New Roman" w:hAnsi="Times New Roman" w:cs="Times New Roman"/>
          <w:sz w:val="24"/>
          <w:szCs w:val="24"/>
        </w:rPr>
        <w:t>ěta „</w:t>
      </w:r>
      <w:r w:rsidR="000735B0" w:rsidRPr="000735B0">
        <w:rPr>
          <w:rFonts w:ascii="Times New Roman" w:hAnsi="Times New Roman" w:cs="Times New Roman"/>
          <w:i/>
          <w:iCs/>
          <w:sz w:val="24"/>
          <w:szCs w:val="24"/>
        </w:rPr>
        <w:t>Díky jeho knize vzrostla laická vrstva odborníků na holokaust“</w:t>
      </w:r>
      <w:r w:rsidR="000735B0" w:rsidRPr="000735B0">
        <w:rPr>
          <w:rFonts w:ascii="Times New Roman" w:hAnsi="Times New Roman" w:cs="Times New Roman"/>
          <w:sz w:val="24"/>
          <w:szCs w:val="24"/>
        </w:rPr>
        <w:t xml:space="preserve"> nedává smysl, protože v ní dochází k záměně pojmů „laická vrstva“ a „odborníci“.</w:t>
      </w:r>
    </w:p>
    <w:p w14:paraId="3A25D5A1" w14:textId="6FD9962B" w:rsidR="00F2321E" w:rsidRPr="00F80D87" w:rsidRDefault="00CE3F32" w:rsidP="00F80D87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F2321E" w:rsidRPr="00F80D87">
        <w:rPr>
          <w:rFonts w:ascii="Times New Roman" w:hAnsi="Times New Roman" w:cs="Times New Roman"/>
          <w:sz w:val="24"/>
          <w:szCs w:val="24"/>
        </w:rPr>
        <w:t>iskuzi u obhajoby navrhuji</w:t>
      </w:r>
      <w:r w:rsidRPr="00F80D87">
        <w:rPr>
          <w:rFonts w:ascii="Times New Roman" w:hAnsi="Times New Roman" w:cs="Times New Roman"/>
          <w:sz w:val="24"/>
          <w:szCs w:val="24"/>
        </w:rPr>
        <w:t xml:space="preserve"> zahájit </w:t>
      </w:r>
      <w:r w:rsidR="00F80D87" w:rsidRPr="00F80D87">
        <w:rPr>
          <w:rFonts w:ascii="Times New Roman" w:hAnsi="Times New Roman" w:cs="Times New Roman"/>
          <w:sz w:val="24"/>
          <w:szCs w:val="24"/>
        </w:rPr>
        <w:t>následujícími otázkami: Jaké jsou základní odlišnosti v přístupu Browninga a Goldhagena k</w:t>
      </w:r>
      <w:r w:rsidR="00F80D87">
        <w:rPr>
          <w:rFonts w:ascii="Times New Roman" w:hAnsi="Times New Roman" w:cs="Times New Roman"/>
          <w:sz w:val="24"/>
          <w:szCs w:val="24"/>
        </w:rPr>
        <w:t> </w:t>
      </w:r>
      <w:r w:rsidR="000735B0">
        <w:rPr>
          <w:rFonts w:ascii="Times New Roman" w:hAnsi="Times New Roman" w:cs="Times New Roman"/>
          <w:sz w:val="24"/>
          <w:szCs w:val="24"/>
        </w:rPr>
        <w:t>analyzované</w:t>
      </w:r>
      <w:r w:rsidR="00F80D87">
        <w:rPr>
          <w:rFonts w:ascii="Times New Roman" w:hAnsi="Times New Roman" w:cs="Times New Roman"/>
          <w:sz w:val="24"/>
          <w:szCs w:val="24"/>
        </w:rPr>
        <w:t xml:space="preserve"> </w:t>
      </w:r>
      <w:r w:rsidR="00F80D87" w:rsidRPr="00F80D87">
        <w:rPr>
          <w:rFonts w:ascii="Times New Roman" w:hAnsi="Times New Roman" w:cs="Times New Roman"/>
          <w:sz w:val="24"/>
          <w:szCs w:val="24"/>
        </w:rPr>
        <w:t xml:space="preserve">problematice? </w:t>
      </w:r>
      <w:r w:rsidRPr="00F80D87">
        <w:rPr>
          <w:rFonts w:ascii="Times New Roman" w:hAnsi="Times New Roman" w:cs="Times New Roman"/>
          <w:sz w:val="24"/>
          <w:szCs w:val="24"/>
        </w:rPr>
        <w:t>Lze dle autora práce koncept eliminačního antisemitismu považovat za vědecky relevantní, nebo se jedná spíše o zkreslenou interpretaci německých dějin</w:t>
      </w:r>
      <w:r w:rsidRPr="00F80D87">
        <w:rPr>
          <w:rFonts w:asciiTheme="majorBidi" w:hAnsiTheme="majorBidi" w:cstheme="majorBidi"/>
          <w:sz w:val="24"/>
          <w:szCs w:val="24"/>
        </w:rPr>
        <w:t>?</w:t>
      </w:r>
    </w:p>
    <w:p w14:paraId="2023C6D9" w14:textId="693F5B3E" w:rsidR="00C02DC3" w:rsidRPr="00F80D87" w:rsidRDefault="00BA52A2" w:rsidP="00F80D87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0D87">
        <w:rPr>
          <w:rFonts w:ascii="Times New Roman" w:hAnsi="Times New Roman" w:cs="Times New Roman"/>
          <w:sz w:val="24"/>
          <w:szCs w:val="24"/>
        </w:rPr>
        <w:t>Přes všechnu uvedenou kritiku</w:t>
      </w:r>
      <w:r w:rsidR="00F2321E" w:rsidRPr="00F80D87">
        <w:rPr>
          <w:rFonts w:ascii="Times New Roman" w:hAnsi="Times New Roman" w:cs="Times New Roman"/>
          <w:sz w:val="24"/>
          <w:szCs w:val="24"/>
        </w:rPr>
        <w:t xml:space="preserve"> konstatuji, že</w:t>
      </w:r>
      <w:r w:rsidRPr="00F80D87">
        <w:rPr>
          <w:rFonts w:ascii="Times New Roman" w:hAnsi="Times New Roman" w:cs="Times New Roman"/>
          <w:sz w:val="24"/>
          <w:szCs w:val="24"/>
        </w:rPr>
        <w:t xml:space="preserve"> autor 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shrnul hlavní myšlenky Goldhagenovy knihy </w:t>
      </w:r>
      <w:r w:rsidR="00E81DB0" w:rsidRPr="00F80D87">
        <w:rPr>
          <w:rFonts w:ascii="Times New Roman" w:hAnsi="Times New Roman" w:cs="Times New Roman"/>
          <w:i/>
          <w:iCs/>
          <w:sz w:val="24"/>
          <w:szCs w:val="24"/>
        </w:rPr>
        <w:t>Hitlerovi ochotní katani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 a </w:t>
      </w:r>
      <w:r w:rsidR="00034EDF">
        <w:rPr>
          <w:rFonts w:ascii="Times New Roman" w:hAnsi="Times New Roman" w:cs="Times New Roman"/>
          <w:sz w:val="24"/>
          <w:szCs w:val="24"/>
        </w:rPr>
        <w:t>popsal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 historiografickou kontroverzi, kterou kniha vyvolala. Předloženou bakalářskou práci doporučuji komisi k obhajobě a navrhuji hodnocení </w:t>
      </w:r>
      <w:r w:rsidR="00E81DB0" w:rsidRPr="00F80D87">
        <w:rPr>
          <w:rFonts w:ascii="Times New Roman" w:hAnsi="Times New Roman" w:cs="Times New Roman"/>
          <w:b/>
          <w:bCs/>
          <w:sz w:val="24"/>
          <w:szCs w:val="24"/>
        </w:rPr>
        <w:t>dobře (E).</w:t>
      </w:r>
      <w:r w:rsidR="00E81DB0" w:rsidRPr="00F80D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6ECBEE" w14:textId="194045D9" w:rsidR="00F54B0B" w:rsidRPr="00F80D87" w:rsidRDefault="00F54B0B" w:rsidP="00F80D87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0D87">
        <w:rPr>
          <w:rFonts w:ascii="Times New Roman" w:hAnsi="Times New Roman" w:cs="Times New Roman"/>
          <w:b/>
          <w:bCs/>
          <w:sz w:val="24"/>
          <w:szCs w:val="24"/>
        </w:rPr>
        <w:t>Pardubice, 14/1/2025</w:t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80D87">
        <w:rPr>
          <w:rFonts w:ascii="Times New Roman" w:hAnsi="Times New Roman" w:cs="Times New Roman"/>
          <w:b/>
          <w:bCs/>
          <w:sz w:val="24"/>
          <w:szCs w:val="24"/>
        </w:rPr>
        <w:tab/>
        <w:t>Mgr. Jan Kutílek</w:t>
      </w:r>
    </w:p>
    <w:p w14:paraId="75AAB857" w14:textId="77777777" w:rsidR="00F54B0B" w:rsidRPr="00C02DC3" w:rsidRDefault="00F54B0B" w:rsidP="00E81DB0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sectPr w:rsidR="00F54B0B" w:rsidRPr="00C02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63EB6" w14:textId="77777777" w:rsidR="00E415D8" w:rsidRDefault="00E415D8" w:rsidP="00A17BA5">
      <w:pPr>
        <w:spacing w:after="0" w:line="240" w:lineRule="auto"/>
      </w:pPr>
      <w:r>
        <w:separator/>
      </w:r>
    </w:p>
  </w:endnote>
  <w:endnote w:type="continuationSeparator" w:id="0">
    <w:p w14:paraId="65A01F8D" w14:textId="77777777" w:rsidR="00E415D8" w:rsidRDefault="00E415D8" w:rsidP="00A17B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957FB" w14:textId="77777777" w:rsidR="00E415D8" w:rsidRDefault="00E415D8" w:rsidP="00A17BA5">
      <w:pPr>
        <w:spacing w:after="0" w:line="240" w:lineRule="auto"/>
      </w:pPr>
      <w:r>
        <w:separator/>
      </w:r>
    </w:p>
  </w:footnote>
  <w:footnote w:type="continuationSeparator" w:id="0">
    <w:p w14:paraId="304E9C08" w14:textId="77777777" w:rsidR="00E415D8" w:rsidRDefault="00E415D8" w:rsidP="00A17BA5">
      <w:pPr>
        <w:spacing w:after="0" w:line="240" w:lineRule="auto"/>
      </w:pPr>
      <w:r>
        <w:continuationSeparator/>
      </w:r>
    </w:p>
  </w:footnote>
  <w:footnote w:id="1">
    <w:p w14:paraId="640571B2" w14:textId="0EC1B9A5" w:rsidR="00E563C4" w:rsidRPr="000735B0" w:rsidRDefault="00E563C4" w:rsidP="000735B0">
      <w:pPr>
        <w:pStyle w:val="Textpoznpodarou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735B0">
        <w:rPr>
          <w:rStyle w:val="Znakapoznpodarou"/>
          <w:rFonts w:asciiTheme="majorBidi" w:hAnsiTheme="majorBidi" w:cstheme="majorBidi"/>
          <w:sz w:val="24"/>
          <w:szCs w:val="24"/>
        </w:rPr>
        <w:footnoteRef/>
      </w:r>
      <w:r w:rsidRPr="000735B0">
        <w:rPr>
          <w:rFonts w:asciiTheme="majorBidi" w:hAnsiTheme="majorBidi" w:cstheme="majorBidi"/>
          <w:sz w:val="24"/>
          <w:szCs w:val="24"/>
        </w:rPr>
        <w:t xml:space="preserve"> </w:t>
      </w:r>
      <w:r w:rsidR="00F80D87" w:rsidRPr="000735B0">
        <w:rPr>
          <w:rFonts w:asciiTheme="majorBidi" w:hAnsiTheme="majorBidi" w:cstheme="majorBidi"/>
          <w:sz w:val="24"/>
          <w:szCs w:val="24"/>
        </w:rPr>
        <w:t xml:space="preserve">Herbert Lehnert, „Was wir von Goldhagen lernen können“, </w:t>
      </w:r>
      <w:r w:rsidR="00F80D87" w:rsidRPr="006919E2">
        <w:rPr>
          <w:rFonts w:asciiTheme="majorBidi" w:hAnsiTheme="majorBidi" w:cstheme="majorBidi"/>
          <w:i/>
          <w:iCs/>
          <w:sz w:val="24"/>
          <w:szCs w:val="24"/>
        </w:rPr>
        <w:t>The German Quarterly</w:t>
      </w:r>
      <w:r w:rsidR="00F80D87" w:rsidRPr="000735B0">
        <w:rPr>
          <w:rFonts w:asciiTheme="majorBidi" w:hAnsiTheme="majorBidi" w:cstheme="majorBidi"/>
          <w:sz w:val="24"/>
          <w:szCs w:val="24"/>
        </w:rPr>
        <w:t xml:space="preserve"> 70, 1997, č. 1, s. 57–64.</w:t>
      </w:r>
    </w:p>
  </w:footnote>
  <w:footnote w:id="2">
    <w:p w14:paraId="6136EA6E" w14:textId="1345017D" w:rsidR="00824B44" w:rsidRDefault="00824B44" w:rsidP="000735B0">
      <w:pPr>
        <w:pStyle w:val="Textpoznpodarou"/>
        <w:spacing w:line="360" w:lineRule="auto"/>
        <w:jc w:val="both"/>
      </w:pPr>
      <w:r w:rsidRPr="000735B0">
        <w:rPr>
          <w:rStyle w:val="Znakapoznpodarou"/>
          <w:rFonts w:asciiTheme="majorBidi" w:hAnsiTheme="majorBidi" w:cstheme="majorBidi"/>
          <w:sz w:val="24"/>
          <w:szCs w:val="24"/>
        </w:rPr>
        <w:footnoteRef/>
      </w:r>
      <w:r w:rsidRPr="000735B0">
        <w:rPr>
          <w:rFonts w:asciiTheme="majorBidi" w:hAnsiTheme="majorBidi" w:cstheme="majorBidi"/>
          <w:sz w:val="24"/>
          <w:szCs w:val="24"/>
        </w:rPr>
        <w:t xml:space="preserve"> </w:t>
      </w:r>
      <w:r w:rsidR="00F80D87" w:rsidRPr="000735B0">
        <w:rPr>
          <w:rFonts w:asciiTheme="majorBidi" w:hAnsiTheme="majorBidi" w:cstheme="majorBidi"/>
          <w:sz w:val="24"/>
          <w:szCs w:val="24"/>
        </w:rPr>
        <w:t>Christopher R. Browning, r</w:t>
      </w:r>
      <w:r w:rsidRPr="000735B0">
        <w:rPr>
          <w:rFonts w:asciiTheme="majorBidi" w:hAnsiTheme="majorBidi" w:cstheme="majorBidi"/>
          <w:sz w:val="24"/>
          <w:szCs w:val="24"/>
        </w:rPr>
        <w:t>ecenze: Hitler‘s Willing Executioners: Ordinary Germans and the Holocaust</w:t>
      </w:r>
      <w:r w:rsidR="00F80D87" w:rsidRPr="000735B0">
        <w:rPr>
          <w:rFonts w:asciiTheme="majorBidi" w:hAnsiTheme="majorBidi" w:cstheme="majorBidi"/>
          <w:sz w:val="24"/>
          <w:szCs w:val="24"/>
        </w:rPr>
        <w:t>,</w:t>
      </w:r>
      <w:r w:rsidRPr="000735B0">
        <w:rPr>
          <w:rFonts w:asciiTheme="majorBidi" w:hAnsiTheme="majorBidi" w:cstheme="majorBidi"/>
          <w:sz w:val="24"/>
          <w:szCs w:val="24"/>
        </w:rPr>
        <w:t xml:space="preserve"> </w:t>
      </w:r>
      <w:r w:rsidRPr="000735B0">
        <w:rPr>
          <w:rFonts w:asciiTheme="majorBidi" w:hAnsiTheme="majorBidi" w:cstheme="majorBidi"/>
          <w:i/>
          <w:iCs/>
          <w:sz w:val="24"/>
          <w:szCs w:val="24"/>
        </w:rPr>
        <w:t>History and Memory</w:t>
      </w:r>
      <w:r w:rsidRPr="000735B0">
        <w:rPr>
          <w:rFonts w:asciiTheme="majorBidi" w:hAnsiTheme="majorBidi" w:cstheme="majorBidi"/>
          <w:sz w:val="24"/>
          <w:szCs w:val="24"/>
        </w:rPr>
        <w:t xml:space="preserve"> 8, 1996, č. 1, s. 95–96.</w:t>
      </w:r>
      <w: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994"/>
    <w:rsid w:val="00034EDF"/>
    <w:rsid w:val="000735B0"/>
    <w:rsid w:val="00170054"/>
    <w:rsid w:val="001A4B7D"/>
    <w:rsid w:val="001B6933"/>
    <w:rsid w:val="001C2DE5"/>
    <w:rsid w:val="00293A35"/>
    <w:rsid w:val="002D51E3"/>
    <w:rsid w:val="003A335D"/>
    <w:rsid w:val="003B1834"/>
    <w:rsid w:val="003E71C5"/>
    <w:rsid w:val="003F22FD"/>
    <w:rsid w:val="00406653"/>
    <w:rsid w:val="004F7E36"/>
    <w:rsid w:val="00527AA8"/>
    <w:rsid w:val="00530B51"/>
    <w:rsid w:val="006919E2"/>
    <w:rsid w:val="007340FE"/>
    <w:rsid w:val="0078113A"/>
    <w:rsid w:val="007C7994"/>
    <w:rsid w:val="00822E5E"/>
    <w:rsid w:val="00824B44"/>
    <w:rsid w:val="00840FD1"/>
    <w:rsid w:val="008C2C8F"/>
    <w:rsid w:val="0092075E"/>
    <w:rsid w:val="009575B9"/>
    <w:rsid w:val="00986085"/>
    <w:rsid w:val="009A1F07"/>
    <w:rsid w:val="009B4C7A"/>
    <w:rsid w:val="009C3163"/>
    <w:rsid w:val="009E0090"/>
    <w:rsid w:val="00A17BA5"/>
    <w:rsid w:val="00AC0B48"/>
    <w:rsid w:val="00B561DC"/>
    <w:rsid w:val="00BA52A2"/>
    <w:rsid w:val="00BC7DBB"/>
    <w:rsid w:val="00C02DC3"/>
    <w:rsid w:val="00C31B4A"/>
    <w:rsid w:val="00CE3F32"/>
    <w:rsid w:val="00E415D8"/>
    <w:rsid w:val="00E42A33"/>
    <w:rsid w:val="00E563C4"/>
    <w:rsid w:val="00E81DB0"/>
    <w:rsid w:val="00F2321E"/>
    <w:rsid w:val="00F54B0B"/>
    <w:rsid w:val="00F574C7"/>
    <w:rsid w:val="00F7043E"/>
    <w:rsid w:val="00F71FF6"/>
    <w:rsid w:val="00F80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90FBA"/>
  <w15:chartTrackingRefBased/>
  <w15:docId w15:val="{1B3B8CA4-C385-4B77-BD56-7E1690015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C3163"/>
    <w:pPr>
      <w:spacing w:line="259" w:lineRule="auto"/>
    </w:pPr>
    <w:rPr>
      <w:sz w:val="22"/>
      <w:szCs w:val="22"/>
      <w:lang w:bidi="ar-SA"/>
    </w:rPr>
  </w:style>
  <w:style w:type="paragraph" w:styleId="Nadpis1">
    <w:name w:val="heading 1"/>
    <w:basedOn w:val="Normln"/>
    <w:next w:val="Normln"/>
    <w:link w:val="Nadpis1Char"/>
    <w:uiPriority w:val="9"/>
    <w:qFormat/>
    <w:rsid w:val="007C79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C79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C79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C79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C79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C79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C79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C79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C79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C79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C79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C79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C799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C799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C799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C799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C799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C799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C79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C79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C79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C79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C79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C799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C799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C799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C79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C799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C7994"/>
    <w:rPr>
      <w:b/>
      <w:bCs/>
      <w:smallCaps/>
      <w:color w:val="0F4761" w:themeColor="accent1" w:themeShade="BF"/>
      <w:spacing w:val="5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17BA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17BA5"/>
    <w:rPr>
      <w:sz w:val="20"/>
      <w:szCs w:val="20"/>
      <w:lang w:bidi="ar-SA"/>
    </w:rPr>
  </w:style>
  <w:style w:type="character" w:styleId="Znakapoznpodarou">
    <w:name w:val="footnote reference"/>
    <w:basedOn w:val="Standardnpsmoodstavce"/>
    <w:uiPriority w:val="99"/>
    <w:semiHidden/>
    <w:unhideWhenUsed/>
    <w:rsid w:val="00A17BA5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C02DC3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C02DC3"/>
    <w:rPr>
      <w:color w:val="605E5C"/>
      <w:shd w:val="clear" w:color="auto" w:fill="E1DFDD"/>
    </w:rPr>
  </w:style>
  <w:style w:type="paragraph" w:styleId="Normlnweb">
    <w:name w:val="Normal (Web)"/>
    <w:basedOn w:val="Normln"/>
    <w:uiPriority w:val="99"/>
    <w:semiHidden/>
    <w:unhideWhenUsed/>
    <w:rsid w:val="00F80D87"/>
    <w:rPr>
      <w:rFonts w:ascii="Times New Roman" w:hAnsi="Times New Roman" w:cs="Times New Roman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073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735B0"/>
    <w:rPr>
      <w:sz w:val="22"/>
      <w:szCs w:val="22"/>
      <w:lang w:bidi="ar-SA"/>
    </w:rPr>
  </w:style>
  <w:style w:type="paragraph" w:styleId="Zpat">
    <w:name w:val="footer"/>
    <w:basedOn w:val="Normln"/>
    <w:link w:val="ZpatChar"/>
    <w:uiPriority w:val="99"/>
    <w:unhideWhenUsed/>
    <w:rsid w:val="00073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735B0"/>
    <w:rPr>
      <w:sz w:val="22"/>
      <w:szCs w:val="22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84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196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16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73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5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8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943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708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94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6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66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02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816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12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49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28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575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349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3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217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103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89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26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421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819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33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94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2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2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8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455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66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55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27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5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9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61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4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45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647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710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74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62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16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674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94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51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563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3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270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62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54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0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37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0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46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96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544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617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58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6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50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45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914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6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62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09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70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34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8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959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081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9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20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29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631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0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658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75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90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90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84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702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35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83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65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78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585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83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61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19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65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277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40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794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225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00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67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3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78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07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01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33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30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96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877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200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37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107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05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BC4BDF-794B-4052-A6B5-404C9A5CE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3</Pages>
  <Words>795</Words>
  <Characters>4692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Kutílek</dc:creator>
  <cp:keywords/>
  <dc:description/>
  <cp:lastModifiedBy>Jan Kutílek</cp:lastModifiedBy>
  <cp:revision>5</cp:revision>
  <dcterms:created xsi:type="dcterms:W3CDTF">2025-01-13T19:43:00Z</dcterms:created>
  <dcterms:modified xsi:type="dcterms:W3CDTF">2025-01-14T22:28:00Z</dcterms:modified>
</cp:coreProperties>
</file>