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202F" w:rsidRDefault="00D7202F" w:rsidP="007D1189">
      <w:pPr>
        <w:jc w:val="center"/>
      </w:pPr>
      <w:r>
        <w:t>Fakulta filozofická Univerzity Pardubice</w:t>
      </w:r>
    </w:p>
    <w:p w:rsidR="00D7202F" w:rsidRDefault="006A6498" w:rsidP="005F086E">
      <w:pPr>
        <w:jc w:val="center"/>
      </w:pPr>
      <w:r>
        <w:t>Nikola</w:t>
      </w:r>
      <w:r w:rsidR="00D7202F">
        <w:t xml:space="preserve"> </w:t>
      </w:r>
      <w:r>
        <w:t>GREGROVÁ</w:t>
      </w:r>
    </w:p>
    <w:p w:rsidR="00D7202F" w:rsidRPr="005F086E" w:rsidRDefault="006A6498" w:rsidP="005F086E">
      <w:pPr>
        <w:jc w:val="center"/>
        <w:rPr>
          <w:b/>
        </w:rPr>
      </w:pPr>
      <w:r>
        <w:rPr>
          <w:b/>
        </w:rPr>
        <w:t>Městská a obecní heraldika Jihomoravského kraje</w:t>
      </w:r>
    </w:p>
    <w:p w:rsidR="00D7202F" w:rsidRDefault="003D5BF7" w:rsidP="005F086E">
      <w:pPr>
        <w:jc w:val="center"/>
      </w:pPr>
      <w:r>
        <w:t>Bakalářská práce, Pardubice 2015</w:t>
      </w:r>
      <w:r w:rsidR="00D7202F">
        <w:t xml:space="preserve">, </w:t>
      </w:r>
      <w:r w:rsidR="000F5F6A">
        <w:t>214</w:t>
      </w:r>
      <w:r w:rsidR="00D7202F">
        <w:t xml:space="preserve"> s. + přílohy</w:t>
      </w:r>
    </w:p>
    <w:p w:rsidR="00C36D6C" w:rsidRDefault="00C36D6C" w:rsidP="005F086E">
      <w:pPr>
        <w:jc w:val="center"/>
      </w:pPr>
      <w:r>
        <w:t>Vedoucí práce: PhDr. František Šebek</w:t>
      </w:r>
    </w:p>
    <w:p w:rsidR="00D7202F" w:rsidRPr="000F5F6A" w:rsidRDefault="00D7202F" w:rsidP="007D1189">
      <w:pPr>
        <w:jc w:val="center"/>
        <w:rPr>
          <w:b/>
        </w:rPr>
      </w:pPr>
      <w:r w:rsidRPr="000F5F6A">
        <w:rPr>
          <w:b/>
        </w:rPr>
        <w:t xml:space="preserve">Posudek </w:t>
      </w:r>
      <w:r w:rsidR="00C36D6C" w:rsidRPr="000F5F6A">
        <w:rPr>
          <w:b/>
        </w:rPr>
        <w:t>oponenta</w:t>
      </w:r>
    </w:p>
    <w:p w:rsidR="000F5F6A" w:rsidRDefault="000F5F6A" w:rsidP="00E76C75">
      <w:pPr>
        <w:spacing w:after="120"/>
        <w:ind w:firstLine="567"/>
        <w:jc w:val="both"/>
      </w:pPr>
    </w:p>
    <w:p w:rsidR="000F5F6A" w:rsidRDefault="000F5F6A" w:rsidP="00E76C75">
      <w:pPr>
        <w:spacing w:after="120"/>
        <w:ind w:firstLine="567"/>
        <w:jc w:val="both"/>
      </w:pPr>
    </w:p>
    <w:p w:rsidR="003B64F3" w:rsidRDefault="003B64F3" w:rsidP="00E76C75">
      <w:pPr>
        <w:spacing w:after="120"/>
        <w:ind w:firstLine="567"/>
        <w:jc w:val="both"/>
      </w:pPr>
      <w:r>
        <w:t>Předkládaná bakalářská práce Nikoly Gregrové představuje její druhou, opravenou verzi. Odkazuji proto na vyznění svého prvního posudku a dále primárně vycházím z výhrad, které jsem v něm formuloval.</w:t>
      </w:r>
    </w:p>
    <w:p w:rsidR="00FD1B78" w:rsidRDefault="00626090" w:rsidP="00E76C75">
      <w:pPr>
        <w:spacing w:after="120"/>
        <w:ind w:firstLine="567"/>
        <w:jc w:val="both"/>
      </w:pPr>
      <w:r>
        <w:t xml:space="preserve">Je zřejmé, že k určitým, byť spíše parciálním změnám </w:t>
      </w:r>
      <w:r w:rsidR="00F223E6">
        <w:t xml:space="preserve">v nové verzi práce </w:t>
      </w:r>
      <w:r>
        <w:t xml:space="preserve">došlo. Patrné je to například na úvodu, který se snaží alespoň zmínit nejvíce užívanou literaturu a seznámit čtenáře se základním cílem práce (obojí v původní verzi absentovalo). </w:t>
      </w:r>
      <w:r w:rsidR="00FD1B78">
        <w:t>Zcela nově přibyla nepříliš obsáhlá kapitola 3 (s. 6-10), která se snaží alespoň tím nejzákladnějším statisticko-deskriptivním způsobem schematicky kategorizovat městské a obecní znaky regionu – je to zřejmě odpověď na předešlou kritiku vytýkající autorce, že se zjištěnými daty nijak nepracuje. Předělaný závěr se snaží tato nově přidaná čísla reflektovat a shrnout.</w:t>
      </w:r>
    </w:p>
    <w:p w:rsidR="00626090" w:rsidRDefault="002C2EE3" w:rsidP="00E76C75">
      <w:pPr>
        <w:spacing w:after="120"/>
        <w:ind w:firstLine="567"/>
        <w:jc w:val="both"/>
      </w:pPr>
      <w:r>
        <w:t>Nedostatečnost však musím nadále konstatovat u kapitoly 2  - Heraldika. Rozšíření kapitoly o zřejmě nahodile vybraný výčet základních pravidel (</w:t>
      </w:r>
      <w:r w:rsidR="00B618F3">
        <w:t>není jasn</w:t>
      </w:r>
      <w:r>
        <w:t>é čeho - blasonu? Tvorby znaků?)</w:t>
      </w:r>
      <w:r w:rsidR="00B618F3">
        <w:t xml:space="preserve"> působí neústrojně a samoúčelně, navíc bez odpovídajícícho zakotvení ve zdrojích. Část nově přidaných pasáží je logicky nesmyslná, patrně vinou nějakého krácení a následné nedostatečné pozornosti při korektuře textu, takže po informaci, jež připravuje čtenáře na dělení heraldických tinktur (</w:t>
      </w:r>
      <w:r w:rsidR="00B618F3" w:rsidRPr="00B618F3">
        <w:rPr>
          <w:i/>
        </w:rPr>
        <w:t xml:space="preserve">„Podle něho </w:t>
      </w:r>
      <w:r w:rsidR="00B618F3">
        <w:t xml:space="preserve">[S. P. Sancta – pozn. V. P.] </w:t>
      </w:r>
      <w:r w:rsidR="00B618F3" w:rsidRPr="00B618F3">
        <w:rPr>
          <w:i/>
        </w:rPr>
        <w:t>se jednotlivé kov</w:t>
      </w:r>
      <w:r w:rsidR="00B618F3">
        <w:rPr>
          <w:i/>
        </w:rPr>
        <w:t>y, barvy a kožešiny vyznačují t</w:t>
      </w:r>
      <w:r w:rsidR="00B618F3" w:rsidRPr="00B618F3">
        <w:rPr>
          <w:i/>
        </w:rPr>
        <w:t>akto:“</w:t>
      </w:r>
      <w:r w:rsidR="00B618F3">
        <w:t xml:space="preserve">) dostaneme sumář několika málo informací o tvarech štítu a dělení heraldických figur (s. 4-5). </w:t>
      </w:r>
      <w:r w:rsidR="00FD1B78">
        <w:t xml:space="preserve">Podkapitola 2.2. Rozmach komunálních symbolů pak obsahově </w:t>
      </w:r>
      <w:r w:rsidR="001C30D8">
        <w:t xml:space="preserve">vůbec </w:t>
      </w:r>
      <w:r w:rsidR="00FD1B78">
        <w:t>nenabízí to, co slibuje její název. Celou t</w:t>
      </w:r>
      <w:r w:rsidR="00B618F3">
        <w:t>uto kapitolu musím i n</w:t>
      </w:r>
      <w:r w:rsidR="00FD1B78">
        <w:t>adále považovat za nedostatečně promyšlenou</w:t>
      </w:r>
      <w:r w:rsidR="00B618F3">
        <w:t>, zkratkovitou a povrchní</w:t>
      </w:r>
      <w:r w:rsidR="00FD1B78">
        <w:t xml:space="preserve">. Práce je zatížena i některými gramatickými opomenutími (kapitola 3 se jmenuje </w:t>
      </w:r>
      <w:r w:rsidR="00FD1B78" w:rsidRPr="00E81CA2">
        <w:rPr>
          <w:i/>
        </w:rPr>
        <w:t>„Charakteristika jihomoravské kraje“</w:t>
      </w:r>
      <w:r w:rsidR="00FD1B78">
        <w:t>, „</w:t>
      </w:r>
      <w:r w:rsidR="00FD1B78" w:rsidRPr="00E81CA2">
        <w:rPr>
          <w:i/>
        </w:rPr>
        <w:t>Prostor k rozvoji na</w:t>
      </w:r>
      <w:r w:rsidR="00E81CA2" w:rsidRPr="00E81CA2">
        <w:rPr>
          <w:i/>
        </w:rPr>
        <w:t>bídlo lenní zřízení, spočívajícím v závislosti…“</w:t>
      </w:r>
      <w:r w:rsidR="00E81CA2">
        <w:t xml:space="preserve"> – s. 3) a neobratnými větnými formulacemi.</w:t>
      </w:r>
    </w:p>
    <w:p w:rsidR="00E81CA2" w:rsidRDefault="00E81CA2" w:rsidP="00E81CA2">
      <w:pPr>
        <w:spacing w:after="120"/>
        <w:ind w:firstLine="567"/>
        <w:jc w:val="both"/>
      </w:pPr>
      <w:r>
        <w:t>Jádrem práce zůstává obsáhlý abecedně řazený soupis měst a obcí Jihomoravského kraje. Každé heslo je doplněno statistickými a evidenčními údaji, popisem erbu a několika miniaturními, spíše nahodile</w:t>
      </w:r>
      <w:r w:rsidR="001C30D8">
        <w:t xml:space="preserve"> vybranými infor</w:t>
      </w:r>
      <w:r>
        <w:t>m</w:t>
      </w:r>
      <w:r w:rsidR="001C30D8">
        <w:t>a</w:t>
      </w:r>
      <w:r>
        <w:t xml:space="preserve">cemi k historii místa. Změny, které se v této </w:t>
      </w:r>
      <w:r w:rsidR="001C30D8">
        <w:t>části udály, jsou pod</w:t>
      </w:r>
      <w:r>
        <w:t>l</w:t>
      </w:r>
      <w:r w:rsidR="001C30D8">
        <w:t>e</w:t>
      </w:r>
      <w:r>
        <w:t xml:space="preserve"> mého názoru spíše kosmetické. Nejviditelnější úprava spočívá v tom, že došlo k nahrazení internetových zdrojů odkazy na místopisnou literaturu, v prvé řadě na Hosákovo kompendium. Jedna z mých podstatných výtek tak nadále trvá – práce je značně disproporční. Vlastní autorský text počítáme jen na 11 stran, vše ostatní je</w:t>
      </w:r>
      <w:r w:rsidR="001C30D8">
        <w:t xml:space="preserve"> soupisový katalog se znančně ne</w:t>
      </w:r>
      <w:r>
        <w:t>vorovnanými informacemi k jednotlivým lokalitám.</w:t>
      </w:r>
    </w:p>
    <w:p w:rsidR="00E81CA2" w:rsidRDefault="001C30D8" w:rsidP="00E81CA2">
      <w:pPr>
        <w:spacing w:after="120"/>
        <w:ind w:firstLine="567"/>
        <w:jc w:val="both"/>
      </w:pPr>
      <w:r>
        <w:t>Je zřejmé, že práce Nikoly Gre</w:t>
      </w:r>
      <w:r w:rsidR="00E81CA2">
        <w:t xml:space="preserve">grové doznala </w:t>
      </w:r>
      <w:r>
        <w:t xml:space="preserve">od minula </w:t>
      </w:r>
      <w:r w:rsidR="00E81CA2">
        <w:t xml:space="preserve">některých změn, kterými se autorka snažila reagovat na předchozí výtky. Můžeme diskutovat o tom, do jaké míry text posouvají dále ve smyslu samostatného vědeckého výkonu a do jaké míry zůstávají na povrchu dle </w:t>
      </w:r>
      <w:r>
        <w:t>průpo</w:t>
      </w:r>
      <w:bookmarkStart w:id="0" w:name="_GoBack"/>
      <w:bookmarkEnd w:id="0"/>
      <w:r>
        <w:t>vídky</w:t>
      </w:r>
      <w:r w:rsidR="00E81CA2">
        <w:t xml:space="preserve"> a </w:t>
      </w:r>
      <w:r w:rsidR="00E81CA2">
        <w:lastRenderedPageBreak/>
        <w:t xml:space="preserve">nasyceném vlku a koze. </w:t>
      </w:r>
      <w:r>
        <w:t xml:space="preserve">Určitý, byť dle mého názoru spíše menší posun je však v bakalářské práci znát, i když jsem nadále přesvědčen o tom, že dané téma by bylo možné vytěžit mnohem podstatněji a promyšleněji. Přesto však bakalářskou práci Nikoly Gregrové v této pozměněné podobě již doporučuji k obhajobě a navrhuji hodnotit stupněm </w:t>
      </w:r>
      <w:r w:rsidRPr="001C30D8">
        <w:rPr>
          <w:b/>
        </w:rPr>
        <w:t>ještě dobře</w:t>
      </w:r>
      <w:r>
        <w:t>.</w:t>
      </w:r>
    </w:p>
    <w:p w:rsidR="003B64F3" w:rsidRDefault="003B64F3" w:rsidP="00E76C75">
      <w:pPr>
        <w:spacing w:after="120"/>
        <w:ind w:firstLine="567"/>
        <w:jc w:val="both"/>
      </w:pPr>
    </w:p>
    <w:p w:rsidR="003B64F3" w:rsidRDefault="003B64F3" w:rsidP="00E76C75">
      <w:pPr>
        <w:spacing w:after="120"/>
        <w:ind w:firstLine="567"/>
        <w:jc w:val="both"/>
      </w:pPr>
    </w:p>
    <w:p w:rsidR="007D1189" w:rsidRDefault="007D1189" w:rsidP="00E76C75">
      <w:pPr>
        <w:spacing w:after="120"/>
        <w:ind w:firstLine="567"/>
        <w:jc w:val="both"/>
      </w:pPr>
      <w:r>
        <w:t>V Olomouci, 1</w:t>
      </w:r>
      <w:r w:rsidR="001C30D8">
        <w:t>6. 5. 2015</w:t>
      </w:r>
      <w:r>
        <w:tab/>
      </w:r>
      <w:r>
        <w:tab/>
      </w:r>
      <w:r>
        <w:tab/>
      </w:r>
      <w:r>
        <w:tab/>
      </w:r>
      <w:r>
        <w:tab/>
      </w:r>
      <w:r>
        <w:tab/>
        <w:t>PhDr. Vítězslav Prchal, Ph.D.</w:t>
      </w:r>
    </w:p>
    <w:sectPr w:rsidR="007D1189" w:rsidSect="00AB56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1B042E"/>
    <w:multiLevelType w:val="hybridMultilevel"/>
    <w:tmpl w:val="F79EFE94"/>
    <w:lvl w:ilvl="0" w:tplc="D1B0DA9A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86E"/>
    <w:rsid w:val="00097719"/>
    <w:rsid w:val="000E1806"/>
    <w:rsid w:val="000F31DB"/>
    <w:rsid w:val="000F5F6A"/>
    <w:rsid w:val="00100F03"/>
    <w:rsid w:val="0014329B"/>
    <w:rsid w:val="00181614"/>
    <w:rsid w:val="001A1CB3"/>
    <w:rsid w:val="001B7F2B"/>
    <w:rsid w:val="001C2BF2"/>
    <w:rsid w:val="001C30D8"/>
    <w:rsid w:val="001C414B"/>
    <w:rsid w:val="00204359"/>
    <w:rsid w:val="002327C7"/>
    <w:rsid w:val="002419ED"/>
    <w:rsid w:val="00241E85"/>
    <w:rsid w:val="002528F7"/>
    <w:rsid w:val="002B380A"/>
    <w:rsid w:val="002C2B6F"/>
    <w:rsid w:val="002C2EE3"/>
    <w:rsid w:val="002C72D4"/>
    <w:rsid w:val="00310751"/>
    <w:rsid w:val="00322688"/>
    <w:rsid w:val="00332183"/>
    <w:rsid w:val="00387B71"/>
    <w:rsid w:val="00393B22"/>
    <w:rsid w:val="003B64F3"/>
    <w:rsid w:val="003D1ADE"/>
    <w:rsid w:val="003D4B02"/>
    <w:rsid w:val="003D5BF7"/>
    <w:rsid w:val="003F5339"/>
    <w:rsid w:val="00410034"/>
    <w:rsid w:val="00424341"/>
    <w:rsid w:val="0042463C"/>
    <w:rsid w:val="004431E1"/>
    <w:rsid w:val="00464782"/>
    <w:rsid w:val="004720A6"/>
    <w:rsid w:val="004D2C1E"/>
    <w:rsid w:val="004D7BBA"/>
    <w:rsid w:val="0050135F"/>
    <w:rsid w:val="00531610"/>
    <w:rsid w:val="00542CAA"/>
    <w:rsid w:val="005868F8"/>
    <w:rsid w:val="005912D1"/>
    <w:rsid w:val="00595BEB"/>
    <w:rsid w:val="005A7E43"/>
    <w:rsid w:val="005C3EFF"/>
    <w:rsid w:val="005F086E"/>
    <w:rsid w:val="006047B6"/>
    <w:rsid w:val="00626090"/>
    <w:rsid w:val="00647ADC"/>
    <w:rsid w:val="0065745C"/>
    <w:rsid w:val="006629A5"/>
    <w:rsid w:val="00674E30"/>
    <w:rsid w:val="0067723B"/>
    <w:rsid w:val="00690B3F"/>
    <w:rsid w:val="00693D67"/>
    <w:rsid w:val="006A6498"/>
    <w:rsid w:val="006C28E8"/>
    <w:rsid w:val="006E4D72"/>
    <w:rsid w:val="0073289C"/>
    <w:rsid w:val="007A3E03"/>
    <w:rsid w:val="007B78B4"/>
    <w:rsid w:val="007C01D1"/>
    <w:rsid w:val="007C0A5F"/>
    <w:rsid w:val="007D1189"/>
    <w:rsid w:val="007E7539"/>
    <w:rsid w:val="00825F1D"/>
    <w:rsid w:val="008D4548"/>
    <w:rsid w:val="009A1650"/>
    <w:rsid w:val="009C1140"/>
    <w:rsid w:val="009C2B41"/>
    <w:rsid w:val="009C495E"/>
    <w:rsid w:val="009F1A72"/>
    <w:rsid w:val="00A138DD"/>
    <w:rsid w:val="00A7144E"/>
    <w:rsid w:val="00AB5637"/>
    <w:rsid w:val="00AC56CC"/>
    <w:rsid w:val="00B02822"/>
    <w:rsid w:val="00B24F49"/>
    <w:rsid w:val="00B618F3"/>
    <w:rsid w:val="00B92700"/>
    <w:rsid w:val="00BC200C"/>
    <w:rsid w:val="00BC3D0A"/>
    <w:rsid w:val="00BC4000"/>
    <w:rsid w:val="00BE667F"/>
    <w:rsid w:val="00C22BBD"/>
    <w:rsid w:val="00C33F9F"/>
    <w:rsid w:val="00C36D6C"/>
    <w:rsid w:val="00C370B8"/>
    <w:rsid w:val="00C51A17"/>
    <w:rsid w:val="00C52209"/>
    <w:rsid w:val="00C57027"/>
    <w:rsid w:val="00CD16CC"/>
    <w:rsid w:val="00CD3E31"/>
    <w:rsid w:val="00CE0B35"/>
    <w:rsid w:val="00CE5157"/>
    <w:rsid w:val="00CF031A"/>
    <w:rsid w:val="00D000AB"/>
    <w:rsid w:val="00D25AB6"/>
    <w:rsid w:val="00D4413C"/>
    <w:rsid w:val="00D7202F"/>
    <w:rsid w:val="00D9125C"/>
    <w:rsid w:val="00DC4D2A"/>
    <w:rsid w:val="00DC6922"/>
    <w:rsid w:val="00DD62A4"/>
    <w:rsid w:val="00E03176"/>
    <w:rsid w:val="00E53AA8"/>
    <w:rsid w:val="00E76C75"/>
    <w:rsid w:val="00E77053"/>
    <w:rsid w:val="00E775B7"/>
    <w:rsid w:val="00E81CA2"/>
    <w:rsid w:val="00ED1013"/>
    <w:rsid w:val="00F037E1"/>
    <w:rsid w:val="00F223E6"/>
    <w:rsid w:val="00F5168F"/>
    <w:rsid w:val="00FA52A3"/>
    <w:rsid w:val="00FD1B78"/>
    <w:rsid w:val="00FD7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889C5F0-1581-4A6B-AD7C-9F7E7846F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B5637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6629A5"/>
    <w:pPr>
      <w:ind w:left="720"/>
      <w:contextualSpacing/>
    </w:pPr>
  </w:style>
  <w:style w:type="character" w:styleId="Hypertextovodkaz">
    <w:name w:val="Hyperlink"/>
    <w:uiPriority w:val="99"/>
    <w:rsid w:val="00647AD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2</Pages>
  <Words>506</Words>
  <Characters>2991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Vítězslav</dc:creator>
  <cp:lastModifiedBy>Prchal Vitezslav</cp:lastModifiedBy>
  <cp:revision>7</cp:revision>
  <cp:lastPrinted>2013-01-21T20:13:00Z</cp:lastPrinted>
  <dcterms:created xsi:type="dcterms:W3CDTF">2015-05-17T08:32:00Z</dcterms:created>
  <dcterms:modified xsi:type="dcterms:W3CDTF">2015-05-17T11:56:00Z</dcterms:modified>
</cp:coreProperties>
</file>