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9C7020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u w:val="single"/>
          <w:lang w:eastAsia="cs-CZ"/>
        </w:rPr>
      </w:pPr>
      <w:r w:rsidRPr="00E55EFE">
        <w:rPr>
          <w:rFonts w:ascii="Times New Roman" w:eastAsia="Times New Roman" w:hAnsi="Times New Roman" w:cs="Times New Roman"/>
          <w:sz w:val="28"/>
          <w:szCs w:val="28"/>
          <w:lang w:eastAsia="cs-CZ"/>
        </w:rPr>
        <w:t>UNIVERZITA PARDUBICE</w:t>
      </w:r>
      <w:r w:rsidRPr="00E55EFE">
        <w:rPr>
          <w:rFonts w:ascii="Times New Roman" w:eastAsia="Times New Roman" w:hAnsi="Times New Roman" w:cs="Times New Roman"/>
          <w:sz w:val="28"/>
          <w:szCs w:val="28"/>
          <w:u w:val="single"/>
          <w:lang w:eastAsia="cs-CZ"/>
        </w:rPr>
        <w:t> </w:t>
      </w:r>
    </w:p>
    <w:p w14:paraId="0786564B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u w:val="single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Fakulta filozofická</w:t>
      </w:r>
      <w:r w:rsidRPr="00E55EFE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 </w:t>
      </w:r>
    </w:p>
    <w:p w14:paraId="47A9267B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Katedra anglistiky a amerikanistiky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3F360F1B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32"/>
          <w:szCs w:val="32"/>
          <w:lang w:eastAsia="cs-CZ"/>
        </w:rPr>
        <w:t> </w:t>
      </w:r>
    </w:p>
    <w:p w14:paraId="17EE5128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32"/>
          <w:szCs w:val="32"/>
          <w:lang w:eastAsia="cs-CZ"/>
        </w:rPr>
        <w:t>Posudek oponenta bakalářské práce</w:t>
      </w:r>
      <w:r w:rsidRPr="00E55EFE">
        <w:rPr>
          <w:rFonts w:ascii="Times New Roman" w:eastAsia="Times New Roman" w:hAnsi="Times New Roman" w:cs="Times New Roman"/>
          <w:sz w:val="32"/>
          <w:szCs w:val="32"/>
          <w:lang w:eastAsia="cs-CZ"/>
        </w:rPr>
        <w:t> </w:t>
      </w:r>
    </w:p>
    <w:p w14:paraId="2CAC36E9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32"/>
          <w:szCs w:val="32"/>
          <w:lang w:eastAsia="cs-CZ"/>
        </w:rPr>
        <w:t>(Literárně-kulturní)</w:t>
      </w:r>
      <w:r w:rsidRPr="00E55EFE">
        <w:rPr>
          <w:rFonts w:ascii="Times New Roman" w:eastAsia="Times New Roman" w:hAnsi="Times New Roman" w:cs="Times New Roman"/>
          <w:sz w:val="32"/>
          <w:szCs w:val="32"/>
          <w:lang w:eastAsia="cs-CZ"/>
        </w:rPr>
        <w:t> </w:t>
      </w:r>
    </w:p>
    <w:p w14:paraId="65C35824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12195292" w14:textId="21D5722A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Autor práce: 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Iva Faltová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70815752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Studijní obor: 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Anglický jazyk pro odbornou praxi </w:t>
      </w:r>
    </w:p>
    <w:p w14:paraId="2CFFCC0B" w14:textId="0A9CE6C9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Název práce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: </w:t>
      </w:r>
      <w:r w:rsidRPr="00E55EFE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British Working Class in the Context of Deindustrialization in the Works of Pat Barker</w:t>
      </w:r>
    </w:p>
    <w:p w14:paraId="6C438129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Akademický rok: 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2019/20 </w:t>
      </w:r>
    </w:p>
    <w:p w14:paraId="74BEE073" w14:textId="383203B2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Vedoucí práce: 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Mgr. Olga Roebuck, Ph.D., M. Litt.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59B5A4F8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Oponent práce: 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Mgr. Petra Kohlová </w:t>
      </w:r>
    </w:p>
    <w:p w14:paraId="2886AE6A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tbl>
      <w:tblPr>
        <w:tblW w:w="0" w:type="dxa"/>
        <w:tblInd w:w="-6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1"/>
        <w:gridCol w:w="5954"/>
        <w:gridCol w:w="1626"/>
      </w:tblGrid>
      <w:tr w:rsidR="00E55EFE" w:rsidRPr="00E55EFE" w14:paraId="7F33E484" w14:textId="77777777" w:rsidTr="2BE2F8DD">
        <w:tc>
          <w:tcPr>
            <w:tcW w:w="9240" w:type="dxa"/>
            <w:gridSpan w:val="2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1DDD6B3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cs-CZ"/>
              </w:rPr>
              <w:t>Kritéria  hodnocení </w:t>
            </w:r>
            <w:r w:rsidRPr="00E55EFE"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  <w:t> </w:t>
            </w:r>
          </w:p>
        </w:tc>
        <w:tc>
          <w:tcPr>
            <w:tcW w:w="1755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468261BA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Hodnocení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  <w:p w14:paraId="12EBE81A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A-B-C–D-E-F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</w:tr>
      <w:tr w:rsidR="00E55EFE" w:rsidRPr="00E55EFE" w14:paraId="1FBDAB68" w14:textId="77777777" w:rsidTr="2BE2F8DD">
        <w:trPr>
          <w:trHeight w:val="390"/>
        </w:trPr>
        <w:tc>
          <w:tcPr>
            <w:tcW w:w="2160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04D28934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Všeobecná charakteristika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  <w:p w14:paraId="1BE63D13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AC1C9AE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Splnění zásad zpracování práce a naplnění stanoveného cíle 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276318DD" w14:textId="7D078744" w:rsidR="00E55EFE" w:rsidRPr="00E55EFE" w:rsidRDefault="000F336C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D</w:t>
            </w:r>
          </w:p>
        </w:tc>
      </w:tr>
      <w:tr w:rsidR="00E55EFE" w:rsidRPr="00E55EFE" w14:paraId="4E78F893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4A657572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5766E3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Logická struktura práce </w:t>
            </w:r>
          </w:p>
        </w:tc>
        <w:tc>
          <w:tcPr>
            <w:tcW w:w="0" w:type="auto"/>
            <w:vMerge/>
            <w:vAlign w:val="center"/>
            <w:hideMark/>
          </w:tcPr>
          <w:p w14:paraId="0112EF74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754A448E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11E50B87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AF7FD1B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Vyváženost teoretického úvodu a analytické části </w:t>
            </w:r>
          </w:p>
        </w:tc>
        <w:tc>
          <w:tcPr>
            <w:tcW w:w="0" w:type="auto"/>
            <w:vMerge/>
            <w:vAlign w:val="center"/>
            <w:hideMark/>
          </w:tcPr>
          <w:p w14:paraId="36B5BE17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1ECF3466" w14:textId="77777777" w:rsidTr="2BE2F8DD">
        <w:trPr>
          <w:trHeight w:val="390"/>
        </w:trPr>
        <w:tc>
          <w:tcPr>
            <w:tcW w:w="2160" w:type="dxa"/>
            <w:vMerge w:val="restar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3D34F160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Obecná část 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  <w:p w14:paraId="331CB808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(teoretický úvod)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6FCCE1AC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Kvalita uvedení do širšího kontextu 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21FA6A5D" w14:textId="54055393" w:rsidR="00E55EFE" w:rsidRPr="00E55EFE" w:rsidRDefault="00630AF5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D</w:t>
            </w:r>
          </w:p>
        </w:tc>
      </w:tr>
      <w:tr w:rsidR="00E55EFE" w:rsidRPr="00E55EFE" w14:paraId="6C399FEF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0E19F2E4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87D365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Tematická relevance teoretického úvodu k cíli práce </w:t>
            </w:r>
          </w:p>
        </w:tc>
        <w:tc>
          <w:tcPr>
            <w:tcW w:w="0" w:type="auto"/>
            <w:vMerge/>
            <w:vAlign w:val="center"/>
            <w:hideMark/>
          </w:tcPr>
          <w:p w14:paraId="39C596DE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605CEE97" w14:textId="77777777" w:rsidTr="2BE2F8DD">
        <w:trPr>
          <w:trHeight w:val="390"/>
        </w:trPr>
        <w:tc>
          <w:tcPr>
            <w:tcW w:w="2160" w:type="dxa"/>
            <w:vMerge w:val="restar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79B97321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Analytická část 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A82BAFD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Vhodnost využití primárních zdrojů pro podporu/ilustraci argumentace 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44C5B71" w14:textId="7A5D4482" w:rsidR="00E55EFE" w:rsidRPr="00E55EFE" w:rsidRDefault="00630AF5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E</w:t>
            </w:r>
          </w:p>
        </w:tc>
      </w:tr>
      <w:tr w:rsidR="00E55EFE" w:rsidRPr="00E55EFE" w14:paraId="4DDC34A5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683A1050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690B7C3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Rozsah a hloubka vlastní analýzy </w:t>
            </w:r>
          </w:p>
        </w:tc>
        <w:tc>
          <w:tcPr>
            <w:tcW w:w="0" w:type="auto"/>
            <w:vMerge/>
            <w:vAlign w:val="center"/>
            <w:hideMark/>
          </w:tcPr>
          <w:p w14:paraId="48E6807E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5ECEE78E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13DC73BD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0B50CC51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 a interpretace  </w:t>
            </w:r>
          </w:p>
        </w:tc>
        <w:tc>
          <w:tcPr>
            <w:tcW w:w="0" w:type="auto"/>
            <w:vMerge/>
            <w:vAlign w:val="center"/>
            <w:hideMark/>
          </w:tcPr>
          <w:p w14:paraId="35BAEACF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1AAE3EF8" w14:textId="77777777" w:rsidTr="2BE2F8DD">
        <w:trPr>
          <w:trHeight w:val="390"/>
        </w:trPr>
        <w:tc>
          <w:tcPr>
            <w:tcW w:w="2160" w:type="dxa"/>
            <w:vMerge w:val="restar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4296230E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Práce s odbornou literaturou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14CB9C37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Kvalita, množství a relevance zpracované literatury 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234B26F" w14:textId="3001EE13" w:rsidR="00E55EFE" w:rsidRPr="00E55EFE" w:rsidRDefault="00CA064E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E</w:t>
            </w:r>
          </w:p>
        </w:tc>
      </w:tr>
      <w:tr w:rsidR="00E55EFE" w:rsidRPr="00E55EFE" w14:paraId="5612D420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29B26020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B1E6FA9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Kritický přístup ke zdrojům </w:t>
            </w:r>
          </w:p>
        </w:tc>
        <w:tc>
          <w:tcPr>
            <w:tcW w:w="0" w:type="auto"/>
            <w:vMerge/>
            <w:vAlign w:val="center"/>
            <w:hideMark/>
          </w:tcPr>
          <w:p w14:paraId="19AE7D8A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007B53ED" w14:textId="77777777" w:rsidTr="2BE2F8DD">
        <w:trPr>
          <w:trHeight w:val="390"/>
        </w:trPr>
        <w:tc>
          <w:tcPr>
            <w:tcW w:w="2160" w:type="dxa"/>
            <w:vMerge w:val="restar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2B60A3EC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Formální stránka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57D5579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Dodržení doporučených pravidel a norem formální úpravy (směrnice FF UPa, požadavky KAA) 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2444DA66" w14:textId="424E8CD4" w:rsidR="00E55EFE" w:rsidRPr="00E55EFE" w:rsidRDefault="00CA064E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D</w:t>
            </w:r>
          </w:p>
        </w:tc>
      </w:tr>
      <w:tr w:rsidR="00E55EFE" w:rsidRPr="00E55EFE" w14:paraId="56DB0D1E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164F488C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A9EE518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Kvalita vědeckého aparátu (případně příloh, tabulek a obrázků) </w:t>
            </w:r>
          </w:p>
        </w:tc>
        <w:tc>
          <w:tcPr>
            <w:tcW w:w="0" w:type="auto"/>
            <w:vMerge/>
            <w:vAlign w:val="center"/>
            <w:hideMark/>
          </w:tcPr>
          <w:p w14:paraId="3CC7C4F0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40641644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2C932140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236F5690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Dodržení bibliografické normy </w:t>
            </w:r>
          </w:p>
        </w:tc>
        <w:tc>
          <w:tcPr>
            <w:tcW w:w="0" w:type="auto"/>
            <w:vMerge/>
            <w:vAlign w:val="center"/>
            <w:hideMark/>
          </w:tcPr>
          <w:p w14:paraId="0158A2A4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21BC1144" w14:textId="77777777" w:rsidTr="2BE2F8DD">
        <w:trPr>
          <w:trHeight w:val="390"/>
        </w:trPr>
        <w:tc>
          <w:tcPr>
            <w:tcW w:w="2160" w:type="dxa"/>
            <w:vMerge w:val="restart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AB6FA61" w14:textId="77777777" w:rsidR="00E55EFE" w:rsidRPr="00E55EFE" w:rsidRDefault="00E55EFE" w:rsidP="00E55EFE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Jazyková úroveň </w:t>
            </w: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8B05213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Gramatická přesnost a komplexnost </w:t>
            </w:r>
          </w:p>
        </w:tc>
        <w:tc>
          <w:tcPr>
            <w:tcW w:w="175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5F497FE3" w14:textId="5698696D" w:rsidR="00E55EFE" w:rsidRPr="00E55EFE" w:rsidRDefault="00CA064E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B</w:t>
            </w:r>
          </w:p>
        </w:tc>
      </w:tr>
      <w:tr w:rsidR="00E55EFE" w:rsidRPr="00E55EFE" w14:paraId="73EAF2F9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46EF2376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5F3043D3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Slovní zásoba </w:t>
            </w:r>
          </w:p>
        </w:tc>
        <w:tc>
          <w:tcPr>
            <w:tcW w:w="0" w:type="auto"/>
            <w:vMerge/>
            <w:vAlign w:val="center"/>
            <w:hideMark/>
          </w:tcPr>
          <w:p w14:paraId="59A6ED50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60110375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17781D4A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760869D6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Koheze a koherence </w:t>
            </w:r>
          </w:p>
        </w:tc>
        <w:tc>
          <w:tcPr>
            <w:tcW w:w="0" w:type="auto"/>
            <w:vMerge/>
            <w:vAlign w:val="center"/>
            <w:hideMark/>
          </w:tcPr>
          <w:p w14:paraId="3BD11B4C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55EFE" w:rsidRPr="00E55EFE" w14:paraId="5EBCC94E" w14:textId="77777777" w:rsidTr="2BE2F8DD">
        <w:trPr>
          <w:trHeight w:val="390"/>
        </w:trPr>
        <w:tc>
          <w:tcPr>
            <w:tcW w:w="0" w:type="auto"/>
            <w:vMerge/>
            <w:vAlign w:val="center"/>
            <w:hideMark/>
          </w:tcPr>
          <w:p w14:paraId="07BE78F9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hideMark/>
          </w:tcPr>
          <w:p w14:paraId="3133974A" w14:textId="77777777" w:rsidR="00E55EFE" w:rsidRPr="00E55EFE" w:rsidRDefault="00E55EFE" w:rsidP="00E55EFE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lang w:eastAsia="cs-CZ"/>
              </w:rPr>
              <w:t>Interpunkce a stylistické aspekty </w:t>
            </w:r>
          </w:p>
        </w:tc>
        <w:tc>
          <w:tcPr>
            <w:tcW w:w="0" w:type="auto"/>
            <w:vMerge/>
            <w:vAlign w:val="center"/>
            <w:hideMark/>
          </w:tcPr>
          <w:p w14:paraId="233FB984" w14:textId="77777777" w:rsidR="00E55EFE" w:rsidRPr="00E55EFE" w:rsidRDefault="00E55EFE" w:rsidP="00E55EF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</w:tbl>
    <w:p w14:paraId="063E93A1" w14:textId="77777777" w:rsid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color w:val="666666"/>
          <w:sz w:val="18"/>
          <w:szCs w:val="18"/>
          <w:shd w:val="clear" w:color="auto" w:fill="FFFFFF"/>
          <w:lang w:eastAsia="cs-CZ"/>
        </w:rPr>
      </w:pPr>
    </w:p>
    <w:p w14:paraId="37D74D05" w14:textId="77777777" w:rsidR="00E55EFE" w:rsidRDefault="00E55EFE">
      <w:pPr>
        <w:rPr>
          <w:rFonts w:ascii="Segoe UI" w:eastAsia="Times New Roman" w:hAnsi="Segoe UI" w:cs="Segoe UI"/>
          <w:color w:val="666666"/>
          <w:sz w:val="18"/>
          <w:szCs w:val="18"/>
          <w:shd w:val="clear" w:color="auto" w:fill="FFFFFF"/>
          <w:lang w:eastAsia="cs-CZ"/>
        </w:rPr>
      </w:pPr>
      <w:r>
        <w:rPr>
          <w:rFonts w:ascii="Segoe UI" w:eastAsia="Times New Roman" w:hAnsi="Segoe UI" w:cs="Segoe UI"/>
          <w:color w:val="666666"/>
          <w:sz w:val="18"/>
          <w:szCs w:val="18"/>
          <w:shd w:val="clear" w:color="auto" w:fill="FFFFFF"/>
          <w:lang w:eastAsia="cs-CZ"/>
        </w:rPr>
        <w:br w:type="page"/>
      </w:r>
    </w:p>
    <w:p w14:paraId="0B8392B3" w14:textId="29B24A40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Slovní vyjádření k hodnocení bakalářské práce:</w:t>
      </w: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519F9CF1" w14:textId="77777777" w:rsidR="00E55EFE" w:rsidRPr="00E55EFE" w:rsidRDefault="2BE2F8DD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57FE9CF4" w14:textId="11FC2E49" w:rsidR="2BE2F8DD" w:rsidRPr="000F336C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Bakalářská práce Ivy Faltové se zabývá zobrazením dělnické třídy během britské deindustrializace 70. a 80. let v románech Pat Barker, konkrétně </w:t>
      </w:r>
      <w:r w:rsidRPr="2BE2F8DD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Union Street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</w:t>
      </w:r>
      <w:r w:rsidRPr="2BE2F8DD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Blow Your House Down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 Práce je členěna dle historických či kulturních celků, dále dle literárního hlediska a poslední dvě kapitoly (4. a 5.) zahrnují historicko-kulturní rozbor románů. Co se týče historických fakt a kulturních specifik 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>obsahuje práce tolik informací, aby čtenář téma mohl pochopit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Rozhodně </w:t>
      </w:r>
      <w:r w:rsidR="00136FBD">
        <w:rPr>
          <w:rFonts w:ascii="Times New Roman" w:eastAsia="Times New Roman" w:hAnsi="Times New Roman" w:cs="Times New Roman"/>
          <w:sz w:val="24"/>
          <w:szCs w:val="24"/>
          <w:lang w:eastAsia="cs-CZ"/>
        </w:rPr>
        <w:t>by bylo ale vhodnější sáhnout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po akademických zdrojích, které by jistě obsahovaly více propracovaných informací. </w:t>
      </w:r>
      <w:r w:rsidR="00136FBD">
        <w:rPr>
          <w:rFonts w:ascii="Times New Roman" w:eastAsia="Times New Roman" w:hAnsi="Times New Roman" w:cs="Times New Roman"/>
          <w:sz w:val="24"/>
          <w:szCs w:val="24"/>
          <w:lang w:eastAsia="cs-CZ"/>
        </w:rPr>
        <w:t>Dále lze vytknout fakt</w:t>
      </w:r>
      <w:bookmarkStart w:id="0" w:name="_GoBack"/>
      <w:bookmarkEnd w:id="0"/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že většina definicí z teoretické části jsou čerpané z encyklopedie Britannica a již nejsou konfrontovány s žádnou jinou fundovanou publikací. </w:t>
      </w:r>
      <w:r w:rsidR="0007764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Pokud by byla Britannica použita sporadicky a další definice byly z monografií, hned by práce působila více propracovaně. 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Velmi negativně mne také překvapilo použití novin jako je </w:t>
      </w:r>
      <w:r w:rsidR="000F336C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The Sun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bulvární noviny se do tohoto tématu opravdu nehodí.</w:t>
      </w:r>
    </w:p>
    <w:p w14:paraId="2D9E7539" w14:textId="7B74AA75" w:rsidR="000F336C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Je škoda, že autorka nepřistoupila ke členění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práce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tak, že by již do kapitol o historii a kulturním vývoji zahrnovala analýzu samotných děl. Mohla by tak prakticky ihned sledovat a vysvětlovat vývoj v realitě a ve fiktivním světě a oba romány v určitém kontextu srovnávat. Stává se tedy, že autorka na str. 30 odkazuje na historická fakta zmíněná na str. 16 už jen útržkovitě a bez citací. Analýza děl proto působí povrchně. Toto umocňuje i fakt, že v celé práci jsou všehovšudy jen tři citace z primárních textů a zbytek je popis děje, který také není nijak ocitovaný, aby se čtenář případně mohl do románu sám podívat. U podkapitoly o stylu vyprávění se přímo vybízí argumentovat a ilustrovat za pomoci výňatků z vybraných děl.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Navíc takovéto členění do krátkých podkapitol je dost zbytečné.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49DC7F42" w14:textId="7F15B8CC" w:rsidR="2BE2F8DD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Argumentace za pomoci ukázek z děl se také hodila u velmi krátké části o LGBTQ+ komunitě v </w:t>
      </w:r>
      <w:r w:rsidRPr="2BE2F8DD">
        <w:rPr>
          <w:rFonts w:ascii="Times New Roman" w:eastAsia="Times New Roman" w:hAnsi="Times New Roman" w:cs="Times New Roman"/>
          <w:i/>
          <w:iCs/>
          <w:sz w:val="24"/>
          <w:szCs w:val="24"/>
          <w:lang w:eastAsia="cs-CZ"/>
        </w:rPr>
        <w:t>Blow Your House Down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. Autorka pouze zmiňuje, že hlavní lesbické postavy se rozhodly jejich sexualitu tajit (ani není důkladněji vysvětleno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>/ilustrováno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proč), což dle autorky </w:t>
      </w:r>
      <w:r w:rsidR="000F336C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práce 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znamená, že je kvůli jejich sexuální orientaci okolí nechce přijmout a značí to konzervativnost Británie 80. let. Není poskytnut žádný důkaz z románu o tom, jak přesně reagovaly </w:t>
      </w:r>
      <w:r w:rsidR="00077649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další </w:t>
      </w: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postavy na lesbický vztah, a proto je takovýto závěr dost neopodstatněný. </w:t>
      </w:r>
    </w:p>
    <w:p w14:paraId="4A008CF2" w14:textId="4DD67E8B" w:rsidR="2BE2F8DD" w:rsidRDefault="000F336C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celé práci navíc a</w:t>
      </w:r>
      <w:r w:rsidR="2BE2F8DD"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utorka své argumenty neopírá o žádný jiný fundovaný pohled a nekonfrontuje tak své výsledky.</w:t>
      </w:r>
      <w:r w:rsidR="00C431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Práce kolikrát působí jako převyprávěný děje s malým komentářem, nebo krátkou úvahou. Popisné pasáže ale převažují.</w:t>
      </w:r>
    </w:p>
    <w:p w14:paraId="4F8DC133" w14:textId="0D9D97D5" w:rsidR="2BE2F8DD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14:paraId="4A2CC44A" w14:textId="28915F26" w:rsidR="2BE2F8DD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Resumé je sice psáno kultivovaným jazykem, ale působí to spíše jako pouhý popis struktury práce, než aby obsahoval konkrétní informace (především u popisu kapitol s historií a kulturou).</w:t>
      </w:r>
    </w:p>
    <w:p w14:paraId="744D0E7C" w14:textId="288840F0" w:rsidR="2BE2F8DD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0FFB820" w14:textId="751F1F02" w:rsidR="2BE2F8DD" w:rsidRDefault="2BE2F8DD" w:rsidP="2BE2F8D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formální stránce autorka nedodržuje kurzívu u názvů primárních zdrojů v samotném textu práce. Z jazykového hlediska se autorka dopouští jen menších chyb, které nijak zásadně nebrání porozumění textu.  </w:t>
      </w:r>
    </w:p>
    <w:p w14:paraId="51BDB29B" w14:textId="426A0468" w:rsidR="00E55EFE" w:rsidRPr="00E55EFE" w:rsidRDefault="2BE2F8DD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2BE2F8DD">
        <w:rPr>
          <w:rFonts w:ascii="Times New Roman" w:eastAsia="Times New Roman" w:hAnsi="Times New Roman" w:cs="Times New Roman"/>
          <w:sz w:val="24"/>
          <w:szCs w:val="24"/>
          <w:lang w:eastAsia="cs-CZ"/>
        </w:rPr>
        <w:t>  </w:t>
      </w:r>
    </w:p>
    <w:tbl>
      <w:tblPr>
        <w:tblW w:w="902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55"/>
        <w:gridCol w:w="1971"/>
      </w:tblGrid>
      <w:tr w:rsidR="00E55EFE" w:rsidRPr="00E55EFE" w14:paraId="58AAABAE" w14:textId="77777777" w:rsidTr="00CA064E">
        <w:trPr>
          <w:trHeight w:val="840"/>
        </w:trPr>
        <w:tc>
          <w:tcPr>
            <w:tcW w:w="7055" w:type="dxa"/>
            <w:tcBorders>
              <w:top w:val="doub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A88CA7E" w14:textId="77777777" w:rsidR="00E55EFE" w:rsidRPr="00E55EFE" w:rsidRDefault="00E55EFE" w:rsidP="00E55E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cs-CZ"/>
              </w:rPr>
              <w:t>V ý s l e d n á   k l a s i f i k a c e*</w:t>
            </w:r>
            <w:r w:rsidRPr="00E55EFE">
              <w:rPr>
                <w:rFonts w:ascii="Times New Roman" w:eastAsia="Times New Roman" w:hAnsi="Times New Roman" w:cs="Times New Roman"/>
                <w:sz w:val="28"/>
                <w:szCs w:val="28"/>
                <w:lang w:eastAsia="cs-CZ"/>
              </w:rPr>
              <w:t> </w:t>
            </w:r>
          </w:p>
          <w:p w14:paraId="7CCD312A" w14:textId="77777777" w:rsidR="00E55EFE" w:rsidRPr="00E55EFE" w:rsidRDefault="00E55EFE" w:rsidP="00E55EFE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E55EFE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(možnosti klasifikace – A,B,C,D,E,F) </w:t>
            </w:r>
          </w:p>
        </w:tc>
        <w:tc>
          <w:tcPr>
            <w:tcW w:w="1971" w:type="dxa"/>
            <w:tcBorders>
              <w:top w:val="doub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  <w:shd w:val="clear" w:color="auto" w:fill="auto"/>
            <w:vAlign w:val="center"/>
            <w:hideMark/>
          </w:tcPr>
          <w:p w14:paraId="66E41FF3" w14:textId="6A3E02D9" w:rsidR="00E55EFE" w:rsidRPr="00E55EFE" w:rsidRDefault="000F336C" w:rsidP="2BE2F8DD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cs-CZ"/>
              </w:rPr>
              <w:t>D</w:t>
            </w:r>
          </w:p>
        </w:tc>
      </w:tr>
    </w:tbl>
    <w:p w14:paraId="26891C76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8"/>
          <w:szCs w:val="28"/>
          <w:lang w:eastAsia="cs-CZ"/>
        </w:rPr>
        <w:t> </w:t>
      </w:r>
    </w:p>
    <w:p w14:paraId="7515A412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5A443223" w14:textId="77777777" w:rsidR="00E55EFE" w:rsidRPr="00E55EFE" w:rsidRDefault="00E55EFE" w:rsidP="00E55EFE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Dne:16.6. 2020........................................................... </w:t>
      </w:r>
    </w:p>
    <w:p w14:paraId="05443C44" w14:textId="77777777" w:rsidR="00E55EFE" w:rsidRPr="00E55EFE" w:rsidRDefault="00E55EFE" w:rsidP="00E55EFE">
      <w:pPr>
        <w:spacing w:after="0" w:line="240" w:lineRule="auto"/>
        <w:ind w:firstLine="49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Podpis oponenta práce </w:t>
      </w:r>
    </w:p>
    <w:p w14:paraId="25C89E20" w14:textId="77777777" w:rsidR="00E55EFE" w:rsidRPr="00E55EFE" w:rsidRDefault="00E55EFE" w:rsidP="00E55EFE">
      <w:pPr>
        <w:spacing w:after="0" w:line="240" w:lineRule="auto"/>
        <w:jc w:val="center"/>
        <w:textAlignment w:val="baseline"/>
        <w:rPr>
          <w:rFonts w:ascii="Segoe UI" w:eastAsia="Times New Roman" w:hAnsi="Segoe UI" w:cs="Segoe UI"/>
          <w:sz w:val="18"/>
          <w:szCs w:val="18"/>
          <w:u w:val="single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 </w:t>
      </w:r>
    </w:p>
    <w:p w14:paraId="1C66E58E" w14:textId="77777777" w:rsidR="00E55EFE" w:rsidRPr="00E55EFE" w:rsidRDefault="00E55EFE" w:rsidP="00E55EF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32812758" w14:textId="77777777" w:rsidR="00E55EFE" w:rsidRPr="00E55EFE" w:rsidRDefault="00E55EFE" w:rsidP="00E55EF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sz w:val="25"/>
          <w:szCs w:val="25"/>
          <w:lang w:eastAsia="cs-CZ"/>
        </w:rPr>
        <w:t> </w:t>
      </w:r>
    </w:p>
    <w:p w14:paraId="1FCF1BA2" w14:textId="77777777" w:rsidR="00E55EFE" w:rsidRPr="00E55EFE" w:rsidRDefault="00E55EFE" w:rsidP="00E55EFE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cs-CZ"/>
        </w:rPr>
      </w:pPr>
      <w:r w:rsidRPr="00E55EFE">
        <w:rPr>
          <w:rFonts w:ascii="Times New Roman" w:eastAsia="Times New Roman" w:hAnsi="Times New Roman" w:cs="Times New Roman"/>
          <w:b/>
          <w:bCs/>
          <w:sz w:val="20"/>
          <w:szCs w:val="20"/>
          <w:lang w:eastAsia="cs-CZ"/>
        </w:rPr>
        <w:t>*   </w:t>
      </w:r>
      <w:r w:rsidRPr="00E55EFE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 hodnocení není průměrem dílčích známek </w:t>
      </w:r>
    </w:p>
    <w:p w14:paraId="7FF838A9" w14:textId="77777777" w:rsidR="00C206BE" w:rsidRDefault="00C206BE"/>
    <w:sectPr w:rsidR="00C206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2A7E"/>
    <w:rsid w:val="00077649"/>
    <w:rsid w:val="000F336C"/>
    <w:rsid w:val="00136FBD"/>
    <w:rsid w:val="00630AF5"/>
    <w:rsid w:val="00A12A7E"/>
    <w:rsid w:val="00C206BE"/>
    <w:rsid w:val="00C431B6"/>
    <w:rsid w:val="00CA064E"/>
    <w:rsid w:val="00E55EFE"/>
    <w:rsid w:val="2BE2F8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63E653"/>
  <w15:chartTrackingRefBased/>
  <w15:docId w15:val="{1AF9FF65-238D-478C-9288-83F13F842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paragraph">
    <w:name w:val="paragraph"/>
    <w:basedOn w:val="Normln"/>
    <w:rsid w:val="00E55EF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ormaltextrun">
    <w:name w:val="normaltextrun"/>
    <w:basedOn w:val="Standardnpsmoodstavce"/>
    <w:rsid w:val="00E55EFE"/>
  </w:style>
  <w:style w:type="character" w:customStyle="1" w:styleId="eop">
    <w:name w:val="eop"/>
    <w:basedOn w:val="Standardnpsmoodstavce"/>
    <w:rsid w:val="00E55EFE"/>
  </w:style>
  <w:style w:type="character" w:customStyle="1" w:styleId="spellingerror">
    <w:name w:val="spellingerror"/>
    <w:basedOn w:val="Standardnpsmoodstavce"/>
    <w:rsid w:val="00E55EFE"/>
  </w:style>
  <w:style w:type="character" w:customStyle="1" w:styleId="contextualspellingandgrammarerror">
    <w:name w:val="contextualspellingandgrammarerror"/>
    <w:basedOn w:val="Standardnpsmoodstavce"/>
    <w:rsid w:val="00E55EFE"/>
  </w:style>
  <w:style w:type="character" w:customStyle="1" w:styleId="pagebreaktextspan">
    <w:name w:val="pagebreaktextspan"/>
    <w:basedOn w:val="Standardnpsmoodstavce"/>
    <w:rsid w:val="00E55E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334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2613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69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3734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5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619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5515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774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46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615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138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628086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94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9020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5977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9750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94243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525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46212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7377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92337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804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5134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78067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72675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969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8891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99188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8312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9922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2871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9026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013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854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01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9959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9345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927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804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3231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301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8196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5066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707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73573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75716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4271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2288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31428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65859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3092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674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3304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8244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03427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118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200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8202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8983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621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55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520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99851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5203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2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9392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9049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426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783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7912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8540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567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0416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39549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3169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8438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6788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81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6097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13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2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17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7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97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6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422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447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2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11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49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04340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35265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9471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053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160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253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7600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3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4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06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04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29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16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575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676</Words>
  <Characters>3993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Kohlova Petra</dc:creator>
  <cp:keywords/>
  <dc:description/>
  <cp:lastModifiedBy>Petra Kohlova</cp:lastModifiedBy>
  <cp:revision>8</cp:revision>
  <dcterms:created xsi:type="dcterms:W3CDTF">2020-06-03T13:02:00Z</dcterms:created>
  <dcterms:modified xsi:type="dcterms:W3CDTF">2020-06-16T07:49:00Z</dcterms:modified>
</cp:coreProperties>
</file>