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486" w:rsidRPr="001A13C7" w:rsidRDefault="00287486" w:rsidP="00287486">
      <w:pPr>
        <w:ind w:left="-851" w:hanging="142"/>
        <w:jc w:val="center"/>
        <w:rPr>
          <w:sz w:val="22"/>
          <w:szCs w:val="22"/>
        </w:rPr>
      </w:pPr>
      <w:r w:rsidRPr="001A13C7">
        <w:rPr>
          <w:sz w:val="22"/>
          <w:szCs w:val="22"/>
        </w:rPr>
        <w:t>Univerzita Pardubice – Fakulta filozofická – Ústav historických věd</w:t>
      </w:r>
    </w:p>
    <w:p w:rsidR="00287486" w:rsidRPr="001A13C7" w:rsidRDefault="00287486" w:rsidP="00287486">
      <w:pPr>
        <w:rPr>
          <w:sz w:val="22"/>
          <w:szCs w:val="22"/>
        </w:rPr>
      </w:pPr>
    </w:p>
    <w:p w:rsidR="00287486" w:rsidRPr="001A13C7" w:rsidRDefault="00287486" w:rsidP="00287486">
      <w:pPr>
        <w:snapToGrid w:val="0"/>
        <w:rPr>
          <w:b/>
          <w:bCs/>
          <w:sz w:val="22"/>
          <w:szCs w:val="22"/>
        </w:rPr>
      </w:pPr>
      <w:r w:rsidRPr="001A13C7">
        <w:rPr>
          <w:b/>
          <w:bCs/>
          <w:sz w:val="22"/>
          <w:szCs w:val="22"/>
        </w:rPr>
        <w:t>Posudek vedoucího bakalářské práce – akademický rok 2017/2018</w:t>
      </w:r>
    </w:p>
    <w:p w:rsidR="00287486" w:rsidRPr="001A13C7" w:rsidRDefault="00287486" w:rsidP="00287486">
      <w:pPr>
        <w:rPr>
          <w:sz w:val="22"/>
          <w:szCs w:val="22"/>
        </w:rPr>
      </w:pPr>
    </w:p>
    <w:p w:rsidR="00287486" w:rsidRPr="001A13C7" w:rsidRDefault="00287486" w:rsidP="00287486">
      <w:pPr>
        <w:snapToGrid w:val="0"/>
        <w:spacing w:line="360" w:lineRule="auto"/>
        <w:rPr>
          <w:sz w:val="22"/>
          <w:szCs w:val="22"/>
        </w:rPr>
      </w:pPr>
      <w:r>
        <w:rPr>
          <w:sz w:val="22"/>
          <w:szCs w:val="22"/>
        </w:rPr>
        <w:t>Autor práce: Šárka Štěpánková</w:t>
      </w:r>
    </w:p>
    <w:p w:rsidR="00287486" w:rsidRPr="001A13C7" w:rsidRDefault="00287486" w:rsidP="00287486">
      <w:pPr>
        <w:spacing w:line="360" w:lineRule="auto"/>
        <w:rPr>
          <w:sz w:val="22"/>
          <w:szCs w:val="22"/>
        </w:rPr>
      </w:pPr>
      <w:r w:rsidRPr="001A13C7">
        <w:rPr>
          <w:sz w:val="22"/>
          <w:szCs w:val="22"/>
        </w:rPr>
        <w:t xml:space="preserve">Studijní obor: </w:t>
      </w:r>
      <w:r w:rsidR="00E75DBE">
        <w:rPr>
          <w:sz w:val="22"/>
          <w:szCs w:val="22"/>
        </w:rPr>
        <w:t>Kulturní dějiny</w:t>
      </w:r>
    </w:p>
    <w:p w:rsidR="00287486" w:rsidRPr="001A13C7" w:rsidRDefault="00287486" w:rsidP="00287486">
      <w:pPr>
        <w:spacing w:line="360" w:lineRule="auto"/>
        <w:rPr>
          <w:sz w:val="22"/>
          <w:szCs w:val="22"/>
        </w:rPr>
      </w:pPr>
      <w:r w:rsidRPr="001A13C7">
        <w:rPr>
          <w:sz w:val="22"/>
          <w:szCs w:val="22"/>
        </w:rPr>
        <w:t xml:space="preserve">Název práce: </w:t>
      </w:r>
      <w:r w:rsidRPr="00287486">
        <w:rPr>
          <w:sz w:val="22"/>
          <w:szCs w:val="22"/>
        </w:rPr>
        <w:t xml:space="preserve">Reprezentace středověké každodennosti v husitské trilogii Andrzeje </w:t>
      </w:r>
      <w:proofErr w:type="spellStart"/>
      <w:r w:rsidRPr="00287486">
        <w:rPr>
          <w:sz w:val="22"/>
          <w:szCs w:val="22"/>
        </w:rPr>
        <w:t>Sapkowského</w:t>
      </w:r>
      <w:proofErr w:type="spellEnd"/>
    </w:p>
    <w:p w:rsidR="00287486" w:rsidRPr="001A13C7" w:rsidRDefault="00287486" w:rsidP="00287486">
      <w:pPr>
        <w:spacing w:line="360" w:lineRule="auto"/>
        <w:rPr>
          <w:sz w:val="22"/>
          <w:szCs w:val="22"/>
        </w:rPr>
      </w:pPr>
      <w:r w:rsidRPr="001A13C7">
        <w:rPr>
          <w:sz w:val="22"/>
          <w:szCs w:val="22"/>
        </w:rPr>
        <w:t>Vedoucí práce: Doc. Mgr. Martin Čapský, Ph.D.</w:t>
      </w:r>
    </w:p>
    <w:p w:rsidR="00287486" w:rsidRPr="001A13C7" w:rsidRDefault="00287486" w:rsidP="00287486">
      <w:pPr>
        <w:pBdr>
          <w:bottom w:val="single" w:sz="12" w:space="1" w:color="auto"/>
        </w:pBdr>
        <w:spacing w:line="360" w:lineRule="auto"/>
        <w:rPr>
          <w:sz w:val="22"/>
          <w:szCs w:val="22"/>
        </w:rPr>
      </w:pPr>
      <w:r w:rsidRPr="001A13C7">
        <w:rPr>
          <w:sz w:val="22"/>
          <w:szCs w:val="22"/>
        </w:rPr>
        <w:t>Oponent práce: Mgr. Kateřina Ptáčková, Ph.D.</w:t>
      </w:r>
    </w:p>
    <w:p w:rsidR="00287486" w:rsidRPr="001A13C7" w:rsidRDefault="00287486" w:rsidP="00287486">
      <w:pPr>
        <w:rPr>
          <w:sz w:val="22"/>
          <w:szCs w:val="22"/>
        </w:rPr>
      </w:pPr>
    </w:p>
    <w:p w:rsidR="00287486" w:rsidRPr="001A13C7" w:rsidRDefault="00287486" w:rsidP="00287486">
      <w:pPr>
        <w:rPr>
          <w:sz w:val="22"/>
          <w:szCs w:val="22"/>
        </w:rPr>
      </w:pPr>
      <w:r w:rsidRPr="001A13C7">
        <w:rPr>
          <w:b/>
          <w:bCs/>
          <w:sz w:val="22"/>
          <w:szCs w:val="22"/>
        </w:rPr>
        <w:t>I. Formulace cílů práce, metodologie</w:t>
      </w:r>
      <w:r w:rsidRPr="001A13C7">
        <w:rPr>
          <w:sz w:val="22"/>
          <w:szCs w:val="22"/>
        </w:rPr>
        <w:t xml:space="preserve"> </w:t>
      </w:r>
    </w:p>
    <w:p w:rsidR="00287486" w:rsidRDefault="00287486" w:rsidP="00287486">
      <w:pPr>
        <w:rPr>
          <w:sz w:val="22"/>
          <w:szCs w:val="22"/>
        </w:rPr>
      </w:pPr>
      <w:r w:rsidRPr="001A13C7">
        <w:rPr>
          <w:sz w:val="22"/>
          <w:szCs w:val="22"/>
        </w:rPr>
        <w:t>(adekvátnost formulace cílů, vymezení tématu odpovídající rozsahu BP, adekvátnost zvolené metodologie)</w:t>
      </w:r>
    </w:p>
    <w:p w:rsidR="00A3602A" w:rsidRDefault="001C05E0" w:rsidP="00287486">
      <w:pPr>
        <w:jc w:val="both"/>
        <w:rPr>
          <w:sz w:val="22"/>
          <w:szCs w:val="22"/>
        </w:rPr>
      </w:pPr>
      <w:r>
        <w:rPr>
          <w:sz w:val="22"/>
          <w:szCs w:val="22"/>
        </w:rPr>
        <w:t>Termín reprezentace bývá v sociálních vědách využíván v široké škále významů. V zásadě se však můžeme shodnout na konstatování, že jeho zavedením badatelé v</w:t>
      </w:r>
      <w:r w:rsidR="00D647F9">
        <w:rPr>
          <w:sz w:val="22"/>
          <w:szCs w:val="22"/>
        </w:rPr>
        <w:t>yjadřovali a vyjadřují noetickou skepsi při poznávání minulosti. Výstupy historického bádání</w:t>
      </w:r>
      <w:r>
        <w:rPr>
          <w:sz w:val="22"/>
          <w:szCs w:val="22"/>
        </w:rPr>
        <w:t xml:space="preserve"> nelze považovat za </w:t>
      </w:r>
      <w:r w:rsidR="00FA6A8D">
        <w:rPr>
          <w:sz w:val="22"/>
          <w:szCs w:val="22"/>
        </w:rPr>
        <w:t>autentickou</w:t>
      </w:r>
      <w:r w:rsidR="00D647F9">
        <w:rPr>
          <w:sz w:val="22"/>
          <w:szCs w:val="22"/>
        </w:rPr>
        <w:t>, rekonstruovanou</w:t>
      </w:r>
      <w:r w:rsidR="00FA6A8D">
        <w:rPr>
          <w:sz w:val="22"/>
          <w:szCs w:val="22"/>
        </w:rPr>
        <w:t xml:space="preserve"> minulost</w:t>
      </w:r>
      <w:r>
        <w:rPr>
          <w:sz w:val="22"/>
          <w:szCs w:val="22"/>
        </w:rPr>
        <w:t xml:space="preserve"> ani za její dílčí obraz, jak bývá někdy uváděno, ale jde o sociální konstrukt, </w:t>
      </w:r>
      <w:r w:rsidR="00FA6A8D">
        <w:rPr>
          <w:sz w:val="22"/>
          <w:szCs w:val="22"/>
        </w:rPr>
        <w:t xml:space="preserve">na jehož </w:t>
      </w:r>
      <w:r w:rsidR="00D647F9">
        <w:rPr>
          <w:sz w:val="22"/>
          <w:szCs w:val="22"/>
        </w:rPr>
        <w:t>utváření</w:t>
      </w:r>
      <w:r w:rsidR="00FA6A8D">
        <w:rPr>
          <w:sz w:val="22"/>
          <w:szCs w:val="22"/>
        </w:rPr>
        <w:t xml:space="preserve"> se podílí řada proměnných. </w:t>
      </w:r>
      <w:r w:rsidR="00D647F9">
        <w:rPr>
          <w:sz w:val="22"/>
          <w:szCs w:val="22"/>
        </w:rPr>
        <w:t>Současně je třeba přiznat, že daleko výraznější vliv na formování kolektivních pře</w:t>
      </w:r>
      <w:r w:rsidR="00A3602A">
        <w:rPr>
          <w:sz w:val="22"/>
          <w:szCs w:val="22"/>
        </w:rPr>
        <w:t>dstav o středověku mají výstupy masmédií než samotné odborné texty.</w:t>
      </w:r>
      <w:r w:rsidR="00D647F9">
        <w:rPr>
          <w:sz w:val="22"/>
          <w:szCs w:val="22"/>
        </w:rPr>
        <w:t xml:space="preserve"> </w:t>
      </w:r>
      <w:r w:rsidR="00FA6A8D">
        <w:rPr>
          <w:sz w:val="22"/>
          <w:szCs w:val="22"/>
        </w:rPr>
        <w:t xml:space="preserve"> Úkolem Šárky Štěpánkové byla analýza reprezentace středověké každodennosti v trilogii polského spisovatele Andrzeje </w:t>
      </w:r>
      <w:proofErr w:type="spellStart"/>
      <w:r w:rsidR="00FA6A8D">
        <w:rPr>
          <w:sz w:val="22"/>
          <w:szCs w:val="22"/>
        </w:rPr>
        <w:t>Sapkowského</w:t>
      </w:r>
      <w:proofErr w:type="spellEnd"/>
      <w:r w:rsidR="00FA6A8D">
        <w:rPr>
          <w:sz w:val="22"/>
          <w:szCs w:val="22"/>
        </w:rPr>
        <w:t>. V díle,</w:t>
      </w:r>
      <w:r w:rsidR="006E2C72">
        <w:rPr>
          <w:sz w:val="22"/>
          <w:szCs w:val="22"/>
        </w:rPr>
        <w:t xml:space="preserve"> které je cíleně zasazené do konkrétního historického období a sledu událostí, a současně se jeho autor odvolává na lektorát, </w:t>
      </w:r>
      <w:r w:rsidR="00E31BF8">
        <w:rPr>
          <w:sz w:val="22"/>
          <w:szCs w:val="22"/>
        </w:rPr>
        <w:t>od</w:t>
      </w:r>
      <w:r w:rsidR="006E2C72">
        <w:rPr>
          <w:sz w:val="22"/>
          <w:szCs w:val="22"/>
        </w:rPr>
        <w:t xml:space="preserve"> řady předních polských historiků – </w:t>
      </w:r>
      <w:proofErr w:type="spellStart"/>
      <w:r w:rsidR="006E2C72">
        <w:rPr>
          <w:sz w:val="22"/>
          <w:szCs w:val="22"/>
        </w:rPr>
        <w:t>medievistů</w:t>
      </w:r>
      <w:proofErr w:type="spellEnd"/>
      <w:r w:rsidR="006E2C72">
        <w:rPr>
          <w:sz w:val="22"/>
          <w:szCs w:val="22"/>
        </w:rPr>
        <w:t xml:space="preserve">. </w:t>
      </w:r>
    </w:p>
    <w:p w:rsidR="00287486" w:rsidRDefault="006E2C72" w:rsidP="00A3602A">
      <w:pPr>
        <w:ind w:firstLine="708"/>
        <w:jc w:val="both"/>
        <w:rPr>
          <w:sz w:val="22"/>
          <w:szCs w:val="22"/>
        </w:rPr>
      </w:pPr>
      <w:r>
        <w:rPr>
          <w:sz w:val="22"/>
          <w:szCs w:val="22"/>
        </w:rPr>
        <w:t xml:space="preserve">Předně je třeba zmínit, že </w:t>
      </w:r>
      <w:proofErr w:type="spellStart"/>
      <w:r>
        <w:rPr>
          <w:sz w:val="22"/>
          <w:szCs w:val="22"/>
        </w:rPr>
        <w:t>Sapkowského</w:t>
      </w:r>
      <w:proofErr w:type="spellEnd"/>
      <w:r>
        <w:rPr>
          <w:sz w:val="22"/>
          <w:szCs w:val="22"/>
        </w:rPr>
        <w:t xml:space="preserve"> dílo nepokrytě </w:t>
      </w:r>
      <w:proofErr w:type="gramStart"/>
      <w:r>
        <w:rPr>
          <w:sz w:val="22"/>
          <w:szCs w:val="22"/>
        </w:rPr>
        <w:t>vstupuje</w:t>
      </w:r>
      <w:proofErr w:type="gramEnd"/>
      <w:r>
        <w:rPr>
          <w:sz w:val="22"/>
          <w:szCs w:val="22"/>
        </w:rPr>
        <w:t xml:space="preserve"> do interakce s kanonickým románem polské literatury Křižáci od Henryk</w:t>
      </w:r>
      <w:r w:rsidR="00A3602A">
        <w:rPr>
          <w:sz w:val="22"/>
          <w:szCs w:val="22"/>
        </w:rPr>
        <w:t xml:space="preserve">a </w:t>
      </w:r>
      <w:proofErr w:type="spellStart"/>
      <w:r w:rsidR="00A3602A">
        <w:rPr>
          <w:sz w:val="22"/>
          <w:szCs w:val="22"/>
        </w:rPr>
        <w:t>Sienkiewicze</w:t>
      </w:r>
      <w:proofErr w:type="spellEnd"/>
      <w:r w:rsidR="00A3602A">
        <w:rPr>
          <w:sz w:val="22"/>
          <w:szCs w:val="22"/>
        </w:rPr>
        <w:t xml:space="preserve">. </w:t>
      </w:r>
      <w:proofErr w:type="spellStart"/>
      <w:r w:rsidR="00A3602A">
        <w:rPr>
          <w:sz w:val="22"/>
          <w:szCs w:val="22"/>
        </w:rPr>
        <w:t>Sapkowski</w:t>
      </w:r>
      <w:proofErr w:type="spellEnd"/>
      <w:r w:rsidR="00A3602A">
        <w:rPr>
          <w:sz w:val="22"/>
          <w:szCs w:val="22"/>
        </w:rPr>
        <w:t xml:space="preserve"> využív</w:t>
      </w:r>
      <w:r>
        <w:rPr>
          <w:sz w:val="22"/>
          <w:szCs w:val="22"/>
        </w:rPr>
        <w:t xml:space="preserve">á syžet citovaného díla, podobné časové zařazení a dokonce do svého díla zapojuje i řadu </w:t>
      </w:r>
      <w:r w:rsidR="00A3602A">
        <w:rPr>
          <w:sz w:val="22"/>
          <w:szCs w:val="22"/>
        </w:rPr>
        <w:t>stejných</w:t>
      </w:r>
      <w:r>
        <w:rPr>
          <w:sz w:val="22"/>
          <w:szCs w:val="22"/>
        </w:rPr>
        <w:t xml:space="preserve"> postav. Při čtení „Husitské trilogie“ se </w:t>
      </w:r>
      <w:r w:rsidR="00A3602A">
        <w:rPr>
          <w:sz w:val="22"/>
          <w:szCs w:val="22"/>
        </w:rPr>
        <w:t>český čtenář nutně musí smířit se</w:t>
      </w:r>
      <w:r>
        <w:rPr>
          <w:sz w:val="22"/>
          <w:szCs w:val="22"/>
        </w:rPr>
        <w:t xml:space="preserve"> skutečností, že nám řada </w:t>
      </w:r>
      <w:r w:rsidR="00A3602A">
        <w:rPr>
          <w:sz w:val="22"/>
          <w:szCs w:val="22"/>
        </w:rPr>
        <w:t xml:space="preserve">narážek a </w:t>
      </w:r>
      <w:r>
        <w:rPr>
          <w:sz w:val="22"/>
          <w:szCs w:val="22"/>
        </w:rPr>
        <w:t xml:space="preserve">odkazů na „Křižáky“ zůstane </w:t>
      </w:r>
      <w:r w:rsidR="00A3602A">
        <w:rPr>
          <w:sz w:val="22"/>
          <w:szCs w:val="22"/>
        </w:rPr>
        <w:t>utajena</w:t>
      </w:r>
      <w:r w:rsidR="00A732F6">
        <w:rPr>
          <w:sz w:val="22"/>
          <w:szCs w:val="22"/>
        </w:rPr>
        <w:t xml:space="preserve">, na rozdíl od prožitku čtenáře ukotveného v konstruktu </w:t>
      </w:r>
      <w:r w:rsidR="00A3602A">
        <w:rPr>
          <w:sz w:val="22"/>
          <w:szCs w:val="22"/>
        </w:rPr>
        <w:t xml:space="preserve">polské </w:t>
      </w:r>
      <w:r w:rsidR="00A732F6">
        <w:rPr>
          <w:sz w:val="22"/>
          <w:szCs w:val="22"/>
        </w:rPr>
        <w:t xml:space="preserve">národní kultury. </w:t>
      </w:r>
      <w:r w:rsidR="00E31BF8">
        <w:rPr>
          <w:sz w:val="22"/>
          <w:szCs w:val="22"/>
        </w:rPr>
        <w:t xml:space="preserve">Určitě </w:t>
      </w:r>
      <w:r w:rsidR="00A3602A">
        <w:rPr>
          <w:sz w:val="22"/>
          <w:szCs w:val="22"/>
        </w:rPr>
        <w:t xml:space="preserve">však </w:t>
      </w:r>
      <w:r w:rsidR="00E31BF8">
        <w:rPr>
          <w:sz w:val="22"/>
          <w:szCs w:val="22"/>
        </w:rPr>
        <w:t xml:space="preserve">stojí za to, tyto </w:t>
      </w:r>
      <w:r w:rsidR="00A3602A">
        <w:rPr>
          <w:sz w:val="22"/>
          <w:szCs w:val="22"/>
        </w:rPr>
        <w:t>narážky</w:t>
      </w:r>
      <w:r w:rsidR="00E31BF8">
        <w:rPr>
          <w:sz w:val="22"/>
          <w:szCs w:val="22"/>
        </w:rPr>
        <w:t xml:space="preserve"> </w:t>
      </w:r>
      <w:r w:rsidR="00A3602A">
        <w:rPr>
          <w:sz w:val="22"/>
          <w:szCs w:val="22"/>
        </w:rPr>
        <w:t>důsledně</w:t>
      </w:r>
      <w:r w:rsidR="00E31BF8">
        <w:rPr>
          <w:sz w:val="22"/>
          <w:szCs w:val="22"/>
        </w:rPr>
        <w:t xml:space="preserve"> vyhledávat</w:t>
      </w:r>
      <w:r w:rsidR="00A3602A">
        <w:rPr>
          <w:sz w:val="22"/>
          <w:szCs w:val="22"/>
        </w:rPr>
        <w:t xml:space="preserve"> a analyzovat</w:t>
      </w:r>
      <w:r w:rsidR="00E31BF8">
        <w:rPr>
          <w:sz w:val="22"/>
          <w:szCs w:val="22"/>
        </w:rPr>
        <w:t xml:space="preserve">. </w:t>
      </w:r>
      <w:proofErr w:type="spellStart"/>
      <w:r w:rsidR="00A732F6">
        <w:rPr>
          <w:sz w:val="22"/>
          <w:szCs w:val="22"/>
        </w:rPr>
        <w:t>Sapkowski</w:t>
      </w:r>
      <w:proofErr w:type="spellEnd"/>
      <w:r w:rsidR="00A732F6">
        <w:rPr>
          <w:sz w:val="22"/>
          <w:szCs w:val="22"/>
        </w:rPr>
        <w:t xml:space="preserve"> totiž nejen, že na román odkazuje, ale zároveň cíleně převrací jeho akcenty. </w:t>
      </w:r>
      <w:r w:rsidR="001A3F80">
        <w:rPr>
          <w:sz w:val="22"/>
          <w:szCs w:val="22"/>
        </w:rPr>
        <w:t>„</w:t>
      </w:r>
      <w:r w:rsidR="00A732F6">
        <w:rPr>
          <w:sz w:val="22"/>
          <w:szCs w:val="22"/>
        </w:rPr>
        <w:t>Největší polský rytíř</w:t>
      </w:r>
      <w:r w:rsidR="001A3F80">
        <w:rPr>
          <w:sz w:val="22"/>
          <w:szCs w:val="22"/>
        </w:rPr>
        <w:t>“</w:t>
      </w:r>
      <w:r w:rsidR="00A732F6">
        <w:rPr>
          <w:sz w:val="22"/>
          <w:szCs w:val="22"/>
        </w:rPr>
        <w:t xml:space="preserve"> první poloviny 15. století adorovaný už soudobým kronikářem</w:t>
      </w:r>
      <w:r w:rsidR="00A3602A">
        <w:rPr>
          <w:sz w:val="22"/>
          <w:szCs w:val="22"/>
        </w:rPr>
        <w:t xml:space="preserve"> Janem </w:t>
      </w:r>
      <w:proofErr w:type="spellStart"/>
      <w:r w:rsidR="00A3602A">
        <w:rPr>
          <w:sz w:val="22"/>
          <w:szCs w:val="22"/>
        </w:rPr>
        <w:t>Długoszem</w:t>
      </w:r>
      <w:proofErr w:type="spellEnd"/>
      <w:r w:rsidR="00A732F6">
        <w:rPr>
          <w:sz w:val="22"/>
          <w:szCs w:val="22"/>
        </w:rPr>
        <w:t xml:space="preserve"> Záviš Černý z Garbova je líč</w:t>
      </w:r>
      <w:r w:rsidR="001A3F80">
        <w:rPr>
          <w:sz w:val="22"/>
          <w:szCs w:val="22"/>
        </w:rPr>
        <w:t xml:space="preserve">en mimo schéma dvorské kultury v situaci, kdy </w:t>
      </w:r>
      <w:r w:rsidR="00A732F6">
        <w:rPr>
          <w:sz w:val="22"/>
          <w:szCs w:val="22"/>
        </w:rPr>
        <w:t>trpí větry. Doba mytizovaného vítězství nad Křižáky je líčena jako chaos</w:t>
      </w:r>
      <w:r w:rsidR="006D1B9D">
        <w:rPr>
          <w:sz w:val="22"/>
          <w:szCs w:val="22"/>
        </w:rPr>
        <w:t xml:space="preserve">, aristokratické prostředí je vesměs nahrazeno městským a to často v německy mluvících slezských (zejm. I. díl) městech apod. Posouvání akcentů a převracení rolí je vlastní celé trilogii. Andrzej </w:t>
      </w:r>
      <w:proofErr w:type="spellStart"/>
      <w:r w:rsidR="006D1B9D">
        <w:rPr>
          <w:sz w:val="22"/>
          <w:szCs w:val="22"/>
        </w:rPr>
        <w:t>Sapkowski</w:t>
      </w:r>
      <w:proofErr w:type="spellEnd"/>
      <w:r w:rsidR="006D1B9D">
        <w:rPr>
          <w:sz w:val="22"/>
          <w:szCs w:val="22"/>
        </w:rPr>
        <w:t xml:space="preserve"> velmi cíleně využívá karnevalové komiky i s jejím důrazem na nízké a tělesné, tak, jak bychom se s ní mohli setkat i ve středověké </w:t>
      </w:r>
      <w:proofErr w:type="spellStart"/>
      <w:r w:rsidR="001A3F80">
        <w:rPr>
          <w:sz w:val="22"/>
          <w:szCs w:val="22"/>
        </w:rPr>
        <w:t>smíchové</w:t>
      </w:r>
      <w:proofErr w:type="spellEnd"/>
      <w:r w:rsidR="001A3F80">
        <w:rPr>
          <w:sz w:val="22"/>
          <w:szCs w:val="22"/>
        </w:rPr>
        <w:t xml:space="preserve"> kultuře</w:t>
      </w:r>
      <w:r w:rsidR="006D1B9D">
        <w:rPr>
          <w:sz w:val="22"/>
          <w:szCs w:val="22"/>
        </w:rPr>
        <w:t xml:space="preserve">. </w:t>
      </w:r>
    </w:p>
    <w:p w:rsidR="006D1B9D" w:rsidRDefault="006D1B9D" w:rsidP="00287486">
      <w:pPr>
        <w:jc w:val="both"/>
        <w:rPr>
          <w:sz w:val="22"/>
          <w:szCs w:val="22"/>
        </w:rPr>
      </w:pPr>
      <w:r>
        <w:rPr>
          <w:sz w:val="22"/>
          <w:szCs w:val="22"/>
        </w:rPr>
        <w:tab/>
        <w:t xml:space="preserve">Obsáhlejším zastavením u </w:t>
      </w:r>
      <w:proofErr w:type="spellStart"/>
      <w:r>
        <w:rPr>
          <w:sz w:val="22"/>
          <w:szCs w:val="22"/>
        </w:rPr>
        <w:t>Sapkowského</w:t>
      </w:r>
      <w:proofErr w:type="spellEnd"/>
      <w:r>
        <w:rPr>
          <w:sz w:val="22"/>
          <w:szCs w:val="22"/>
        </w:rPr>
        <w:t xml:space="preserve"> díla chci zdůraznit, jak důležitou interpretační roli mohlo hrát využití přístupů spojených s pojmem reprezentace. Šárka Štěpánová sice odkazuje na studii Mileny Bartlové (Reprezentace)</w:t>
      </w:r>
      <w:r w:rsidR="00D93D5B">
        <w:rPr>
          <w:sz w:val="22"/>
          <w:szCs w:val="22"/>
        </w:rPr>
        <w:t xml:space="preserve">, svůj tok myšlenek ale vzápětí narušuje konstatováním o historii psané vítězi (Proč?), aby následně představila svůj záměr představit „autentickou formu středověké každodennosti“. Slova o autentické formě jsou ale v příkrém rozporu s tezí o dějinách coby sociálním konstruktu. Analýza proměny reprezentace středověké každodennosti mezi díly </w:t>
      </w:r>
      <w:proofErr w:type="spellStart"/>
      <w:r w:rsidR="00D93D5B">
        <w:rPr>
          <w:sz w:val="22"/>
          <w:szCs w:val="22"/>
        </w:rPr>
        <w:t>Sienkiewicze</w:t>
      </w:r>
      <w:proofErr w:type="spellEnd"/>
      <w:r w:rsidR="00D93D5B">
        <w:rPr>
          <w:sz w:val="22"/>
          <w:szCs w:val="22"/>
        </w:rPr>
        <w:t xml:space="preserve"> a </w:t>
      </w:r>
      <w:proofErr w:type="spellStart"/>
      <w:r w:rsidR="00D93D5B">
        <w:rPr>
          <w:sz w:val="22"/>
          <w:szCs w:val="22"/>
        </w:rPr>
        <w:t>Sapkowského</w:t>
      </w:r>
      <w:proofErr w:type="spellEnd"/>
      <w:r w:rsidR="00D93D5B">
        <w:rPr>
          <w:sz w:val="22"/>
          <w:szCs w:val="22"/>
        </w:rPr>
        <w:t xml:space="preserve">, která měla být opřena o zhodnocení postupu </w:t>
      </w:r>
      <w:proofErr w:type="spellStart"/>
      <w:r w:rsidR="00D93D5B">
        <w:rPr>
          <w:sz w:val="22"/>
          <w:szCs w:val="22"/>
        </w:rPr>
        <w:t>medievistického</w:t>
      </w:r>
      <w:proofErr w:type="spellEnd"/>
      <w:r w:rsidR="00D93D5B">
        <w:rPr>
          <w:sz w:val="22"/>
          <w:szCs w:val="22"/>
        </w:rPr>
        <w:t xml:space="preserve"> bádání, v bakalářské práci ale chybí a je nahrazena kapitolami, které méně (</w:t>
      </w:r>
      <w:r w:rsidR="000A5E96">
        <w:rPr>
          <w:sz w:val="22"/>
          <w:szCs w:val="22"/>
        </w:rPr>
        <w:t xml:space="preserve">spíše nešťastný pokus o shrnutí bádání o každodennosti v české </w:t>
      </w:r>
      <w:proofErr w:type="spellStart"/>
      <w:r w:rsidR="000A5E96">
        <w:rPr>
          <w:sz w:val="22"/>
          <w:szCs w:val="22"/>
        </w:rPr>
        <w:t>medievistice</w:t>
      </w:r>
      <w:proofErr w:type="spellEnd"/>
      <w:r w:rsidR="000A5E96">
        <w:rPr>
          <w:sz w:val="22"/>
          <w:szCs w:val="22"/>
        </w:rPr>
        <w:t xml:space="preserve">, stejně jako pasáže o husitství) nebo více (náčrt polské historiografie vztahující </w:t>
      </w:r>
      <w:proofErr w:type="gramStart"/>
      <w:r w:rsidR="000A5E96">
        <w:rPr>
          <w:sz w:val="22"/>
          <w:szCs w:val="22"/>
        </w:rPr>
        <w:t>se</w:t>
      </w:r>
      <w:proofErr w:type="gramEnd"/>
      <w:r w:rsidR="000A5E96">
        <w:rPr>
          <w:sz w:val="22"/>
          <w:szCs w:val="22"/>
        </w:rPr>
        <w:t xml:space="preserve"> k husitství) souvisí s tématem práce. </w:t>
      </w:r>
    </w:p>
    <w:p w:rsidR="000A5E96" w:rsidRDefault="000A5E96" w:rsidP="00287486">
      <w:pPr>
        <w:jc w:val="both"/>
        <w:rPr>
          <w:sz w:val="22"/>
          <w:szCs w:val="22"/>
        </w:rPr>
      </w:pPr>
      <w:r>
        <w:rPr>
          <w:sz w:val="22"/>
          <w:szCs w:val="22"/>
        </w:rPr>
        <w:tab/>
        <w:t xml:space="preserve">Šárka Štěpánková vlastně předkládá bakalářskou práci rozpadající se na dvě části. V druhé věnované shrnutí současného stavu poznání o dvou důležitých sociálních prostorech středověkého města (ulici a hospodě), které Andrzej </w:t>
      </w:r>
      <w:proofErr w:type="spellStart"/>
      <w:r>
        <w:rPr>
          <w:sz w:val="22"/>
          <w:szCs w:val="22"/>
        </w:rPr>
        <w:t>Sapkowski</w:t>
      </w:r>
      <w:proofErr w:type="spellEnd"/>
      <w:r>
        <w:rPr>
          <w:sz w:val="22"/>
          <w:szCs w:val="22"/>
        </w:rPr>
        <w:t xml:space="preserve"> opakovaně využívá ve svém příběhu, </w:t>
      </w:r>
      <w:r w:rsidR="00E31BF8">
        <w:rPr>
          <w:sz w:val="22"/>
          <w:szCs w:val="22"/>
        </w:rPr>
        <w:t xml:space="preserve">poměrně zdařile </w:t>
      </w:r>
      <w:r>
        <w:rPr>
          <w:sz w:val="22"/>
          <w:szCs w:val="22"/>
        </w:rPr>
        <w:t xml:space="preserve">představuje vazbu mezi literárním zpracováním a </w:t>
      </w:r>
      <w:proofErr w:type="spellStart"/>
      <w:r>
        <w:rPr>
          <w:sz w:val="22"/>
          <w:szCs w:val="22"/>
        </w:rPr>
        <w:t>medievistickým</w:t>
      </w:r>
      <w:proofErr w:type="spellEnd"/>
      <w:r>
        <w:rPr>
          <w:sz w:val="22"/>
          <w:szCs w:val="22"/>
        </w:rPr>
        <w:t xml:space="preserve"> bádáním</w:t>
      </w:r>
      <w:r w:rsidR="00475B87">
        <w:rPr>
          <w:sz w:val="22"/>
          <w:szCs w:val="22"/>
        </w:rPr>
        <w:t xml:space="preserve">. I tyto pasáže by bylo možné doplnit dalšími publikovanými sondami či </w:t>
      </w:r>
      <w:r w:rsidR="00E31BF8">
        <w:rPr>
          <w:sz w:val="22"/>
          <w:szCs w:val="22"/>
        </w:rPr>
        <w:t>monografiemi</w:t>
      </w:r>
      <w:r w:rsidR="00475B87">
        <w:rPr>
          <w:sz w:val="22"/>
          <w:szCs w:val="22"/>
        </w:rPr>
        <w:t xml:space="preserve">, ale v zásadě splňují nároky kladené na bakalářskou práci. Sled úvodních kapitol naopak nabízí v některých částech možná slibné, ale neucelené </w:t>
      </w:r>
      <w:r w:rsidR="00475B87">
        <w:rPr>
          <w:sz w:val="22"/>
          <w:szCs w:val="22"/>
        </w:rPr>
        <w:lastRenderedPageBreak/>
        <w:t>a č</w:t>
      </w:r>
      <w:r w:rsidR="001A3F80">
        <w:rPr>
          <w:sz w:val="22"/>
          <w:szCs w:val="22"/>
        </w:rPr>
        <w:t>asto i povrchně zpracované teze a přehledy.</w:t>
      </w:r>
    </w:p>
    <w:p w:rsidR="00475B87" w:rsidRPr="001A13C7" w:rsidRDefault="00475B87" w:rsidP="00287486">
      <w:pPr>
        <w:jc w:val="both"/>
        <w:rPr>
          <w:sz w:val="22"/>
          <w:szCs w:val="22"/>
        </w:rPr>
      </w:pPr>
    </w:p>
    <w:p w:rsidR="00287486" w:rsidRPr="001A13C7" w:rsidRDefault="00287486" w:rsidP="00287486">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46"/>
      </w:tblGrid>
      <w:tr w:rsidR="00287486" w:rsidRPr="001A13C7" w:rsidTr="004D0F3E">
        <w:trPr>
          <w:trHeight w:val="276"/>
        </w:trPr>
        <w:tc>
          <w:tcPr>
            <w:tcW w:w="1146" w:type="dxa"/>
            <w:vMerge w:val="restart"/>
            <w:tcBorders>
              <w:top w:val="single" w:sz="2" w:space="0" w:color="000000"/>
              <w:left w:val="single" w:sz="2" w:space="0" w:color="000000"/>
              <w:bottom w:val="single" w:sz="2" w:space="0" w:color="000000"/>
              <w:right w:val="single" w:sz="2" w:space="0" w:color="000000"/>
            </w:tcBorders>
          </w:tcPr>
          <w:p w:rsidR="00287486" w:rsidRPr="001A13C7" w:rsidRDefault="003A66FA" w:rsidP="004D0F3E">
            <w:pPr>
              <w:pStyle w:val="Obsahtabulky"/>
              <w:snapToGrid w:val="0"/>
              <w:rPr>
                <w:sz w:val="22"/>
                <w:szCs w:val="22"/>
              </w:rPr>
            </w:pPr>
            <w:r>
              <w:rPr>
                <w:sz w:val="22"/>
                <w:szCs w:val="22"/>
              </w:rPr>
              <w:t>E</w:t>
            </w:r>
          </w:p>
        </w:tc>
      </w:tr>
    </w:tbl>
    <w:p w:rsidR="00287486" w:rsidRPr="001A13C7" w:rsidRDefault="00287486" w:rsidP="00287486">
      <w:pPr>
        <w:rPr>
          <w:sz w:val="22"/>
          <w:szCs w:val="22"/>
        </w:rPr>
      </w:pPr>
    </w:p>
    <w:p w:rsidR="00287486" w:rsidRPr="001A13C7" w:rsidRDefault="00287486" w:rsidP="00287486">
      <w:pPr>
        <w:rPr>
          <w:b/>
          <w:bCs/>
          <w:sz w:val="22"/>
          <w:szCs w:val="22"/>
        </w:rPr>
      </w:pPr>
    </w:p>
    <w:p w:rsidR="00287486" w:rsidRPr="001A13C7" w:rsidRDefault="00287486" w:rsidP="00287486">
      <w:pPr>
        <w:rPr>
          <w:sz w:val="22"/>
          <w:szCs w:val="22"/>
        </w:rPr>
      </w:pPr>
      <w:r w:rsidRPr="001A13C7">
        <w:rPr>
          <w:b/>
          <w:bCs/>
          <w:sz w:val="22"/>
          <w:szCs w:val="22"/>
        </w:rPr>
        <w:t>II. Naplnění stanovených cílů</w:t>
      </w:r>
      <w:r w:rsidRPr="001A13C7">
        <w:rPr>
          <w:sz w:val="22"/>
          <w:szCs w:val="22"/>
        </w:rPr>
        <w:t xml:space="preserve"> </w:t>
      </w:r>
    </w:p>
    <w:p w:rsidR="00287486" w:rsidRPr="001A13C7" w:rsidRDefault="00287486" w:rsidP="00287486">
      <w:pPr>
        <w:rPr>
          <w:sz w:val="22"/>
          <w:szCs w:val="22"/>
        </w:rPr>
      </w:pPr>
      <w:r w:rsidRPr="001A13C7">
        <w:rPr>
          <w:sz w:val="22"/>
          <w:szCs w:val="22"/>
        </w:rPr>
        <w:t xml:space="preserve">(odpovídající zpracování a interpretace výsledků, závěry práce, diskuse práce /porovnání výsledků práce s výsledky dosavadních bádání k tématu/, autorský přínos práce) </w:t>
      </w:r>
    </w:p>
    <w:p w:rsidR="00287486" w:rsidRPr="001A13C7" w:rsidRDefault="00287486" w:rsidP="00287486">
      <w:pPr>
        <w:rPr>
          <w:sz w:val="22"/>
          <w:szCs w:val="22"/>
        </w:rPr>
      </w:pPr>
    </w:p>
    <w:p w:rsidR="00F71C3C" w:rsidRDefault="001A3F80" w:rsidP="001A3F80">
      <w:pPr>
        <w:jc w:val="both"/>
        <w:rPr>
          <w:sz w:val="22"/>
          <w:szCs w:val="22"/>
        </w:rPr>
      </w:pPr>
      <w:r>
        <w:rPr>
          <w:sz w:val="22"/>
          <w:szCs w:val="22"/>
        </w:rPr>
        <w:t>Opět je třeba konstatovat, že smysluplně působí především dvě (resp. tři) závěrečné kapitoly o každodenním fungování dvou veřejných prostorů ve středověkých městech, resp. kapitola o Židech. Šárka Štěpánková</w:t>
      </w:r>
      <w:r w:rsidR="00427D78">
        <w:rPr>
          <w:sz w:val="22"/>
          <w:szCs w:val="22"/>
        </w:rPr>
        <w:t xml:space="preserve"> srovnává reprezentaci středověkého města v díle Andrzeje </w:t>
      </w:r>
      <w:proofErr w:type="spellStart"/>
      <w:r w:rsidR="00427D78">
        <w:rPr>
          <w:sz w:val="22"/>
          <w:szCs w:val="22"/>
        </w:rPr>
        <w:t>Sapkowského</w:t>
      </w:r>
      <w:proofErr w:type="spellEnd"/>
      <w:r w:rsidR="00427D78">
        <w:rPr>
          <w:sz w:val="22"/>
          <w:szCs w:val="22"/>
        </w:rPr>
        <w:t xml:space="preserve"> se stavem historického bádání, přičemž ale nerozlišuje jeho různé časové fáze. Vyzdvihnout je na druhou stranu třeba, že vedle české pracovala i s ohledem na zpracovávané téma rovněž s polskou literaturou. Výsledkem tohoto postupu bohužel není komparace (například mezi reprezentací středověku v dílech H. </w:t>
      </w:r>
      <w:proofErr w:type="spellStart"/>
      <w:r w:rsidR="00427D78">
        <w:rPr>
          <w:sz w:val="22"/>
          <w:szCs w:val="22"/>
        </w:rPr>
        <w:t>Sienkiewicze</w:t>
      </w:r>
      <w:proofErr w:type="spellEnd"/>
      <w:r w:rsidR="00427D78">
        <w:rPr>
          <w:sz w:val="22"/>
          <w:szCs w:val="22"/>
        </w:rPr>
        <w:t xml:space="preserve"> a </w:t>
      </w:r>
      <w:proofErr w:type="spellStart"/>
      <w:r w:rsidR="00427D78">
        <w:rPr>
          <w:sz w:val="22"/>
          <w:szCs w:val="22"/>
        </w:rPr>
        <w:t>A</w:t>
      </w:r>
      <w:proofErr w:type="spellEnd"/>
      <w:r w:rsidR="00427D78">
        <w:rPr>
          <w:sz w:val="22"/>
          <w:szCs w:val="22"/>
        </w:rPr>
        <w:t xml:space="preserve">. </w:t>
      </w:r>
      <w:proofErr w:type="spellStart"/>
      <w:r w:rsidR="00427D78">
        <w:rPr>
          <w:sz w:val="22"/>
          <w:szCs w:val="22"/>
        </w:rPr>
        <w:t>Sapkowského</w:t>
      </w:r>
      <w:proofErr w:type="spellEnd"/>
      <w:r w:rsidR="00427D78">
        <w:rPr>
          <w:sz w:val="22"/>
          <w:szCs w:val="22"/>
        </w:rPr>
        <w:t xml:space="preserve">), nýbrž </w:t>
      </w:r>
      <w:r w:rsidR="00F71C3C">
        <w:rPr>
          <w:sz w:val="22"/>
          <w:szCs w:val="22"/>
        </w:rPr>
        <w:t xml:space="preserve">pokus o přiblížení některých aspektů městského života v pozdním středověku rozšířený o jejich barvité literární ztvárnění. Šárka Štěpánková analyzuje vybrané pasáže trilogie a dohledává k nim historické podklady. Cílem tohoto postupu zřejmě bylo doložení úzké vazby </w:t>
      </w:r>
      <w:proofErr w:type="spellStart"/>
      <w:r w:rsidR="00F71C3C">
        <w:rPr>
          <w:sz w:val="22"/>
          <w:szCs w:val="22"/>
        </w:rPr>
        <w:t>Sapkowským</w:t>
      </w:r>
      <w:proofErr w:type="spellEnd"/>
      <w:r w:rsidR="00F71C3C">
        <w:rPr>
          <w:sz w:val="22"/>
          <w:szCs w:val="22"/>
        </w:rPr>
        <w:t xml:space="preserve"> využívaných historických kulis a reálií k aktuálnímu stavu bádání. Bohužel, závěrečné shrnutí se těmto aspektům vyhýbá.</w:t>
      </w:r>
    </w:p>
    <w:p w:rsidR="00F71C3C" w:rsidRDefault="00F71C3C" w:rsidP="0083400E">
      <w:pPr>
        <w:jc w:val="both"/>
        <w:rPr>
          <w:sz w:val="22"/>
          <w:szCs w:val="22"/>
        </w:rPr>
      </w:pPr>
      <w:r>
        <w:rPr>
          <w:sz w:val="22"/>
          <w:szCs w:val="22"/>
        </w:rPr>
        <w:tab/>
        <w:t xml:space="preserve">Heterogenním dojmem působí úvodní kapitoly. V nich se autorka postupně věnuje představení reprezentace, bádání o každodennosti, autora textu, města husitského období apod. Zatímco polské historiografii věnovala Šárka Štěpánová značný prostor, </w:t>
      </w:r>
      <w:r w:rsidR="0083400E">
        <w:rPr>
          <w:sz w:val="22"/>
          <w:szCs w:val="22"/>
        </w:rPr>
        <w:t>představitelům českých historických škol je věnován neúplně působící text. Zmíněné kapitoly působí dojmem chvatného psaní a často i vykračují mimo hranice odborného textu. Například, když hovoří o filmových paskvilech zpracovávajících dobu vlády Václava IV. nebo při zpracování vikinské ságy.</w:t>
      </w:r>
    </w:p>
    <w:p w:rsidR="00E31BF8" w:rsidRPr="001A13C7" w:rsidRDefault="00E31BF8" w:rsidP="00287486">
      <w:pPr>
        <w:rPr>
          <w:sz w:val="22"/>
          <w:szCs w:val="22"/>
        </w:rPr>
      </w:pPr>
    </w:p>
    <w:p w:rsidR="00287486" w:rsidRPr="001A13C7" w:rsidRDefault="00287486" w:rsidP="00287486">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287486" w:rsidRPr="001A13C7" w:rsidTr="004D0F3E">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287486" w:rsidRPr="001A13C7" w:rsidRDefault="0083400E" w:rsidP="004D0F3E">
            <w:pPr>
              <w:pStyle w:val="Obsahtabulky"/>
              <w:snapToGrid w:val="0"/>
              <w:rPr>
                <w:sz w:val="22"/>
                <w:szCs w:val="22"/>
              </w:rPr>
            </w:pPr>
            <w:r>
              <w:rPr>
                <w:sz w:val="22"/>
                <w:szCs w:val="22"/>
              </w:rPr>
              <w:t>E</w:t>
            </w:r>
          </w:p>
        </w:tc>
      </w:tr>
    </w:tbl>
    <w:p w:rsidR="00287486" w:rsidRPr="001A13C7" w:rsidRDefault="00287486" w:rsidP="00287486">
      <w:pPr>
        <w:rPr>
          <w:sz w:val="22"/>
          <w:szCs w:val="22"/>
        </w:rPr>
      </w:pPr>
    </w:p>
    <w:p w:rsidR="00287486" w:rsidRPr="001A13C7" w:rsidRDefault="00287486" w:rsidP="00287486">
      <w:pPr>
        <w:ind w:left="-720"/>
        <w:rPr>
          <w:sz w:val="22"/>
          <w:szCs w:val="22"/>
        </w:rPr>
      </w:pPr>
    </w:p>
    <w:p w:rsidR="00287486" w:rsidRPr="001A13C7" w:rsidRDefault="00287486" w:rsidP="00287486">
      <w:pPr>
        <w:rPr>
          <w:sz w:val="22"/>
          <w:szCs w:val="22"/>
        </w:rPr>
      </w:pPr>
      <w:r w:rsidRPr="001A13C7">
        <w:rPr>
          <w:b/>
          <w:bCs/>
          <w:sz w:val="22"/>
          <w:szCs w:val="22"/>
        </w:rPr>
        <w:t>III. Obsahové zpracování, přístup k řešení, řešení dílčích problémů</w:t>
      </w:r>
      <w:r w:rsidRPr="001A13C7">
        <w:rPr>
          <w:sz w:val="22"/>
          <w:szCs w:val="22"/>
        </w:rPr>
        <w:t xml:space="preserve"> </w:t>
      </w:r>
    </w:p>
    <w:p w:rsidR="00287486" w:rsidRDefault="00287486" w:rsidP="00287486">
      <w:pPr>
        <w:rPr>
          <w:sz w:val="22"/>
          <w:szCs w:val="22"/>
        </w:rPr>
      </w:pPr>
      <w:r w:rsidRPr="001A13C7">
        <w:rPr>
          <w:sz w:val="22"/>
          <w:szCs w:val="22"/>
        </w:rPr>
        <w:t xml:space="preserve">(struktura a </w:t>
      </w:r>
      <w:proofErr w:type="spellStart"/>
      <w:r w:rsidRPr="001A13C7">
        <w:rPr>
          <w:sz w:val="22"/>
          <w:szCs w:val="22"/>
        </w:rPr>
        <w:t>koheznost</w:t>
      </w:r>
      <w:proofErr w:type="spellEnd"/>
      <w:r w:rsidRPr="001A13C7">
        <w:rPr>
          <w:sz w:val="22"/>
          <w:szCs w:val="22"/>
        </w:rPr>
        <w:t xml:space="preserve"> práce, vhled do problematiky, využití relevantních odborných zdrojů, </w:t>
      </w:r>
      <w:r>
        <w:rPr>
          <w:sz w:val="22"/>
          <w:szCs w:val="22"/>
        </w:rPr>
        <w:t>…)</w:t>
      </w:r>
      <w:r w:rsidRPr="001A13C7">
        <w:rPr>
          <w:sz w:val="22"/>
          <w:szCs w:val="22"/>
        </w:rPr>
        <w:t xml:space="preserve"> </w:t>
      </w:r>
    </w:p>
    <w:p w:rsidR="0083400E" w:rsidRDefault="0083400E" w:rsidP="00287486">
      <w:pPr>
        <w:rPr>
          <w:sz w:val="22"/>
          <w:szCs w:val="22"/>
        </w:rPr>
      </w:pPr>
    </w:p>
    <w:p w:rsidR="00287486" w:rsidRDefault="0083400E" w:rsidP="00287486">
      <w:pPr>
        <w:jc w:val="both"/>
        <w:rPr>
          <w:sz w:val="22"/>
          <w:szCs w:val="22"/>
        </w:rPr>
      </w:pPr>
      <w:r>
        <w:rPr>
          <w:sz w:val="22"/>
          <w:szCs w:val="22"/>
        </w:rPr>
        <w:t>Řadu výtek jsem již předeslal výše. Připojuji konstatování leckdy až ledabylé</w:t>
      </w:r>
      <w:r w:rsidR="00E75DBE">
        <w:rPr>
          <w:sz w:val="22"/>
          <w:szCs w:val="22"/>
        </w:rPr>
        <w:t>ho</w:t>
      </w:r>
      <w:r>
        <w:rPr>
          <w:sz w:val="22"/>
          <w:szCs w:val="22"/>
        </w:rPr>
        <w:t xml:space="preserve"> </w:t>
      </w:r>
      <w:r w:rsidR="00E75DBE">
        <w:rPr>
          <w:sz w:val="22"/>
          <w:szCs w:val="22"/>
        </w:rPr>
        <w:t>nakládání s</w:t>
      </w:r>
      <w:r>
        <w:rPr>
          <w:sz w:val="22"/>
          <w:szCs w:val="22"/>
        </w:rPr>
        <w:t xml:space="preserve"> historickými pojmy. Kapitola věnovaná městům je například uvozena větou: „ </w:t>
      </w:r>
      <w:r w:rsidR="0003767E" w:rsidRPr="0003767E">
        <w:rPr>
          <w:sz w:val="22"/>
          <w:szCs w:val="22"/>
        </w:rPr>
        <w:t>„Města v době husitství procházela razantní změnou. Do husitství vcházela pouze jako místo k životu lidí a vycházejí z něj jako samostatný stav.“</w:t>
      </w:r>
      <w:r w:rsidR="0003767E">
        <w:rPr>
          <w:sz w:val="22"/>
          <w:szCs w:val="22"/>
        </w:rPr>
        <w:t xml:space="preserve"> Postupně jsou zde zaměňována města coby sídelní typ, města coby politicko-správní jednotka a také městská společnost. </w:t>
      </w:r>
      <w:r w:rsidR="00E75DBE">
        <w:rPr>
          <w:sz w:val="22"/>
          <w:szCs w:val="22"/>
        </w:rPr>
        <w:t>Demografickou a politicko-mocenskou změnou</w:t>
      </w:r>
      <w:r w:rsidR="0003767E">
        <w:rPr>
          <w:sz w:val="22"/>
          <w:szCs w:val="22"/>
        </w:rPr>
        <w:t xml:space="preserve"> procházela zejména česká královská (sic!) města a podle některých vlivných tezí (např. F. Šmahel) mělo na tuto změnu husitství jen omezený vliv. Další diskusi bych ponechal i autorkou použitý termín „stav“. </w:t>
      </w:r>
    </w:p>
    <w:p w:rsidR="0003767E" w:rsidRDefault="0003767E" w:rsidP="00287486">
      <w:pPr>
        <w:jc w:val="both"/>
        <w:rPr>
          <w:sz w:val="22"/>
          <w:szCs w:val="22"/>
        </w:rPr>
      </w:pPr>
      <w:r>
        <w:rPr>
          <w:sz w:val="22"/>
          <w:szCs w:val="22"/>
        </w:rPr>
        <w:tab/>
        <w:t>Důslednější propracování by si zasloužila zejména kapitola o výzkumu každodennosti, který se v autorčině pojetí stává navýsost moderním trendem nabírajícím „na stále větší popularitě“. Studium každodenního jednání má ovšem mnohem starší tradici a jeho formování je spjato se západoevropskými historiografiemi.</w:t>
      </w:r>
    </w:p>
    <w:p w:rsidR="0083400E" w:rsidRPr="001A13C7" w:rsidRDefault="0083400E" w:rsidP="00287486">
      <w:pPr>
        <w:jc w:val="both"/>
        <w:rPr>
          <w:sz w:val="22"/>
          <w:szCs w:val="22"/>
        </w:rPr>
      </w:pPr>
    </w:p>
    <w:p w:rsidR="00287486" w:rsidRPr="001A13C7" w:rsidRDefault="00287486" w:rsidP="00287486">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287486" w:rsidRPr="001A13C7" w:rsidTr="004D0F3E">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287486" w:rsidRPr="001A13C7" w:rsidRDefault="00F12417" w:rsidP="004D0F3E">
            <w:pPr>
              <w:pStyle w:val="Obsahtabulky"/>
              <w:snapToGrid w:val="0"/>
              <w:rPr>
                <w:sz w:val="22"/>
                <w:szCs w:val="22"/>
              </w:rPr>
            </w:pPr>
            <w:r>
              <w:rPr>
                <w:sz w:val="22"/>
                <w:szCs w:val="22"/>
              </w:rPr>
              <w:t>E</w:t>
            </w:r>
          </w:p>
        </w:tc>
      </w:tr>
    </w:tbl>
    <w:p w:rsidR="00287486" w:rsidRPr="001A13C7" w:rsidRDefault="00287486" w:rsidP="00287486">
      <w:pPr>
        <w:rPr>
          <w:b/>
          <w:bCs/>
          <w:sz w:val="22"/>
          <w:szCs w:val="22"/>
        </w:rPr>
      </w:pPr>
    </w:p>
    <w:p w:rsidR="00287486" w:rsidRPr="001A13C7" w:rsidRDefault="00287486" w:rsidP="00287486">
      <w:pPr>
        <w:rPr>
          <w:sz w:val="22"/>
          <w:szCs w:val="22"/>
        </w:rPr>
      </w:pPr>
      <w:r w:rsidRPr="001A13C7">
        <w:rPr>
          <w:b/>
          <w:bCs/>
          <w:sz w:val="22"/>
          <w:szCs w:val="22"/>
        </w:rPr>
        <w:t>IV. Formální náležitosti práce a její úprava</w:t>
      </w:r>
      <w:r w:rsidRPr="001A13C7">
        <w:rPr>
          <w:sz w:val="22"/>
          <w:szCs w:val="22"/>
        </w:rPr>
        <w:t xml:space="preserve"> </w:t>
      </w:r>
    </w:p>
    <w:p w:rsidR="00287486" w:rsidRPr="001A13C7" w:rsidRDefault="00287486" w:rsidP="00287486">
      <w:pPr>
        <w:rPr>
          <w:sz w:val="22"/>
          <w:szCs w:val="22"/>
        </w:rPr>
      </w:pPr>
      <w:r w:rsidRPr="001A13C7">
        <w:rPr>
          <w:sz w:val="22"/>
          <w:szCs w:val="22"/>
        </w:rPr>
        <w:t xml:space="preserve">(jazyková a stylistická úroveň, grafická úprava, dodržení příslušných citačních norem) </w:t>
      </w:r>
    </w:p>
    <w:p w:rsidR="00287486" w:rsidRPr="001A13C7" w:rsidRDefault="00F12417" w:rsidP="00287486">
      <w:pPr>
        <w:rPr>
          <w:sz w:val="22"/>
          <w:szCs w:val="22"/>
        </w:rPr>
      </w:pPr>
      <w:r>
        <w:rPr>
          <w:sz w:val="22"/>
          <w:szCs w:val="22"/>
        </w:rPr>
        <w:t xml:space="preserve">Jazyková a stylistická úroveň textu je kolísavá. Hned na úvod například Šárka Štěpánová označí </w:t>
      </w:r>
      <w:r>
        <w:rPr>
          <w:sz w:val="22"/>
          <w:szCs w:val="22"/>
        </w:rPr>
        <w:lastRenderedPageBreak/>
        <w:t>autora z řádu fantasy literatury coby „známého fantastu“. Mluvit o „polské kotlině“ lze asi jen stěží, postačil by pohled na fyzikální mapu střední Evropy. Rozpaky budí označení „český historiografický rybníček“. Patrně zapnutý systém automatických oprav textu zaměnil hlavního hrdinu románu Křižáci Zbyška z </w:t>
      </w:r>
      <w:proofErr w:type="gramStart"/>
      <w:r>
        <w:rPr>
          <w:sz w:val="22"/>
          <w:szCs w:val="22"/>
        </w:rPr>
        <w:t>Bohdance</w:t>
      </w:r>
      <w:proofErr w:type="gramEnd"/>
      <w:r>
        <w:rPr>
          <w:sz w:val="22"/>
          <w:szCs w:val="22"/>
        </w:rPr>
        <w:t xml:space="preserve"> za Zbyška z Bohdanče atp. Formální náležitosti odborného textu se však autorka snažila dodržet.</w:t>
      </w:r>
    </w:p>
    <w:p w:rsidR="00287486" w:rsidRPr="001A13C7" w:rsidRDefault="00287486" w:rsidP="00287486">
      <w:pPr>
        <w:jc w:val="both"/>
        <w:rPr>
          <w:sz w:val="22"/>
          <w:szCs w:val="22"/>
        </w:rPr>
      </w:pPr>
    </w:p>
    <w:p w:rsidR="00287486" w:rsidRPr="001A13C7" w:rsidRDefault="00287486" w:rsidP="00287486">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287486" w:rsidRPr="001A13C7" w:rsidTr="004D0F3E">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287486" w:rsidRPr="001A13C7" w:rsidRDefault="00F12417" w:rsidP="004D0F3E">
            <w:pPr>
              <w:pStyle w:val="Obsahtabulky"/>
              <w:snapToGrid w:val="0"/>
              <w:rPr>
                <w:sz w:val="22"/>
                <w:szCs w:val="22"/>
              </w:rPr>
            </w:pPr>
            <w:r>
              <w:rPr>
                <w:sz w:val="22"/>
                <w:szCs w:val="22"/>
              </w:rPr>
              <w:t>C</w:t>
            </w:r>
          </w:p>
        </w:tc>
      </w:tr>
    </w:tbl>
    <w:p w:rsidR="00287486" w:rsidRPr="001A13C7" w:rsidRDefault="00287486" w:rsidP="00287486">
      <w:pPr>
        <w:rPr>
          <w:sz w:val="22"/>
          <w:szCs w:val="22"/>
        </w:rPr>
      </w:pPr>
    </w:p>
    <w:p w:rsidR="00287486" w:rsidRPr="001A13C7" w:rsidRDefault="00287486" w:rsidP="00287486">
      <w:pPr>
        <w:rPr>
          <w:b/>
          <w:bCs/>
          <w:sz w:val="22"/>
          <w:szCs w:val="22"/>
        </w:rPr>
      </w:pPr>
    </w:p>
    <w:p w:rsidR="00287486" w:rsidRPr="001A13C7" w:rsidRDefault="00287486" w:rsidP="00287486">
      <w:pPr>
        <w:rPr>
          <w:sz w:val="22"/>
          <w:szCs w:val="22"/>
        </w:rPr>
      </w:pPr>
      <w:r w:rsidRPr="001A13C7">
        <w:rPr>
          <w:b/>
          <w:bCs/>
          <w:sz w:val="22"/>
          <w:szCs w:val="22"/>
        </w:rPr>
        <w:t>V. Otázky doporučené k rozpravě při obhajobě</w:t>
      </w:r>
      <w:r w:rsidRPr="001A13C7">
        <w:rPr>
          <w:sz w:val="22"/>
          <w:szCs w:val="22"/>
        </w:rPr>
        <w:t xml:space="preserve"> </w:t>
      </w:r>
    </w:p>
    <w:p w:rsidR="00287486" w:rsidRPr="001A13C7" w:rsidRDefault="00F12417" w:rsidP="00287486">
      <w:pPr>
        <w:rPr>
          <w:sz w:val="22"/>
          <w:szCs w:val="22"/>
        </w:rPr>
      </w:pPr>
      <w:r>
        <w:rPr>
          <w:sz w:val="22"/>
          <w:szCs w:val="22"/>
        </w:rPr>
        <w:t>K obhajobě doporučuji otázku stran geneze bádání o dějinách každodennosti.</w:t>
      </w:r>
    </w:p>
    <w:p w:rsidR="00287486" w:rsidRPr="001A13C7" w:rsidRDefault="00287486" w:rsidP="00287486">
      <w:pPr>
        <w:rPr>
          <w:sz w:val="22"/>
          <w:szCs w:val="22"/>
        </w:rPr>
      </w:pPr>
      <w:r>
        <w:rPr>
          <w:sz w:val="22"/>
          <w:szCs w:val="22"/>
        </w:rPr>
        <w:t>.</w:t>
      </w:r>
    </w:p>
    <w:p w:rsidR="00287486" w:rsidRPr="001A13C7" w:rsidRDefault="00287486" w:rsidP="00287486">
      <w:pPr>
        <w:rPr>
          <w:sz w:val="22"/>
          <w:szCs w:val="22"/>
        </w:rPr>
      </w:pPr>
    </w:p>
    <w:p w:rsidR="00287486" w:rsidRPr="001A13C7" w:rsidRDefault="00287486" w:rsidP="00287486">
      <w:pPr>
        <w:rPr>
          <w:sz w:val="22"/>
          <w:szCs w:val="22"/>
        </w:rPr>
      </w:pPr>
      <w:r w:rsidRPr="001A13C7">
        <w:rPr>
          <w:b/>
          <w:bCs/>
          <w:sz w:val="22"/>
          <w:szCs w:val="22"/>
        </w:rPr>
        <w:t>VI. Celkové hodnocení</w:t>
      </w:r>
      <w:r w:rsidRPr="001A13C7">
        <w:rPr>
          <w:sz w:val="22"/>
          <w:szCs w:val="22"/>
        </w:rPr>
        <w:t xml:space="preserve"> (doporučení/nedoporučení k obhajobě)</w:t>
      </w:r>
      <w:r w:rsidR="00E75DBE">
        <w:rPr>
          <w:sz w:val="22"/>
          <w:szCs w:val="22"/>
        </w:rPr>
        <w:t>: E (Práci doporučuji k obhajobě.)</w:t>
      </w:r>
    </w:p>
    <w:p w:rsidR="00287486" w:rsidRPr="001A13C7" w:rsidRDefault="00287486" w:rsidP="00287486">
      <w:pPr>
        <w:rPr>
          <w:sz w:val="22"/>
          <w:szCs w:val="22"/>
        </w:rPr>
      </w:pPr>
    </w:p>
    <w:p w:rsidR="00287486" w:rsidRPr="001A13C7" w:rsidRDefault="00287486" w:rsidP="00287486">
      <w:pPr>
        <w:rPr>
          <w:b/>
          <w:bCs/>
          <w:sz w:val="22"/>
          <w:szCs w:val="22"/>
        </w:rPr>
      </w:pPr>
    </w:p>
    <w:p w:rsidR="00287486" w:rsidRPr="001A13C7" w:rsidRDefault="00287486" w:rsidP="00287486">
      <w:pPr>
        <w:rPr>
          <w:sz w:val="22"/>
          <w:szCs w:val="22"/>
        </w:rPr>
      </w:pPr>
    </w:p>
    <w:p w:rsidR="00287486" w:rsidRDefault="003A66FA" w:rsidP="00287486">
      <w:pPr>
        <w:rPr>
          <w:sz w:val="22"/>
          <w:szCs w:val="22"/>
        </w:rPr>
      </w:pPr>
      <w:r>
        <w:rPr>
          <w:sz w:val="22"/>
          <w:szCs w:val="22"/>
        </w:rPr>
        <w:t xml:space="preserve">datum: </w:t>
      </w:r>
      <w:proofErr w:type="gramStart"/>
      <w:r>
        <w:rPr>
          <w:sz w:val="22"/>
          <w:szCs w:val="22"/>
        </w:rPr>
        <w:t>1.8. 2019</w:t>
      </w:r>
      <w:proofErr w:type="gramEnd"/>
      <w:r w:rsidR="00287486">
        <w:rPr>
          <w:sz w:val="22"/>
          <w:szCs w:val="22"/>
        </w:rPr>
        <w:tab/>
      </w:r>
      <w:r w:rsidR="00287486">
        <w:rPr>
          <w:sz w:val="22"/>
          <w:szCs w:val="22"/>
        </w:rPr>
        <w:tab/>
      </w:r>
      <w:r w:rsidR="00287486">
        <w:rPr>
          <w:sz w:val="22"/>
          <w:szCs w:val="22"/>
        </w:rPr>
        <w:tab/>
      </w:r>
      <w:r w:rsidR="00287486">
        <w:rPr>
          <w:sz w:val="22"/>
          <w:szCs w:val="22"/>
        </w:rPr>
        <w:tab/>
      </w:r>
      <w:r w:rsidR="00287486">
        <w:rPr>
          <w:sz w:val="22"/>
          <w:szCs w:val="22"/>
        </w:rPr>
        <w:tab/>
      </w:r>
      <w:r w:rsidR="00287486">
        <w:rPr>
          <w:sz w:val="22"/>
          <w:szCs w:val="22"/>
        </w:rPr>
        <w:tab/>
      </w:r>
      <w:r w:rsidR="00287486" w:rsidRPr="001A13C7">
        <w:rPr>
          <w:sz w:val="22"/>
          <w:szCs w:val="22"/>
        </w:rPr>
        <w:t xml:space="preserve">podpis:  </w:t>
      </w:r>
    </w:p>
    <w:p w:rsidR="003A66FA" w:rsidRDefault="003A66FA" w:rsidP="00287486">
      <w:pPr>
        <w:rPr>
          <w:sz w:val="22"/>
          <w:szCs w:val="22"/>
        </w:rPr>
      </w:pPr>
    </w:p>
    <w:p w:rsidR="003A66FA" w:rsidRPr="001A13C7" w:rsidRDefault="003A66FA" w:rsidP="00287486">
      <w:pPr>
        <w:rPr>
          <w:sz w:val="22"/>
          <w:szCs w:val="22"/>
        </w:rPr>
      </w:pPr>
      <w:r>
        <w:rPr>
          <w:sz w:val="22"/>
          <w:szCs w:val="22"/>
        </w:rPr>
        <w:tab/>
      </w:r>
      <w:r>
        <w:rPr>
          <w:sz w:val="22"/>
          <w:szCs w:val="22"/>
        </w:rPr>
        <w:tab/>
      </w:r>
      <w:r>
        <w:rPr>
          <w:sz w:val="22"/>
          <w:szCs w:val="22"/>
        </w:rPr>
        <w:tab/>
      </w:r>
      <w:r>
        <w:rPr>
          <w:sz w:val="22"/>
          <w:szCs w:val="22"/>
        </w:rPr>
        <w:tab/>
      </w:r>
      <w:r>
        <w:rPr>
          <w:sz w:val="22"/>
          <w:szCs w:val="22"/>
        </w:rPr>
        <w:tab/>
      </w:r>
      <w:bookmarkStart w:id="0" w:name="_GoBack"/>
      <w:bookmarkEnd w:id="0"/>
      <w:r>
        <w:rPr>
          <w:sz w:val="22"/>
          <w:szCs w:val="22"/>
        </w:rPr>
        <w:tab/>
      </w:r>
      <w:r>
        <w:rPr>
          <w:sz w:val="22"/>
          <w:szCs w:val="22"/>
        </w:rPr>
        <w:tab/>
      </w:r>
      <w:r>
        <w:rPr>
          <w:sz w:val="22"/>
          <w:szCs w:val="22"/>
        </w:rPr>
        <w:tab/>
      </w:r>
      <w:r>
        <w:rPr>
          <w:sz w:val="22"/>
          <w:szCs w:val="22"/>
        </w:rPr>
        <w:tab/>
      </w:r>
      <w:r>
        <w:rPr>
          <w:noProof/>
          <w:lang w:eastAsia="cs-CZ"/>
        </w:rPr>
        <w:drawing>
          <wp:inline distT="0" distB="0" distL="0" distR="0" wp14:anchorId="67B9D312" wp14:editId="5EE3400A">
            <wp:extent cx="1589888" cy="92392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602670" cy="931353"/>
                    </a:xfrm>
                    <a:prstGeom prst="rect">
                      <a:avLst/>
                    </a:prstGeom>
                    <a:noFill/>
                    <a:ln>
                      <a:noFill/>
                    </a:ln>
                  </pic:spPr>
                </pic:pic>
              </a:graphicData>
            </a:graphic>
          </wp:inline>
        </w:drawing>
      </w:r>
    </w:p>
    <w:p w:rsidR="00287486" w:rsidRPr="001A13C7" w:rsidRDefault="00287486" w:rsidP="00287486">
      <w:pPr>
        <w:rPr>
          <w:sz w:val="22"/>
          <w:szCs w:val="22"/>
        </w:rPr>
      </w:pPr>
    </w:p>
    <w:p w:rsidR="00287486" w:rsidRPr="001A13C7" w:rsidRDefault="00287486" w:rsidP="00287486">
      <w:pPr>
        <w:rPr>
          <w:sz w:val="22"/>
          <w:szCs w:val="22"/>
        </w:rPr>
      </w:pPr>
    </w:p>
    <w:p w:rsidR="00287486" w:rsidRDefault="00287486" w:rsidP="00287486"/>
    <w:p w:rsidR="00287486" w:rsidRDefault="00287486" w:rsidP="00287486"/>
    <w:p w:rsidR="0016020D" w:rsidRDefault="0016020D"/>
    <w:sectPr w:rsidR="001602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486"/>
    <w:rsid w:val="0003767E"/>
    <w:rsid w:val="000A5E96"/>
    <w:rsid w:val="0016020D"/>
    <w:rsid w:val="001A3F80"/>
    <w:rsid w:val="001C05E0"/>
    <w:rsid w:val="00287486"/>
    <w:rsid w:val="003A66FA"/>
    <w:rsid w:val="00427D78"/>
    <w:rsid w:val="00475B87"/>
    <w:rsid w:val="006D1B9D"/>
    <w:rsid w:val="006E2C72"/>
    <w:rsid w:val="0083400E"/>
    <w:rsid w:val="00A3602A"/>
    <w:rsid w:val="00A732F6"/>
    <w:rsid w:val="00D647F9"/>
    <w:rsid w:val="00D93D5B"/>
    <w:rsid w:val="00E31BF8"/>
    <w:rsid w:val="00E75DBE"/>
    <w:rsid w:val="00F12417"/>
    <w:rsid w:val="00F71C3C"/>
    <w:rsid w:val="00FA6A8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1CAA9"/>
  <w15:chartTrackingRefBased/>
  <w15:docId w15:val="{16B73532-039F-47FE-8417-EFD41AFE6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287486"/>
    <w:pPr>
      <w:widowControl w:val="0"/>
      <w:suppressAutoHyphens/>
      <w:spacing w:after="0" w:line="240" w:lineRule="auto"/>
    </w:pPr>
    <w:rPr>
      <w:rFonts w:ascii="Times New Roman" w:eastAsia="Arial Unicode MS" w:hAnsi="Times New Roman" w:cs="Times New Roman"/>
      <w:kern w:val="1"/>
      <w:sz w:val="24"/>
      <w:szCs w:val="24"/>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Obsahtabulky">
    <w:name w:val="Obsah tabulky"/>
    <w:basedOn w:val="Normln"/>
    <w:rsid w:val="00287486"/>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187</TotalTime>
  <Pages>3</Pages>
  <Words>1173</Words>
  <Characters>6924</Characters>
  <Application>Microsoft Office Word</Application>
  <DocSecurity>0</DocSecurity>
  <Lines>57</Lines>
  <Paragraphs>16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8081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Capsky Martin</dc:creator>
  <cp:keywords/>
  <dc:description/>
  <cp:lastModifiedBy>Capsky Martin</cp:lastModifiedBy>
  <cp:revision>5</cp:revision>
  <dcterms:created xsi:type="dcterms:W3CDTF">2019-08-04T01:06:00Z</dcterms:created>
  <dcterms:modified xsi:type="dcterms:W3CDTF">2019-08-15T04:12:00Z</dcterms:modified>
</cp:coreProperties>
</file>