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164C" w:rsidRPr="00636C24" w:rsidRDefault="00EF361D" w:rsidP="00CD0161">
      <w:pPr>
        <w:pStyle w:val="TitleNazov"/>
        <w:rPr>
          <w:lang w:val="en-GB"/>
        </w:rPr>
      </w:pPr>
      <w:r w:rsidRPr="00636C24">
        <w:rPr>
          <w:color w:val="222222"/>
          <w:lang w:val="en-GB"/>
        </w:rPr>
        <w:t>Reducing information asymmetries in the reports company using sentiment analysis of textual sources</w:t>
      </w:r>
    </w:p>
    <w:p w:rsidR="002D397F" w:rsidRPr="00D0254B" w:rsidRDefault="00CA1EE5" w:rsidP="001B1F82">
      <w:pPr>
        <w:pStyle w:val="TitleNazov"/>
      </w:pPr>
      <w:r>
        <w:t xml:space="preserve">Snížení asymetrie informací ve výročních zprávách společností využitím analýzy sentimentu </w:t>
      </w:r>
      <w:r w:rsidR="008C53CD">
        <w:t>textových zdrojů</w:t>
      </w:r>
    </w:p>
    <w:p w:rsidR="00414396" w:rsidRPr="001753B9" w:rsidRDefault="00414396" w:rsidP="00414396">
      <w:pPr>
        <w:pStyle w:val="Authors"/>
      </w:pPr>
      <w:r>
        <w:t>Renáta Myšková</w:t>
      </w:r>
      <w:r w:rsidR="007E164C" w:rsidRPr="00574AC9">
        <w:rPr>
          <w:rStyle w:val="Znakapoznpodarou"/>
          <w:b w:val="0"/>
        </w:rPr>
        <w:footnoteReference w:id="1"/>
      </w:r>
      <w:r>
        <w:t>, Petr Hájek</w:t>
      </w:r>
      <w:r w:rsidRPr="00574AC9">
        <w:rPr>
          <w:rStyle w:val="Znakapoznpodarou"/>
          <w:b w:val="0"/>
        </w:rPr>
        <w:footnoteReference w:id="2"/>
      </w:r>
    </w:p>
    <w:p w:rsidR="00C05D32" w:rsidRPr="00676B7D" w:rsidRDefault="00C05D32" w:rsidP="00177D6B">
      <w:pPr>
        <w:pStyle w:val="Abstract"/>
        <w:spacing w:before="1080"/>
        <w:ind w:right="140" w:firstLine="0"/>
        <w:rPr>
          <w:sz w:val="20"/>
          <w:szCs w:val="20"/>
        </w:rPr>
      </w:pPr>
      <w:r w:rsidRPr="00676B7D">
        <w:rPr>
          <w:sz w:val="20"/>
          <w:szCs w:val="20"/>
        </w:rPr>
        <w:t>Abstract</w:t>
      </w:r>
    </w:p>
    <w:p w:rsidR="00484409" w:rsidRPr="00A55E71" w:rsidRDefault="00484409" w:rsidP="004844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color w:val="212121"/>
          <w:sz w:val="20"/>
          <w:szCs w:val="20"/>
          <w:lang w:val="en"/>
        </w:rPr>
      </w:pPr>
      <w:r w:rsidRPr="00A55E71">
        <w:rPr>
          <w:i/>
          <w:color w:val="212121"/>
          <w:sz w:val="20"/>
          <w:szCs w:val="20"/>
          <w:lang w:val="en-US"/>
        </w:rPr>
        <w:t>All of the</w:t>
      </w:r>
      <w:r w:rsidRPr="00A55E71">
        <w:rPr>
          <w:i/>
          <w:color w:val="212121"/>
          <w:sz w:val="20"/>
          <w:szCs w:val="20"/>
          <w:lang w:val="en"/>
        </w:rPr>
        <w:t xml:space="preserve"> information that the annual report should contain is intended to provide users of financial statements and the annual report the necessary knowledge to assess the financial health of the company and its market position. The information is of financial and non-financial nature, however, differing interests of stakeholders may result in information asymmetry, leading to a situation in which the information is</w:t>
      </w:r>
      <w:r>
        <w:rPr>
          <w:i/>
          <w:color w:val="212121"/>
          <w:sz w:val="20"/>
          <w:szCs w:val="20"/>
          <w:lang w:val="en"/>
        </w:rPr>
        <w:t xml:space="preserve"> </w:t>
      </w:r>
      <w:r w:rsidRPr="00A55E71">
        <w:rPr>
          <w:i/>
          <w:color w:val="212121"/>
          <w:sz w:val="20"/>
          <w:szCs w:val="20"/>
          <w:lang w:val="en"/>
        </w:rPr>
        <w:t>interpreted differently, depending on the purpose of the presentation, the experience of users and their knowledge. Sentiment analysis of multiple text sources is used to reduce asymmetry and therefore enhance the explanatory power of annual reports. The aim of the analysis is to assess the extent to which the use of dictionaries, created to examine the level of sentiment in these texts, leads to the reduction of information asymmetry.</w:t>
      </w:r>
    </w:p>
    <w:p w:rsidR="002D397F" w:rsidRPr="00676B7D" w:rsidRDefault="002D397F" w:rsidP="00177D6B">
      <w:pPr>
        <w:pStyle w:val="KeyWords"/>
        <w:spacing w:before="360"/>
        <w:ind w:right="140" w:firstLine="0"/>
        <w:rPr>
          <w:sz w:val="20"/>
          <w:szCs w:val="20"/>
        </w:rPr>
      </w:pPr>
      <w:r w:rsidRPr="00676B7D">
        <w:rPr>
          <w:sz w:val="20"/>
          <w:szCs w:val="20"/>
        </w:rPr>
        <w:t>Key words</w:t>
      </w:r>
    </w:p>
    <w:p w:rsidR="002D397F" w:rsidRPr="00676B7D" w:rsidRDefault="009316C3" w:rsidP="005275ED">
      <w:pPr>
        <w:pStyle w:val="Abstracttext"/>
        <w:ind w:right="140"/>
        <w:rPr>
          <w:sz w:val="20"/>
          <w:szCs w:val="20"/>
        </w:rPr>
      </w:pPr>
      <w:r>
        <w:rPr>
          <w:sz w:val="20"/>
          <w:szCs w:val="20"/>
        </w:rPr>
        <w:t>Annual reports</w:t>
      </w:r>
      <w:r w:rsidR="005275ED">
        <w:rPr>
          <w:sz w:val="20"/>
          <w:szCs w:val="20"/>
        </w:rPr>
        <w:t xml:space="preserve">, </w:t>
      </w:r>
      <w:r>
        <w:rPr>
          <w:sz w:val="20"/>
          <w:szCs w:val="20"/>
        </w:rPr>
        <w:t xml:space="preserve">sentiment </w:t>
      </w:r>
      <w:r w:rsidR="005275ED">
        <w:rPr>
          <w:sz w:val="20"/>
          <w:szCs w:val="20"/>
        </w:rPr>
        <w:t>anal</w:t>
      </w:r>
      <w:r>
        <w:rPr>
          <w:sz w:val="20"/>
          <w:szCs w:val="20"/>
        </w:rPr>
        <w:t>ysis of textual sources</w:t>
      </w:r>
      <w:r w:rsidR="005275ED">
        <w:rPr>
          <w:sz w:val="20"/>
          <w:szCs w:val="20"/>
        </w:rPr>
        <w:t xml:space="preserve">, </w:t>
      </w:r>
      <w:r>
        <w:rPr>
          <w:sz w:val="20"/>
          <w:szCs w:val="20"/>
        </w:rPr>
        <w:t xml:space="preserve">information </w:t>
      </w:r>
      <w:r w:rsidR="005275ED">
        <w:rPr>
          <w:sz w:val="20"/>
          <w:szCs w:val="20"/>
        </w:rPr>
        <w:t>asy</w:t>
      </w:r>
      <w:r>
        <w:rPr>
          <w:sz w:val="20"/>
          <w:szCs w:val="20"/>
        </w:rPr>
        <w:t>m</w:t>
      </w:r>
      <w:r w:rsidR="005275ED">
        <w:rPr>
          <w:sz w:val="20"/>
          <w:szCs w:val="20"/>
        </w:rPr>
        <w:t>metrie</w:t>
      </w:r>
      <w:r>
        <w:rPr>
          <w:sz w:val="20"/>
          <w:szCs w:val="20"/>
        </w:rPr>
        <w:t>s</w:t>
      </w:r>
      <w:r w:rsidR="005275ED">
        <w:rPr>
          <w:sz w:val="20"/>
          <w:szCs w:val="20"/>
        </w:rPr>
        <w:t>, stakeholders</w:t>
      </w:r>
      <w:r w:rsidR="00ED3EE4" w:rsidRPr="00676B7D">
        <w:rPr>
          <w:sz w:val="20"/>
          <w:szCs w:val="20"/>
        </w:rPr>
        <w:t>.</w:t>
      </w:r>
    </w:p>
    <w:p w:rsidR="00C05D32" w:rsidRPr="00676B7D" w:rsidRDefault="002D397F" w:rsidP="00177D6B">
      <w:pPr>
        <w:pStyle w:val="JEL"/>
        <w:spacing w:before="360"/>
        <w:ind w:right="140" w:firstLine="0"/>
        <w:rPr>
          <w:sz w:val="20"/>
          <w:szCs w:val="20"/>
        </w:rPr>
      </w:pPr>
      <w:r w:rsidRPr="00676B7D">
        <w:rPr>
          <w:sz w:val="20"/>
          <w:szCs w:val="20"/>
        </w:rPr>
        <w:t>JEL Classification</w:t>
      </w:r>
    </w:p>
    <w:p w:rsidR="00032D6D" w:rsidRPr="00032D6D" w:rsidRDefault="00032D6D" w:rsidP="00032D6D">
      <w:pPr>
        <w:jc w:val="both"/>
        <w:rPr>
          <w:bCs/>
          <w:i/>
          <w:sz w:val="20"/>
          <w:szCs w:val="20"/>
          <w:lang w:val="en-GB"/>
        </w:rPr>
      </w:pPr>
      <w:r w:rsidRPr="00032D6D">
        <w:rPr>
          <w:bCs/>
          <w:i/>
          <w:sz w:val="20"/>
          <w:szCs w:val="20"/>
          <w:lang w:val="en-GB"/>
        </w:rPr>
        <w:t>C34, G31, G33</w:t>
      </w:r>
    </w:p>
    <w:p w:rsidR="007E164C" w:rsidRPr="008A0B7E" w:rsidRDefault="00F507B7" w:rsidP="00676B7D">
      <w:pPr>
        <w:pStyle w:val="Nadpis1"/>
        <w:spacing w:before="600"/>
        <w:ind w:left="0" w:firstLine="0"/>
        <w:rPr>
          <w:lang w:val="cs-CZ"/>
        </w:rPr>
      </w:pPr>
      <w:r w:rsidRPr="008A0B7E">
        <w:rPr>
          <w:lang w:val="cs-CZ"/>
        </w:rPr>
        <w:t>Úvod</w:t>
      </w:r>
    </w:p>
    <w:p w:rsidR="00F507B7" w:rsidRPr="008A0B7E" w:rsidRDefault="00F507B7" w:rsidP="0084058B">
      <w:pPr>
        <w:autoSpaceDE w:val="0"/>
        <w:autoSpaceDN w:val="0"/>
        <w:ind w:firstLine="284"/>
        <w:jc w:val="both"/>
        <w:rPr>
          <w:szCs w:val="20"/>
        </w:rPr>
      </w:pPr>
      <w:r w:rsidRPr="008A0B7E">
        <w:rPr>
          <w:szCs w:val="20"/>
        </w:rPr>
        <w:t>Cílem výroční zprávy je podat komplexní informace nejen o činnosti a ekonomických výsledcích společnosti, ale také o okolnostech, které k dosaženým výsledkům vedly, a o jejím předpokládaném vývoji. Součástí výročních zpráv jsou finanční výkazy, které musí každá účetní jednotka povinně sestavovat a na jejichž základě lze posoudit  finanční situaci sledované společnosti, ovšem neméně důležité jsou další, nefinanční informace. Některé z těchto údajů jsou obsaženy v příloze k účetní závěrce a národní úprava účetnictví vždy vymezuje i další konkrétní oblasti, které je nutné ve výročních zprávách komentovat.</w:t>
      </w:r>
    </w:p>
    <w:p w:rsidR="004C689C" w:rsidRPr="008A0B7E" w:rsidRDefault="00F507B7" w:rsidP="0084058B">
      <w:pPr>
        <w:autoSpaceDE w:val="0"/>
        <w:autoSpaceDN w:val="0"/>
        <w:ind w:firstLine="284"/>
        <w:jc w:val="both"/>
        <w:rPr>
          <w:szCs w:val="20"/>
        </w:rPr>
      </w:pPr>
      <w:r w:rsidRPr="008A0B7E">
        <w:rPr>
          <w:szCs w:val="20"/>
        </w:rPr>
        <w:t>Jedná se především o skutečnosti významné pro naplnění účelu výroční zprávy, které ovlivňují výkonnost společnosti, její činnost a hospodářské postavení a které nastaly až po rozvahovém dni. Dále je obvykle požadováno popsat aktivity v oblasti výzkumu a vývoje a</w:t>
      </w:r>
      <w:r w:rsidR="00C61D6B" w:rsidRPr="008A0B7E">
        <w:rPr>
          <w:szCs w:val="20"/>
        </w:rPr>
        <w:t> </w:t>
      </w:r>
      <w:r w:rsidRPr="008A0B7E">
        <w:rPr>
          <w:szCs w:val="20"/>
        </w:rPr>
        <w:t>předpokládaný vývoj účetní jednotky, ovšem struktura a rozsah těchto informací již nejsou</w:t>
      </w:r>
      <w:r w:rsidRPr="008A0B7E">
        <w:t xml:space="preserve"> </w:t>
      </w:r>
      <w:r w:rsidRPr="008A0B7E">
        <w:rPr>
          <w:szCs w:val="20"/>
        </w:rPr>
        <w:lastRenderedPageBreak/>
        <w:t xml:space="preserve">deklarovány. V souvislosti s povinnými údaji lze také zmínit povinnosti vyplývající ze zvláštních právních předpisů, kterými se daná účetní jednotka řídí – například povinnosti informační povinnost o rizicích a jejich řízení v případě, kdy společnost používá investiční instrumenty, a tato rizika jsou významná pro celkové posouzení účetní závěrky. I přes tyto povinnosti však výroční zpráva nemusí poskytovat dostatek informací všem jejím uživatelům, zejména stávajícím i potencionálním investorům. </w:t>
      </w:r>
    </w:p>
    <w:p w:rsidR="00C61D6B" w:rsidRPr="008A0B7E" w:rsidRDefault="00F507B7" w:rsidP="0084058B">
      <w:pPr>
        <w:autoSpaceDE w:val="0"/>
        <w:autoSpaceDN w:val="0"/>
        <w:ind w:firstLine="284"/>
        <w:jc w:val="both"/>
        <w:rPr>
          <w:szCs w:val="20"/>
        </w:rPr>
      </w:pPr>
      <w:r w:rsidRPr="008A0B7E">
        <w:rPr>
          <w:szCs w:val="20"/>
        </w:rPr>
        <w:t xml:space="preserve">Význam výroční zprávy </w:t>
      </w:r>
      <w:r w:rsidR="00171F88" w:rsidRPr="008A0B7E">
        <w:rPr>
          <w:szCs w:val="20"/>
        </w:rPr>
        <w:t xml:space="preserve">a v ní zveřejňovaných informací </w:t>
      </w:r>
      <w:r w:rsidR="00E17691" w:rsidRPr="008A0B7E">
        <w:rPr>
          <w:szCs w:val="20"/>
        </w:rPr>
        <w:t xml:space="preserve">v souvislosti s rozhodováním je podle </w:t>
      </w:r>
      <w:proofErr w:type="spellStart"/>
      <w:r w:rsidR="00E17691" w:rsidRPr="008A0B7E">
        <w:rPr>
          <w:szCs w:val="20"/>
        </w:rPr>
        <w:t>Feldmana</w:t>
      </w:r>
      <w:proofErr w:type="spellEnd"/>
      <w:r w:rsidR="00E17691" w:rsidRPr="008A0B7E">
        <w:rPr>
          <w:szCs w:val="20"/>
        </w:rPr>
        <w:t xml:space="preserve"> a kol. (2010) nesporný, </w:t>
      </w:r>
      <w:r w:rsidR="00C055BF" w:rsidRPr="008A0B7E">
        <w:rPr>
          <w:szCs w:val="20"/>
        </w:rPr>
        <w:t xml:space="preserve">podobně i </w:t>
      </w:r>
      <w:proofErr w:type="spellStart"/>
      <w:r w:rsidR="00C055BF" w:rsidRPr="008A0B7E">
        <w:rPr>
          <w:szCs w:val="20"/>
        </w:rPr>
        <w:t>C</w:t>
      </w:r>
      <w:r w:rsidR="0084058B" w:rsidRPr="008A0B7E">
        <w:rPr>
          <w:szCs w:val="20"/>
        </w:rPr>
        <w:t>zillingová</w:t>
      </w:r>
      <w:proofErr w:type="spellEnd"/>
      <w:r w:rsidR="0084058B" w:rsidRPr="008A0B7E">
        <w:rPr>
          <w:szCs w:val="20"/>
        </w:rPr>
        <w:t xml:space="preserve"> a kol. (2012)</w:t>
      </w:r>
      <w:r w:rsidR="00C055BF" w:rsidRPr="008A0B7E">
        <w:rPr>
          <w:szCs w:val="20"/>
        </w:rPr>
        <w:t xml:space="preserve"> zdůrazňují potřebu hodnotit společnosti na základě všech jejich aktivit,</w:t>
      </w:r>
      <w:r w:rsidR="00663779" w:rsidRPr="008A0B7E">
        <w:rPr>
          <w:szCs w:val="20"/>
        </w:rPr>
        <w:t xml:space="preserve"> </w:t>
      </w:r>
      <w:r w:rsidR="00E17691" w:rsidRPr="008A0B7E">
        <w:rPr>
          <w:szCs w:val="20"/>
        </w:rPr>
        <w:t>ovšem názory se liší vzhledem k rozsahu i</w:t>
      </w:r>
      <w:r w:rsidR="00681958">
        <w:rPr>
          <w:szCs w:val="20"/>
        </w:rPr>
        <w:t> </w:t>
      </w:r>
      <w:r w:rsidR="00E17691" w:rsidRPr="008A0B7E">
        <w:rPr>
          <w:szCs w:val="20"/>
        </w:rPr>
        <w:t xml:space="preserve">zabarvení výročních zpráv. </w:t>
      </w:r>
    </w:p>
    <w:p w:rsidR="00F507B7" w:rsidRPr="008A0B7E" w:rsidRDefault="00F507B7" w:rsidP="0084058B">
      <w:pPr>
        <w:autoSpaceDE w:val="0"/>
        <w:autoSpaceDN w:val="0"/>
        <w:ind w:firstLine="284"/>
        <w:jc w:val="both"/>
        <w:rPr>
          <w:szCs w:val="20"/>
        </w:rPr>
      </w:pPr>
      <w:proofErr w:type="spellStart"/>
      <w:r w:rsidRPr="008A0B7E">
        <w:rPr>
          <w:szCs w:val="20"/>
        </w:rPr>
        <w:t>Loughran</w:t>
      </w:r>
      <w:proofErr w:type="spellEnd"/>
      <w:r w:rsidRPr="008A0B7E">
        <w:rPr>
          <w:szCs w:val="20"/>
        </w:rPr>
        <w:t xml:space="preserve"> a McDonald (2011) </w:t>
      </w:r>
      <w:r w:rsidR="00E17691" w:rsidRPr="008A0B7E">
        <w:rPr>
          <w:szCs w:val="20"/>
        </w:rPr>
        <w:t xml:space="preserve">považují rozsáhlé komentáře za negativum, </w:t>
      </w:r>
      <w:r w:rsidR="00B429BF" w:rsidRPr="008A0B7E">
        <w:rPr>
          <w:szCs w:val="20"/>
        </w:rPr>
        <w:t xml:space="preserve">naopak měkké informace a sentiment ve výročních zprávách preferují </w:t>
      </w:r>
      <w:proofErr w:type="spellStart"/>
      <w:r w:rsidR="00B429BF" w:rsidRPr="008A0B7E">
        <w:rPr>
          <w:szCs w:val="20"/>
        </w:rPr>
        <w:t>Tsai</w:t>
      </w:r>
      <w:proofErr w:type="spellEnd"/>
      <w:r w:rsidR="00B429BF" w:rsidRPr="008A0B7E">
        <w:rPr>
          <w:szCs w:val="20"/>
        </w:rPr>
        <w:t xml:space="preserve"> a </w:t>
      </w:r>
      <w:proofErr w:type="spellStart"/>
      <w:r w:rsidR="00B429BF" w:rsidRPr="008A0B7E">
        <w:rPr>
          <w:szCs w:val="20"/>
        </w:rPr>
        <w:t>Wang</w:t>
      </w:r>
      <w:proofErr w:type="spellEnd"/>
      <w:r w:rsidR="00B429BF" w:rsidRPr="008A0B7E">
        <w:rPr>
          <w:szCs w:val="20"/>
        </w:rPr>
        <w:t xml:space="preserve"> (2017), kteří považují sentiment ve výročních zprávách za jejich nejvýznamnější složku</w:t>
      </w:r>
      <w:r w:rsidR="007052F9">
        <w:rPr>
          <w:szCs w:val="20"/>
        </w:rPr>
        <w:t>.</w:t>
      </w:r>
      <w:r w:rsidR="00B429BF" w:rsidRPr="008A0B7E">
        <w:rPr>
          <w:szCs w:val="20"/>
        </w:rPr>
        <w:t xml:space="preserve"> </w:t>
      </w:r>
      <w:proofErr w:type="spellStart"/>
      <w:r w:rsidR="00B429BF" w:rsidRPr="008A0B7E">
        <w:rPr>
          <w:szCs w:val="20"/>
        </w:rPr>
        <w:t>Leidner</w:t>
      </w:r>
      <w:proofErr w:type="spellEnd"/>
      <w:r w:rsidR="00B429BF" w:rsidRPr="008A0B7E">
        <w:rPr>
          <w:szCs w:val="20"/>
        </w:rPr>
        <w:t xml:space="preserve"> a </w:t>
      </w:r>
      <w:proofErr w:type="spellStart"/>
      <w:r w:rsidR="00B429BF" w:rsidRPr="008A0B7E">
        <w:rPr>
          <w:szCs w:val="20"/>
        </w:rPr>
        <w:t>Schilder</w:t>
      </w:r>
      <w:proofErr w:type="spellEnd"/>
      <w:r w:rsidR="00B429BF" w:rsidRPr="008A0B7E">
        <w:rPr>
          <w:szCs w:val="20"/>
        </w:rPr>
        <w:t xml:space="preserve"> (2010) využili komentáře při předvídání rizik podniků. </w:t>
      </w:r>
      <w:r w:rsidR="00E17691" w:rsidRPr="008A0B7E">
        <w:rPr>
          <w:szCs w:val="20"/>
        </w:rPr>
        <w:t xml:space="preserve">Podle </w:t>
      </w:r>
      <w:proofErr w:type="spellStart"/>
      <w:r w:rsidRPr="008A0B7E">
        <w:rPr>
          <w:szCs w:val="20"/>
        </w:rPr>
        <w:t>Li</w:t>
      </w:r>
      <w:proofErr w:type="spellEnd"/>
      <w:r w:rsidRPr="008A0B7E">
        <w:rPr>
          <w:szCs w:val="20"/>
        </w:rPr>
        <w:t xml:space="preserve"> (2010), </w:t>
      </w:r>
      <w:proofErr w:type="spellStart"/>
      <w:r w:rsidRPr="008A0B7E">
        <w:rPr>
          <w:szCs w:val="20"/>
        </w:rPr>
        <w:t>Demers</w:t>
      </w:r>
      <w:r w:rsidR="00E17691" w:rsidRPr="008A0B7E">
        <w:rPr>
          <w:szCs w:val="20"/>
        </w:rPr>
        <w:t>e</w:t>
      </w:r>
      <w:proofErr w:type="spellEnd"/>
      <w:r w:rsidRPr="008A0B7E">
        <w:rPr>
          <w:szCs w:val="20"/>
        </w:rPr>
        <w:t xml:space="preserve"> a Veg</w:t>
      </w:r>
      <w:r w:rsidR="00E17691" w:rsidRPr="008A0B7E">
        <w:rPr>
          <w:szCs w:val="20"/>
        </w:rPr>
        <w:t>y</w:t>
      </w:r>
      <w:r w:rsidRPr="008A0B7E">
        <w:rPr>
          <w:szCs w:val="20"/>
        </w:rPr>
        <w:t xml:space="preserve"> (2014) </w:t>
      </w:r>
      <w:r w:rsidR="00E17691" w:rsidRPr="008A0B7E">
        <w:rPr>
          <w:szCs w:val="20"/>
        </w:rPr>
        <w:t xml:space="preserve">např. </w:t>
      </w:r>
      <w:r w:rsidRPr="008A0B7E">
        <w:rPr>
          <w:szCs w:val="20"/>
        </w:rPr>
        <w:t>pozitivní sentiment ve výročních zprávách naznačuje pozitivní budoucí příjmy</w:t>
      </w:r>
      <w:r w:rsidR="00E17691" w:rsidRPr="008A0B7E">
        <w:rPr>
          <w:szCs w:val="20"/>
        </w:rPr>
        <w:t xml:space="preserve">, </w:t>
      </w:r>
      <w:r w:rsidRPr="008A0B7E">
        <w:rPr>
          <w:szCs w:val="20"/>
        </w:rPr>
        <w:t xml:space="preserve">Davis </w:t>
      </w:r>
      <w:r w:rsidR="00E17691" w:rsidRPr="008A0B7E">
        <w:rPr>
          <w:szCs w:val="20"/>
        </w:rPr>
        <w:t>a</w:t>
      </w:r>
      <w:r w:rsidR="00681958">
        <w:rPr>
          <w:szCs w:val="20"/>
        </w:rPr>
        <w:t> </w:t>
      </w:r>
      <w:r w:rsidR="00E17691" w:rsidRPr="008A0B7E">
        <w:rPr>
          <w:szCs w:val="20"/>
        </w:rPr>
        <w:t xml:space="preserve">kol. </w:t>
      </w:r>
      <w:r w:rsidRPr="008A0B7E">
        <w:rPr>
          <w:szCs w:val="20"/>
        </w:rPr>
        <w:t xml:space="preserve">(2012) </w:t>
      </w:r>
      <w:r w:rsidR="00E17691" w:rsidRPr="008A0B7E">
        <w:rPr>
          <w:szCs w:val="20"/>
        </w:rPr>
        <w:t xml:space="preserve">ve svém výzkumu prezentují pozitivní dopad </w:t>
      </w:r>
      <w:r w:rsidR="00A32A0D" w:rsidRPr="008A0B7E">
        <w:rPr>
          <w:szCs w:val="20"/>
        </w:rPr>
        <w:t xml:space="preserve">pozitivně laděných zpráv </w:t>
      </w:r>
      <w:r w:rsidRPr="008A0B7E">
        <w:rPr>
          <w:szCs w:val="20"/>
        </w:rPr>
        <w:t>na akciov</w:t>
      </w:r>
      <w:r w:rsidR="00E17691" w:rsidRPr="008A0B7E">
        <w:rPr>
          <w:szCs w:val="20"/>
        </w:rPr>
        <w:t>ý</w:t>
      </w:r>
      <w:r w:rsidRPr="008A0B7E">
        <w:rPr>
          <w:szCs w:val="20"/>
        </w:rPr>
        <w:t xml:space="preserve"> trh v krátkém časovém období při oznámení hospodářských výsledků. </w:t>
      </w:r>
      <w:proofErr w:type="spellStart"/>
      <w:r w:rsidRPr="008A0B7E">
        <w:rPr>
          <w:szCs w:val="20"/>
        </w:rPr>
        <w:t>Kothari</w:t>
      </w:r>
      <w:proofErr w:type="spellEnd"/>
      <w:r w:rsidRPr="008A0B7E">
        <w:rPr>
          <w:szCs w:val="20"/>
        </w:rPr>
        <w:t xml:space="preserve"> </w:t>
      </w:r>
      <w:r w:rsidR="00E83259" w:rsidRPr="008A0B7E">
        <w:rPr>
          <w:szCs w:val="20"/>
        </w:rPr>
        <w:t xml:space="preserve">a kol. </w:t>
      </w:r>
      <w:r w:rsidRPr="008A0B7E">
        <w:rPr>
          <w:szCs w:val="20"/>
        </w:rPr>
        <w:t xml:space="preserve">(2009) </w:t>
      </w:r>
      <w:r w:rsidR="008A05E5" w:rsidRPr="008A0B7E">
        <w:rPr>
          <w:szCs w:val="20"/>
        </w:rPr>
        <w:t xml:space="preserve">oproti tomu </w:t>
      </w:r>
      <w:r w:rsidR="00E83259" w:rsidRPr="008A0B7E">
        <w:rPr>
          <w:szCs w:val="20"/>
        </w:rPr>
        <w:t>uvádějí, že</w:t>
      </w:r>
      <w:r w:rsidRPr="008A0B7E">
        <w:rPr>
          <w:szCs w:val="20"/>
        </w:rPr>
        <w:t xml:space="preserve"> příznivé zprávy (obecně, v tisku i ve výroční zprávě) ved</w:t>
      </w:r>
      <w:r w:rsidR="00E83259" w:rsidRPr="008A0B7E">
        <w:rPr>
          <w:szCs w:val="20"/>
        </w:rPr>
        <w:t>o</w:t>
      </w:r>
      <w:r w:rsidRPr="008A0B7E">
        <w:rPr>
          <w:szCs w:val="20"/>
        </w:rPr>
        <w:t>u k podcenění podnikových rizik.</w:t>
      </w:r>
      <w:r w:rsidR="008A05E5" w:rsidRPr="008A0B7E">
        <w:rPr>
          <w:szCs w:val="20"/>
        </w:rPr>
        <w:t xml:space="preserve"> </w:t>
      </w:r>
    </w:p>
    <w:p w:rsidR="008A05E5" w:rsidRPr="008A0B7E" w:rsidRDefault="008A05E5" w:rsidP="0084058B">
      <w:pPr>
        <w:autoSpaceDE w:val="0"/>
        <w:autoSpaceDN w:val="0"/>
        <w:ind w:firstLine="284"/>
        <w:jc w:val="both"/>
        <w:rPr>
          <w:szCs w:val="20"/>
        </w:rPr>
      </w:pPr>
      <w:r w:rsidRPr="008A0B7E">
        <w:rPr>
          <w:szCs w:val="20"/>
        </w:rPr>
        <w:t xml:space="preserve">Cílem tohoto článku je pomocí analýzy sentimentu vícenásobných textových zdrojů posoudit výroční zprávy vybraných společností a zjistit, zda prezentované výsledky jsou slovně vysvětlovány, na které oblasti podnikových činností se tyto komentáře zaměřují a zda poskytují dostatek doplňujících informací </w:t>
      </w:r>
      <w:proofErr w:type="spellStart"/>
      <w:r w:rsidRPr="008A0B7E">
        <w:rPr>
          <w:szCs w:val="20"/>
        </w:rPr>
        <w:t>stakeholderům</w:t>
      </w:r>
      <w:proofErr w:type="spellEnd"/>
      <w:r w:rsidRPr="008A0B7E">
        <w:rPr>
          <w:szCs w:val="20"/>
        </w:rPr>
        <w:t>.</w:t>
      </w:r>
    </w:p>
    <w:p w:rsidR="007E164C" w:rsidRPr="008A0B7E" w:rsidRDefault="001A1026" w:rsidP="00F507B7">
      <w:pPr>
        <w:pStyle w:val="Nadpis1"/>
        <w:spacing w:before="600"/>
        <w:ind w:left="0" w:firstLine="0"/>
        <w:rPr>
          <w:lang w:val="cs-CZ"/>
        </w:rPr>
      </w:pPr>
      <w:r w:rsidRPr="008A0B7E">
        <w:rPr>
          <w:lang w:val="cs-CZ"/>
        </w:rPr>
        <w:t>A</w:t>
      </w:r>
      <w:r w:rsidR="00B9472A" w:rsidRPr="008A0B7E">
        <w:rPr>
          <w:lang w:val="cs-CZ"/>
        </w:rPr>
        <w:t>symetrie informací a možnosti jejího omezení</w:t>
      </w:r>
    </w:p>
    <w:p w:rsidR="00B9472A" w:rsidRPr="00F0669C" w:rsidRDefault="00B9472A" w:rsidP="00B9472A">
      <w:pPr>
        <w:pStyle w:val="Nadpis2"/>
        <w:spacing w:before="360"/>
        <w:rPr>
          <w:lang w:val="cs-CZ"/>
        </w:rPr>
      </w:pPr>
      <w:r w:rsidRPr="00F0669C">
        <w:rPr>
          <w:lang w:val="cs-CZ"/>
        </w:rPr>
        <w:t xml:space="preserve">Důvody asymetrie informací ve výročních zprávách </w:t>
      </w:r>
    </w:p>
    <w:p w:rsidR="00B82CE3" w:rsidRPr="00C02D1F" w:rsidRDefault="00B82CE3" w:rsidP="0084058B">
      <w:pPr>
        <w:autoSpaceDE w:val="0"/>
        <w:autoSpaceDN w:val="0"/>
        <w:ind w:firstLine="284"/>
        <w:jc w:val="both"/>
        <w:rPr>
          <w:szCs w:val="20"/>
        </w:rPr>
      </w:pPr>
      <w:r w:rsidRPr="00C02D1F">
        <w:rPr>
          <w:szCs w:val="20"/>
        </w:rPr>
        <w:t xml:space="preserve">Vyjdeme-li ze struktury </w:t>
      </w:r>
      <w:proofErr w:type="spellStart"/>
      <w:r w:rsidRPr="00C02D1F">
        <w:rPr>
          <w:szCs w:val="20"/>
        </w:rPr>
        <w:t>stakeholderů</w:t>
      </w:r>
      <w:proofErr w:type="spellEnd"/>
      <w:r w:rsidRPr="00C02D1F">
        <w:rPr>
          <w:szCs w:val="20"/>
        </w:rPr>
        <w:t>, lze stanovit, které informace budou jednotlivé skupiny ve výročních zprávách zajímat. Vlastníci (stávající investoři) se zaměřují na informace potřebné pro posouzení, zda záměry manažerů zajišťují trvání a rozvoj podniku a</w:t>
      </w:r>
      <w:r w:rsidR="00C61D6B" w:rsidRPr="00C02D1F">
        <w:rPr>
          <w:szCs w:val="20"/>
        </w:rPr>
        <w:t> </w:t>
      </w:r>
      <w:r w:rsidRPr="00C02D1F">
        <w:rPr>
          <w:szCs w:val="20"/>
        </w:rPr>
        <w:t>zda dochází k zhodnocení. To je spojeno se ziskovostí jejich investice</w:t>
      </w:r>
      <w:r w:rsidR="007052F9">
        <w:rPr>
          <w:szCs w:val="20"/>
        </w:rPr>
        <w:t>,</w:t>
      </w:r>
      <w:r w:rsidRPr="00C02D1F">
        <w:rPr>
          <w:szCs w:val="20"/>
        </w:rPr>
        <w:t xml:space="preserve"> s výší rizika, které je s ní spojeno,</w:t>
      </w:r>
      <w:r w:rsidR="007052F9">
        <w:rPr>
          <w:szCs w:val="20"/>
        </w:rPr>
        <w:t> </w:t>
      </w:r>
      <w:r w:rsidRPr="00C02D1F">
        <w:rPr>
          <w:szCs w:val="20"/>
        </w:rPr>
        <w:t>a</w:t>
      </w:r>
      <w:r w:rsidR="007052F9">
        <w:rPr>
          <w:szCs w:val="20"/>
        </w:rPr>
        <w:t> </w:t>
      </w:r>
      <w:r w:rsidRPr="00C02D1F">
        <w:rPr>
          <w:szCs w:val="20"/>
        </w:rPr>
        <w:t>se stabilitou vlastněné společnosti. Významným kritériem je rovněž dividendová politika a</w:t>
      </w:r>
      <w:r w:rsidR="00681958">
        <w:rPr>
          <w:szCs w:val="20"/>
        </w:rPr>
        <w:t> </w:t>
      </w:r>
      <w:r w:rsidRPr="00C02D1F">
        <w:rPr>
          <w:szCs w:val="20"/>
        </w:rPr>
        <w:t xml:space="preserve">výše dividend. </w:t>
      </w:r>
    </w:p>
    <w:p w:rsidR="005A5DFB" w:rsidRDefault="00B82CE3" w:rsidP="005A5DFB">
      <w:pPr>
        <w:ind w:firstLine="708"/>
        <w:jc w:val="both"/>
      </w:pPr>
      <w:r w:rsidRPr="00C02D1F">
        <w:rPr>
          <w:szCs w:val="20"/>
        </w:rPr>
        <w:t xml:space="preserve">Potencionální investoři využívají informace při zvažování, zda je vhodné vložit své volné peněžní prostředky do sledovaného podniku, takže jejich kritéria jsou velmi podobná. </w:t>
      </w:r>
      <w:r w:rsidR="005A5DFB">
        <w:rPr>
          <w:szCs w:val="20"/>
        </w:rPr>
        <w:t>M</w:t>
      </w:r>
      <w:r w:rsidR="005A5DFB">
        <w:t xml:space="preserve">ěli by posoudit zamýšlenou investici na základě dostupných současných, ale i historických dat, a v případě, že je investice zrealizována, měl by investor posuzovat i průběžné výsledky </w:t>
      </w:r>
      <w:r w:rsidR="005A5DFB" w:rsidRPr="008A0B7E">
        <w:t xml:space="preserve">investice (Novotný a Sejkora, </w:t>
      </w:r>
      <w:r w:rsidR="008A0B7E" w:rsidRPr="008A0B7E">
        <w:t>2015</w:t>
      </w:r>
      <w:r w:rsidR="005A5DFB" w:rsidRPr="008A0B7E">
        <w:t>).</w:t>
      </w:r>
    </w:p>
    <w:p w:rsidR="00897BA1" w:rsidRDefault="00B82CE3" w:rsidP="0084058B">
      <w:pPr>
        <w:autoSpaceDE w:val="0"/>
        <w:autoSpaceDN w:val="0"/>
        <w:ind w:firstLine="284"/>
        <w:jc w:val="both"/>
        <w:rPr>
          <w:szCs w:val="20"/>
        </w:rPr>
      </w:pPr>
      <w:r w:rsidRPr="00C02D1F">
        <w:rPr>
          <w:szCs w:val="20"/>
        </w:rPr>
        <w:t>Oproti tomu manažeři jsou jednak poskytovateli informací prezentovaných ve výroční zprávě, jednak jejich uživateli ve smyslu využití těchto informací v dalších obdobích pro řízení podniku (v</w:t>
      </w:r>
      <w:r w:rsidR="00C61D6B" w:rsidRPr="00C02D1F">
        <w:rPr>
          <w:szCs w:val="20"/>
        </w:rPr>
        <w:t> </w:t>
      </w:r>
      <w:r w:rsidRPr="00C02D1F">
        <w:rPr>
          <w:szCs w:val="20"/>
        </w:rPr>
        <w:t>krátkodobém i dlouhodobém horizontu). Současně se manažeři snaží zveřejňovat informace podporující jejich zájmy – např. zajištění důvěryhodnosti, prokázání kompetentního vedení a</w:t>
      </w:r>
      <w:r w:rsidR="00C61D6B" w:rsidRPr="00C02D1F">
        <w:rPr>
          <w:szCs w:val="20"/>
        </w:rPr>
        <w:t> </w:t>
      </w:r>
      <w:r w:rsidRPr="00C02D1F">
        <w:rPr>
          <w:szCs w:val="20"/>
        </w:rPr>
        <w:t xml:space="preserve">zajištění spravedlivé odměny za svoji práci. </w:t>
      </w:r>
    </w:p>
    <w:p w:rsidR="00897BA1" w:rsidRDefault="00B82CE3" w:rsidP="0084058B">
      <w:pPr>
        <w:autoSpaceDE w:val="0"/>
        <w:autoSpaceDN w:val="0"/>
        <w:ind w:firstLine="284"/>
        <w:jc w:val="both"/>
        <w:rPr>
          <w:szCs w:val="20"/>
        </w:rPr>
      </w:pPr>
      <w:r w:rsidRPr="00C02D1F">
        <w:rPr>
          <w:szCs w:val="20"/>
        </w:rPr>
        <w:t>Zaměstnanci se informují o podniku především z hlediska jistoty a perspektivy svého zaměstnání, obchodní partneři – dodavatelé a</w:t>
      </w:r>
      <w:r w:rsidR="00681958">
        <w:rPr>
          <w:szCs w:val="20"/>
        </w:rPr>
        <w:t> </w:t>
      </w:r>
      <w:r w:rsidRPr="00C02D1F">
        <w:rPr>
          <w:szCs w:val="20"/>
        </w:rPr>
        <w:t xml:space="preserve">odběratelé – sledují zejména dlouhodobou stabilitu podniku, a to vzhledem ke schopnosti podniku dostát svým závazkům. </w:t>
      </w:r>
    </w:p>
    <w:p w:rsidR="00897BA1" w:rsidRDefault="00B82CE3" w:rsidP="0084058B">
      <w:pPr>
        <w:autoSpaceDE w:val="0"/>
        <w:autoSpaceDN w:val="0"/>
        <w:ind w:firstLine="284"/>
        <w:jc w:val="both"/>
        <w:rPr>
          <w:szCs w:val="20"/>
        </w:rPr>
      </w:pPr>
      <w:r w:rsidRPr="00C02D1F">
        <w:rPr>
          <w:szCs w:val="20"/>
        </w:rPr>
        <w:t>Banky a jiní věřitelé sledují, zda bude dluh splacen včas a</w:t>
      </w:r>
      <w:r w:rsidR="00681958">
        <w:rPr>
          <w:szCs w:val="20"/>
        </w:rPr>
        <w:t> </w:t>
      </w:r>
      <w:r w:rsidRPr="00C02D1F">
        <w:rPr>
          <w:szCs w:val="20"/>
        </w:rPr>
        <w:t xml:space="preserve">v plné výši, banky na základě zjištěných informací poskytují úvěry. </w:t>
      </w:r>
    </w:p>
    <w:p w:rsidR="00897BA1" w:rsidRDefault="00B82CE3" w:rsidP="0084058B">
      <w:pPr>
        <w:autoSpaceDE w:val="0"/>
        <w:autoSpaceDN w:val="0"/>
        <w:ind w:firstLine="284"/>
        <w:jc w:val="both"/>
        <w:rPr>
          <w:szCs w:val="20"/>
        </w:rPr>
      </w:pPr>
      <w:r w:rsidRPr="00C02D1F">
        <w:rPr>
          <w:szCs w:val="20"/>
        </w:rPr>
        <w:t>Stát a jeho orgány  využívají informace o</w:t>
      </w:r>
      <w:r w:rsidR="00C61D6B" w:rsidRPr="00C02D1F">
        <w:rPr>
          <w:szCs w:val="20"/>
        </w:rPr>
        <w:t> </w:t>
      </w:r>
      <w:r w:rsidRPr="00C02D1F">
        <w:rPr>
          <w:szCs w:val="20"/>
        </w:rPr>
        <w:t>podniku pro statistiku, monitoring vládní politiky a</w:t>
      </w:r>
      <w:r w:rsidR="00C61D6B" w:rsidRPr="00C02D1F">
        <w:rPr>
          <w:szCs w:val="20"/>
        </w:rPr>
        <w:t> </w:t>
      </w:r>
      <w:r w:rsidRPr="00C02D1F">
        <w:rPr>
          <w:szCs w:val="20"/>
        </w:rPr>
        <w:t xml:space="preserve">zejména pro kontrolu plnění legislativně stanovených povinností. </w:t>
      </w:r>
    </w:p>
    <w:p w:rsidR="00B82CE3" w:rsidRPr="00C02D1F" w:rsidRDefault="00B82CE3" w:rsidP="0084058B">
      <w:pPr>
        <w:autoSpaceDE w:val="0"/>
        <w:autoSpaceDN w:val="0"/>
        <w:ind w:firstLine="284"/>
        <w:jc w:val="both"/>
        <w:rPr>
          <w:szCs w:val="20"/>
        </w:rPr>
      </w:pPr>
      <w:r w:rsidRPr="00C02D1F">
        <w:rPr>
          <w:szCs w:val="20"/>
        </w:rPr>
        <w:t xml:space="preserve">Také další </w:t>
      </w:r>
      <w:proofErr w:type="spellStart"/>
      <w:r w:rsidRPr="00C02D1F">
        <w:rPr>
          <w:szCs w:val="20"/>
        </w:rPr>
        <w:t>stakeholdeři</w:t>
      </w:r>
      <w:proofErr w:type="spellEnd"/>
      <w:r w:rsidRPr="00C02D1F">
        <w:rPr>
          <w:szCs w:val="20"/>
        </w:rPr>
        <w:t xml:space="preserve"> (analytici, ekonomičtí poradci, veřejnost) sledují své zájmy. Nelze opominout ani konkurenci, která vyhledává ve výročních zprávách ostatních společností informace, které by bylo možné využít pro posílení své konkurenční pozice. </w:t>
      </w:r>
    </w:p>
    <w:p w:rsidR="00681958" w:rsidRDefault="00B82CE3" w:rsidP="0084058B">
      <w:pPr>
        <w:autoSpaceDE w:val="0"/>
        <w:autoSpaceDN w:val="0"/>
        <w:ind w:firstLine="284"/>
        <w:jc w:val="both"/>
        <w:rPr>
          <w:szCs w:val="20"/>
        </w:rPr>
      </w:pPr>
      <w:r w:rsidRPr="00C02D1F">
        <w:rPr>
          <w:szCs w:val="20"/>
        </w:rPr>
        <w:t>Rozhodování o tom, jaké informace zveřejnit nad rámec legislativně povinných údajů, je tedy velmi složité. Na jedné straně lze výroční zprávu využít jako marketingový nástroj a</w:t>
      </w:r>
      <w:r w:rsidR="00C61D6B" w:rsidRPr="00C02D1F">
        <w:rPr>
          <w:szCs w:val="20"/>
        </w:rPr>
        <w:t> </w:t>
      </w:r>
      <w:r w:rsidRPr="00C02D1F">
        <w:rPr>
          <w:szCs w:val="20"/>
        </w:rPr>
        <w:t xml:space="preserve">prezentovat své cíle, úspěchy a image společnosti, na druhé straně je potřebné uchovat citlivé informace z vnitřního podnikového prostředí pouze pro interní </w:t>
      </w:r>
      <w:proofErr w:type="spellStart"/>
      <w:r w:rsidRPr="00C02D1F">
        <w:rPr>
          <w:szCs w:val="20"/>
        </w:rPr>
        <w:t>stakeholdery</w:t>
      </w:r>
      <w:proofErr w:type="spellEnd"/>
      <w:r w:rsidRPr="00C02D1F">
        <w:rPr>
          <w:szCs w:val="20"/>
        </w:rPr>
        <w:t>. Právě z tohoto důvodu dochází k asymetrii informací</w:t>
      </w:r>
      <w:r w:rsidR="0084058B" w:rsidRPr="00C02D1F">
        <w:rPr>
          <w:szCs w:val="20"/>
        </w:rPr>
        <w:t xml:space="preserve"> vznikající jako důsledek utajené informace nebo činnosti.</w:t>
      </w:r>
      <w:r w:rsidRPr="00C02D1F">
        <w:rPr>
          <w:szCs w:val="20"/>
        </w:rPr>
        <w:t xml:space="preserve"> </w:t>
      </w:r>
    </w:p>
    <w:p w:rsidR="00B82CE3" w:rsidRPr="00C02D1F" w:rsidRDefault="00B82CE3" w:rsidP="0084058B">
      <w:pPr>
        <w:autoSpaceDE w:val="0"/>
        <w:autoSpaceDN w:val="0"/>
        <w:ind w:firstLine="284"/>
        <w:jc w:val="both"/>
        <w:rPr>
          <w:szCs w:val="20"/>
        </w:rPr>
      </w:pPr>
      <w:r w:rsidRPr="00C02D1F">
        <w:rPr>
          <w:szCs w:val="20"/>
        </w:rPr>
        <w:t xml:space="preserve">Asymetrie informací, v teorii zmíněná již v roce 1945 v publikaci </w:t>
      </w:r>
      <w:proofErr w:type="spellStart"/>
      <w:r w:rsidRPr="00C02D1F">
        <w:rPr>
          <w:szCs w:val="20"/>
        </w:rPr>
        <w:t>The</w:t>
      </w:r>
      <w:proofErr w:type="spellEnd"/>
      <w:r w:rsidRPr="00C02D1F">
        <w:rPr>
          <w:szCs w:val="20"/>
        </w:rPr>
        <w:t xml:space="preserve"> USE </w:t>
      </w:r>
      <w:proofErr w:type="spellStart"/>
      <w:r w:rsidRPr="00C02D1F">
        <w:rPr>
          <w:szCs w:val="20"/>
        </w:rPr>
        <w:t>of</w:t>
      </w:r>
      <w:proofErr w:type="spellEnd"/>
      <w:r w:rsidRPr="00C02D1F">
        <w:rPr>
          <w:szCs w:val="20"/>
        </w:rPr>
        <w:t xml:space="preserve"> </w:t>
      </w:r>
      <w:proofErr w:type="spellStart"/>
      <w:r w:rsidRPr="00C02D1F">
        <w:rPr>
          <w:szCs w:val="20"/>
        </w:rPr>
        <w:t>Knowledge</w:t>
      </w:r>
      <w:proofErr w:type="spellEnd"/>
      <w:r w:rsidRPr="00C02D1F">
        <w:rPr>
          <w:szCs w:val="20"/>
        </w:rPr>
        <w:t xml:space="preserve"> in Society (F. A. von Hayek, 1945), souvisí s časově a místně podmíněnými informacemi  a se skutečností, že informace mohou být jednotlivými ekonomickými subjekty odlišně interpretovány v závislosti na účelu prezentace, zkušenostech interpretů a jejich znalostech. </w:t>
      </w:r>
    </w:p>
    <w:p w:rsidR="007E164C" w:rsidRPr="00F0669C" w:rsidRDefault="00B9472A" w:rsidP="004E0C43">
      <w:pPr>
        <w:pStyle w:val="Nadpis2"/>
        <w:tabs>
          <w:tab w:val="right" w:pos="454"/>
        </w:tabs>
        <w:spacing w:before="360"/>
        <w:ind w:left="340" w:hanging="340"/>
        <w:rPr>
          <w:lang w:val="cs-CZ"/>
        </w:rPr>
      </w:pPr>
      <w:r w:rsidRPr="00F0669C">
        <w:rPr>
          <w:lang w:val="cs-CZ"/>
        </w:rPr>
        <w:t xml:space="preserve"> </w:t>
      </w:r>
      <w:r w:rsidR="00B82CE3" w:rsidRPr="00F0669C">
        <w:rPr>
          <w:lang w:val="cs-CZ"/>
        </w:rPr>
        <w:t>Omezení asymetrie informací pomocí analýzy manažerského sentimentu</w:t>
      </w:r>
    </w:p>
    <w:p w:rsidR="00B82CE3" w:rsidRPr="00C02D1F" w:rsidRDefault="00B82CE3" w:rsidP="0084058B">
      <w:pPr>
        <w:autoSpaceDE w:val="0"/>
        <w:autoSpaceDN w:val="0"/>
        <w:ind w:firstLine="284"/>
        <w:jc w:val="both"/>
        <w:rPr>
          <w:szCs w:val="20"/>
        </w:rPr>
      </w:pPr>
      <w:r w:rsidRPr="00C02D1F">
        <w:rPr>
          <w:szCs w:val="20"/>
        </w:rPr>
        <w:t>Jednou z možností, jak omezit asymetrii informací, je rozbor slovních komentářů, které o</w:t>
      </w:r>
      <w:r w:rsidR="00C61D6B" w:rsidRPr="00C02D1F">
        <w:rPr>
          <w:szCs w:val="20"/>
        </w:rPr>
        <w:t> </w:t>
      </w:r>
      <w:r w:rsidRPr="00C02D1F">
        <w:rPr>
          <w:szCs w:val="20"/>
        </w:rPr>
        <w:t xml:space="preserve">sobě příslušná společnost prezentuje, formou analýzy manažerského sentimentu obsaženého ve výroční zprávě. </w:t>
      </w:r>
    </w:p>
    <w:p w:rsidR="00B82CE3" w:rsidRPr="00C02D1F" w:rsidRDefault="00B82CE3" w:rsidP="0084058B">
      <w:pPr>
        <w:autoSpaceDE w:val="0"/>
        <w:autoSpaceDN w:val="0"/>
        <w:ind w:firstLine="284"/>
        <w:jc w:val="both"/>
        <w:rPr>
          <w:szCs w:val="20"/>
        </w:rPr>
      </w:pPr>
      <w:r w:rsidRPr="00C02D1F">
        <w:rPr>
          <w:szCs w:val="20"/>
        </w:rPr>
        <w:t>Manažerský sentiment je v odborné literatuře sledován z různých hledisek, např. při posuzování vlivu sentimentu na reakce burzovního trhu (</w:t>
      </w:r>
      <w:proofErr w:type="spellStart"/>
      <w:r w:rsidRPr="00C02D1F">
        <w:rPr>
          <w:szCs w:val="20"/>
        </w:rPr>
        <w:t>Li</w:t>
      </w:r>
      <w:proofErr w:type="spellEnd"/>
      <w:r w:rsidRPr="00C02D1F">
        <w:rPr>
          <w:szCs w:val="20"/>
        </w:rPr>
        <w:t xml:space="preserve">, 2008; </w:t>
      </w:r>
      <w:proofErr w:type="spellStart"/>
      <w:r w:rsidRPr="00C02D1F">
        <w:rPr>
          <w:szCs w:val="20"/>
        </w:rPr>
        <w:t>Feldman</w:t>
      </w:r>
      <w:proofErr w:type="spellEnd"/>
      <w:r w:rsidRPr="00C02D1F">
        <w:rPr>
          <w:szCs w:val="20"/>
        </w:rPr>
        <w:t xml:space="preserve"> et al, 2010), nebo při hodnocení budoucího vývoje podniku (Hájek a </w:t>
      </w:r>
      <w:r w:rsidR="00B37BA8" w:rsidRPr="00C02D1F">
        <w:rPr>
          <w:szCs w:val="20"/>
        </w:rPr>
        <w:t>kol.</w:t>
      </w:r>
      <w:r w:rsidRPr="00C02D1F">
        <w:rPr>
          <w:szCs w:val="20"/>
        </w:rPr>
        <w:t>, 2013; Hájek a kol., 2014; Hájek a</w:t>
      </w:r>
      <w:r w:rsidR="00C61D6B" w:rsidRPr="00C02D1F">
        <w:rPr>
          <w:szCs w:val="20"/>
        </w:rPr>
        <w:t> </w:t>
      </w:r>
      <w:r w:rsidRPr="00C02D1F">
        <w:rPr>
          <w:szCs w:val="20"/>
        </w:rPr>
        <w:t xml:space="preserve">Olej, 2015). </w:t>
      </w:r>
    </w:p>
    <w:p w:rsidR="00B82CE3" w:rsidRPr="00C02D1F" w:rsidRDefault="00B82CE3" w:rsidP="0084058B">
      <w:pPr>
        <w:autoSpaceDE w:val="0"/>
        <w:autoSpaceDN w:val="0"/>
        <w:ind w:firstLine="284"/>
        <w:jc w:val="both"/>
        <w:rPr>
          <w:szCs w:val="20"/>
        </w:rPr>
      </w:pPr>
      <w:r w:rsidRPr="00C02D1F">
        <w:rPr>
          <w:szCs w:val="20"/>
        </w:rPr>
        <w:t xml:space="preserve">Manažerský sentiment lze extrahovat z textových dokumentů pomocí dvou obecně používaných přístupů, a to strojového učení a </w:t>
      </w:r>
      <w:proofErr w:type="spellStart"/>
      <w:r w:rsidRPr="00C02D1F">
        <w:rPr>
          <w:szCs w:val="20"/>
        </w:rPr>
        <w:t>bag-of-words</w:t>
      </w:r>
      <w:proofErr w:type="spellEnd"/>
      <w:r w:rsidRPr="00C02D1F">
        <w:rPr>
          <w:szCs w:val="20"/>
        </w:rPr>
        <w:t xml:space="preserve">. Při využití strojového učení je seznam slov generován automaticky a výpočet jejich vah je výsledkem subjektivní klasifikace sentimentu v textu. Přístup založený na </w:t>
      </w:r>
      <w:proofErr w:type="spellStart"/>
      <w:r w:rsidRPr="00C02D1F">
        <w:rPr>
          <w:szCs w:val="20"/>
        </w:rPr>
        <w:t>bag-of-words</w:t>
      </w:r>
      <w:proofErr w:type="spellEnd"/>
      <w:r w:rsidRPr="00C02D1F">
        <w:rPr>
          <w:szCs w:val="20"/>
        </w:rPr>
        <w:t xml:space="preserve"> indikuje sentiment na základě frekvence slov obsažených ve speciálně vytvořených slovnících (a jim odpovídajících vah) a je více využíván zejména díky své snadné interpretaci a existenci několika obecných i specifických slovníků. </w:t>
      </w:r>
    </w:p>
    <w:p w:rsidR="00B82CE3" w:rsidRPr="00C02D1F" w:rsidRDefault="00B82CE3" w:rsidP="0084058B">
      <w:pPr>
        <w:autoSpaceDE w:val="0"/>
        <w:autoSpaceDN w:val="0"/>
        <w:ind w:firstLine="284"/>
        <w:jc w:val="both"/>
        <w:rPr>
          <w:szCs w:val="20"/>
        </w:rPr>
      </w:pPr>
      <w:r w:rsidRPr="00C02D1F">
        <w:rPr>
          <w:szCs w:val="20"/>
        </w:rPr>
        <w:t xml:space="preserve">Příklady obecných slovníků jsou General </w:t>
      </w:r>
      <w:proofErr w:type="spellStart"/>
      <w:r w:rsidRPr="00C02D1F">
        <w:rPr>
          <w:szCs w:val="20"/>
        </w:rPr>
        <w:t>Inquirer</w:t>
      </w:r>
      <w:proofErr w:type="spellEnd"/>
      <w:r w:rsidRPr="00C02D1F">
        <w:rPr>
          <w:szCs w:val="20"/>
        </w:rPr>
        <w:t xml:space="preserve"> / Harvard nebo DOCTION (</w:t>
      </w:r>
      <w:proofErr w:type="spellStart"/>
      <w:r w:rsidRPr="00C02D1F">
        <w:rPr>
          <w:szCs w:val="20"/>
        </w:rPr>
        <w:t>Kearney</w:t>
      </w:r>
      <w:proofErr w:type="spellEnd"/>
      <w:r w:rsidRPr="00C02D1F">
        <w:rPr>
          <w:szCs w:val="20"/>
        </w:rPr>
        <w:t xml:space="preserve"> a</w:t>
      </w:r>
      <w:r w:rsidR="00C61D6B" w:rsidRPr="00C02D1F">
        <w:rPr>
          <w:szCs w:val="20"/>
        </w:rPr>
        <w:t> </w:t>
      </w:r>
      <w:proofErr w:type="spellStart"/>
      <w:r w:rsidRPr="00C02D1F">
        <w:rPr>
          <w:szCs w:val="20"/>
        </w:rPr>
        <w:t>Liu</w:t>
      </w:r>
      <w:proofErr w:type="spellEnd"/>
      <w:r w:rsidRPr="00C02D1F">
        <w:rPr>
          <w:szCs w:val="20"/>
        </w:rPr>
        <w:t>, 2014), ovšem jejich využití nemusí vždy jasně rozeznat pozitivní či negativní zabarvení informací, zejména ve vztahu k finanční problematice (</w:t>
      </w:r>
      <w:proofErr w:type="spellStart"/>
      <w:r w:rsidRPr="00C02D1F">
        <w:rPr>
          <w:szCs w:val="20"/>
        </w:rPr>
        <w:t>Loughran</w:t>
      </w:r>
      <w:proofErr w:type="spellEnd"/>
      <w:r w:rsidRPr="00C02D1F">
        <w:rPr>
          <w:szCs w:val="20"/>
        </w:rPr>
        <w:t xml:space="preserve"> a McDonald (2011); </w:t>
      </w:r>
      <w:proofErr w:type="spellStart"/>
      <w:r w:rsidRPr="00C02D1F">
        <w:rPr>
          <w:szCs w:val="20"/>
        </w:rPr>
        <w:t>Price</w:t>
      </w:r>
      <w:proofErr w:type="spellEnd"/>
      <w:r w:rsidRPr="00C02D1F">
        <w:rPr>
          <w:szCs w:val="20"/>
        </w:rPr>
        <w:t xml:space="preserve"> a</w:t>
      </w:r>
      <w:r w:rsidR="00C61D6B" w:rsidRPr="00C02D1F">
        <w:rPr>
          <w:szCs w:val="20"/>
        </w:rPr>
        <w:t> </w:t>
      </w:r>
      <w:r w:rsidRPr="00C02D1F">
        <w:rPr>
          <w:szCs w:val="20"/>
        </w:rPr>
        <w:t xml:space="preserve">kol., 2012). Z tohoto důvodu byly vytvořeny specifické slovníky pro oblast finančního rozhodování (Henry, 2008; </w:t>
      </w:r>
      <w:proofErr w:type="spellStart"/>
      <w:r w:rsidRPr="00C02D1F">
        <w:rPr>
          <w:szCs w:val="20"/>
        </w:rPr>
        <w:t>Loughran</w:t>
      </w:r>
      <w:proofErr w:type="spellEnd"/>
      <w:r w:rsidRPr="00C02D1F">
        <w:rPr>
          <w:szCs w:val="20"/>
        </w:rPr>
        <w:t xml:space="preserve"> a McDonald, 2011; Myšková a Hájek, 2015). </w:t>
      </w:r>
    </w:p>
    <w:p w:rsidR="00A951BE" w:rsidRPr="00C02D1F" w:rsidRDefault="00A951BE" w:rsidP="00A951BE">
      <w:pPr>
        <w:pStyle w:val="Nadpis1"/>
        <w:spacing w:before="600"/>
        <w:ind w:left="0" w:firstLine="0"/>
        <w:rPr>
          <w:lang w:val="cs-CZ"/>
        </w:rPr>
      </w:pPr>
      <w:r w:rsidRPr="00C02D1F">
        <w:rPr>
          <w:lang w:val="cs-CZ"/>
        </w:rPr>
        <w:t>Metodika a výsledky</w:t>
      </w:r>
    </w:p>
    <w:p w:rsidR="00C61D6B" w:rsidRPr="00C02D1F" w:rsidRDefault="00D15A0B" w:rsidP="0084058B">
      <w:pPr>
        <w:autoSpaceDE w:val="0"/>
        <w:autoSpaceDN w:val="0"/>
        <w:ind w:firstLine="284"/>
        <w:jc w:val="both"/>
        <w:rPr>
          <w:szCs w:val="20"/>
        </w:rPr>
      </w:pPr>
      <w:r w:rsidRPr="00C02D1F">
        <w:rPr>
          <w:szCs w:val="20"/>
        </w:rPr>
        <w:t xml:space="preserve">Jako datový soubor jsme použili finanční a textová data za 1380 amerických firem za rok 2013. Kritériem pro výběr </w:t>
      </w:r>
      <w:r w:rsidR="00BF0BC7" w:rsidRPr="00C02D1F">
        <w:rPr>
          <w:szCs w:val="20"/>
        </w:rPr>
        <w:t xml:space="preserve">těchto společností </w:t>
      </w:r>
      <w:r w:rsidRPr="00C02D1F">
        <w:rPr>
          <w:szCs w:val="20"/>
        </w:rPr>
        <w:t xml:space="preserve">byla obchodovatelnost na nejvýznamnějších amerických burzách New York </w:t>
      </w:r>
      <w:proofErr w:type="spellStart"/>
      <w:r w:rsidRPr="00C02D1F">
        <w:rPr>
          <w:szCs w:val="20"/>
        </w:rPr>
        <w:t>Stock</w:t>
      </w:r>
      <w:proofErr w:type="spellEnd"/>
      <w:r w:rsidRPr="00C02D1F">
        <w:rPr>
          <w:szCs w:val="20"/>
        </w:rPr>
        <w:t xml:space="preserve"> Exchange (NYSE) nebo </w:t>
      </w:r>
      <w:proofErr w:type="spellStart"/>
      <w:r w:rsidRPr="00C02D1F">
        <w:rPr>
          <w:szCs w:val="20"/>
        </w:rPr>
        <w:t>Nasdaq</w:t>
      </w:r>
      <w:proofErr w:type="spellEnd"/>
      <w:r w:rsidR="00BF0BC7" w:rsidRPr="00C02D1F">
        <w:rPr>
          <w:szCs w:val="20"/>
        </w:rPr>
        <w:t xml:space="preserve"> a dalším parametrem byla </w:t>
      </w:r>
      <w:r w:rsidRPr="00C02D1F">
        <w:rPr>
          <w:szCs w:val="20"/>
        </w:rPr>
        <w:t xml:space="preserve"> minimální velikost </w:t>
      </w:r>
      <w:r w:rsidR="00BF0BC7" w:rsidRPr="00C02D1F">
        <w:rPr>
          <w:szCs w:val="20"/>
        </w:rPr>
        <w:t xml:space="preserve">posouzená </w:t>
      </w:r>
      <w:r w:rsidRPr="00C02D1F">
        <w:rPr>
          <w:szCs w:val="20"/>
        </w:rPr>
        <w:t>tržní kapitalizac</w:t>
      </w:r>
      <w:r w:rsidR="00BF0BC7" w:rsidRPr="00C02D1F">
        <w:rPr>
          <w:szCs w:val="20"/>
        </w:rPr>
        <w:t>í</w:t>
      </w:r>
      <w:r w:rsidRPr="00C02D1F">
        <w:rPr>
          <w:szCs w:val="20"/>
        </w:rPr>
        <w:t xml:space="preserve"> alespoň 100 mil. US dolarů, která se používá pro omezení vlivu rizikových faktorů (</w:t>
      </w:r>
      <w:proofErr w:type="spellStart"/>
      <w:r w:rsidRPr="00C02D1F">
        <w:rPr>
          <w:szCs w:val="20"/>
        </w:rPr>
        <w:t>Fama</w:t>
      </w:r>
      <w:proofErr w:type="spellEnd"/>
      <w:r w:rsidRPr="00C02D1F">
        <w:rPr>
          <w:szCs w:val="20"/>
        </w:rPr>
        <w:t xml:space="preserve"> a </w:t>
      </w:r>
      <w:proofErr w:type="spellStart"/>
      <w:r w:rsidRPr="00C02D1F">
        <w:rPr>
          <w:szCs w:val="20"/>
        </w:rPr>
        <w:t>French</w:t>
      </w:r>
      <w:proofErr w:type="spellEnd"/>
      <w:r w:rsidRPr="00C02D1F">
        <w:rPr>
          <w:szCs w:val="20"/>
        </w:rPr>
        <w:t xml:space="preserve">, 1993). </w:t>
      </w:r>
    </w:p>
    <w:p w:rsidR="005135D3" w:rsidRPr="00C02D1F" w:rsidRDefault="00D15A0B" w:rsidP="0084058B">
      <w:pPr>
        <w:autoSpaceDE w:val="0"/>
        <w:autoSpaceDN w:val="0"/>
        <w:ind w:firstLine="284"/>
        <w:jc w:val="both"/>
        <w:rPr>
          <w:szCs w:val="20"/>
        </w:rPr>
      </w:pPr>
      <w:r w:rsidRPr="00C02D1F">
        <w:rPr>
          <w:szCs w:val="20"/>
        </w:rPr>
        <w:t>Data pro Altmanův bankrotní model jsme získali z finančních výkazů firem, zatímco jako textová data jsme použili text výročních zpráv, konkrétně položku 7 formuláře 10-K (</w:t>
      </w:r>
      <w:proofErr w:type="spellStart"/>
      <w:r w:rsidRPr="00C02D1F">
        <w:rPr>
          <w:szCs w:val="20"/>
        </w:rPr>
        <w:t>Item</w:t>
      </w:r>
      <w:proofErr w:type="spellEnd"/>
      <w:r w:rsidRPr="00C02D1F">
        <w:rPr>
          <w:szCs w:val="20"/>
        </w:rPr>
        <w:t xml:space="preserve"> 7: </w:t>
      </w:r>
      <w:proofErr w:type="spellStart"/>
      <w:r w:rsidRPr="00C02D1F">
        <w:rPr>
          <w:szCs w:val="20"/>
        </w:rPr>
        <w:t>Management’s</w:t>
      </w:r>
      <w:proofErr w:type="spellEnd"/>
      <w:r w:rsidRPr="00C02D1F">
        <w:rPr>
          <w:szCs w:val="20"/>
        </w:rPr>
        <w:t xml:space="preserve"> </w:t>
      </w:r>
      <w:proofErr w:type="spellStart"/>
      <w:r w:rsidRPr="00C02D1F">
        <w:rPr>
          <w:szCs w:val="20"/>
        </w:rPr>
        <w:t>Discussion</w:t>
      </w:r>
      <w:proofErr w:type="spellEnd"/>
      <w:r w:rsidRPr="00C02D1F">
        <w:rPr>
          <w:szCs w:val="20"/>
        </w:rPr>
        <w:t xml:space="preserve"> and </w:t>
      </w:r>
      <w:proofErr w:type="spellStart"/>
      <w:r w:rsidRPr="00C02D1F">
        <w:rPr>
          <w:szCs w:val="20"/>
        </w:rPr>
        <w:t>Analysis</w:t>
      </w:r>
      <w:proofErr w:type="spellEnd"/>
      <w:r w:rsidRPr="00C02D1F">
        <w:rPr>
          <w:szCs w:val="20"/>
        </w:rPr>
        <w:t xml:space="preserve"> </w:t>
      </w:r>
      <w:proofErr w:type="spellStart"/>
      <w:r w:rsidRPr="00C02D1F">
        <w:rPr>
          <w:szCs w:val="20"/>
        </w:rPr>
        <w:t>of</w:t>
      </w:r>
      <w:proofErr w:type="spellEnd"/>
      <w:r w:rsidRPr="00C02D1F">
        <w:rPr>
          <w:szCs w:val="20"/>
        </w:rPr>
        <w:t xml:space="preserve"> </w:t>
      </w:r>
      <w:proofErr w:type="spellStart"/>
      <w:r w:rsidRPr="00C02D1F">
        <w:rPr>
          <w:szCs w:val="20"/>
        </w:rPr>
        <w:t>Financial</w:t>
      </w:r>
      <w:proofErr w:type="spellEnd"/>
      <w:r w:rsidRPr="00C02D1F">
        <w:rPr>
          <w:szCs w:val="20"/>
        </w:rPr>
        <w:t xml:space="preserve"> </w:t>
      </w:r>
      <w:proofErr w:type="spellStart"/>
      <w:r w:rsidRPr="00C02D1F">
        <w:rPr>
          <w:szCs w:val="20"/>
        </w:rPr>
        <w:t>Condition</w:t>
      </w:r>
      <w:proofErr w:type="spellEnd"/>
      <w:r w:rsidRPr="00C02D1F">
        <w:rPr>
          <w:szCs w:val="20"/>
        </w:rPr>
        <w:t xml:space="preserve"> and </w:t>
      </w:r>
      <w:proofErr w:type="spellStart"/>
      <w:r w:rsidRPr="00C02D1F">
        <w:rPr>
          <w:szCs w:val="20"/>
        </w:rPr>
        <w:t>Results</w:t>
      </w:r>
      <w:proofErr w:type="spellEnd"/>
      <w:r w:rsidRPr="00C02D1F">
        <w:rPr>
          <w:szCs w:val="20"/>
        </w:rPr>
        <w:t xml:space="preserve"> </w:t>
      </w:r>
      <w:proofErr w:type="spellStart"/>
      <w:r w:rsidRPr="00C02D1F">
        <w:rPr>
          <w:szCs w:val="20"/>
        </w:rPr>
        <w:t>of</w:t>
      </w:r>
      <w:proofErr w:type="spellEnd"/>
      <w:r w:rsidRPr="00C02D1F">
        <w:rPr>
          <w:szCs w:val="20"/>
        </w:rPr>
        <w:t xml:space="preserve"> </w:t>
      </w:r>
      <w:proofErr w:type="spellStart"/>
      <w:r w:rsidRPr="00C02D1F">
        <w:rPr>
          <w:szCs w:val="20"/>
        </w:rPr>
        <w:t>Operations</w:t>
      </w:r>
      <w:proofErr w:type="spellEnd"/>
      <w:r w:rsidRPr="00C02D1F">
        <w:rPr>
          <w:szCs w:val="20"/>
        </w:rPr>
        <w:t xml:space="preserve">, MD&amp;A). Zde management diskutuje dosažené finanční výsledky, jejich příčiny i budoucí výhled. Tato část výroční zprávy je ve většině studií považována z hlediska komunikace se </w:t>
      </w:r>
      <w:proofErr w:type="spellStart"/>
      <w:r w:rsidRPr="00C02D1F">
        <w:rPr>
          <w:szCs w:val="20"/>
        </w:rPr>
        <w:t>stakeholdery</w:t>
      </w:r>
      <w:proofErr w:type="spellEnd"/>
      <w:r w:rsidRPr="00C02D1F">
        <w:rPr>
          <w:szCs w:val="20"/>
        </w:rPr>
        <w:t xml:space="preserve"> za klíčovou (</w:t>
      </w:r>
      <w:proofErr w:type="spellStart"/>
      <w:r w:rsidRPr="00C02D1F">
        <w:rPr>
          <w:szCs w:val="20"/>
        </w:rPr>
        <w:t>Li</w:t>
      </w:r>
      <w:proofErr w:type="spellEnd"/>
      <w:r w:rsidRPr="00C02D1F">
        <w:rPr>
          <w:szCs w:val="20"/>
        </w:rPr>
        <w:t>, 2010).</w:t>
      </w:r>
    </w:p>
    <w:p w:rsidR="00363089" w:rsidRDefault="00363089" w:rsidP="00363089">
      <w:pPr>
        <w:pStyle w:val="Paragraph"/>
        <w:spacing w:before="0"/>
        <w:ind w:firstLine="284"/>
        <w:rPr>
          <w:sz w:val="24"/>
          <w:lang w:val="en-US"/>
        </w:rPr>
      </w:pPr>
    </w:p>
    <w:p w:rsidR="00BE601E" w:rsidRPr="008A0B7E" w:rsidRDefault="00BE601E" w:rsidP="0084058B">
      <w:pPr>
        <w:autoSpaceDE w:val="0"/>
        <w:autoSpaceDN w:val="0"/>
        <w:ind w:firstLine="284"/>
        <w:jc w:val="both"/>
        <w:rPr>
          <w:szCs w:val="20"/>
        </w:rPr>
      </w:pPr>
      <w:r w:rsidRPr="008A0B7E">
        <w:rPr>
          <w:szCs w:val="20"/>
        </w:rPr>
        <w:t>Pro kvantitativní hodnocení zkoumaných společností byl pro hodnocení finanční výkonnosti vybrán Altmanův model finančního zdraví (Altmanovo Z-</w:t>
      </w:r>
      <w:proofErr w:type="spellStart"/>
      <w:r w:rsidRPr="008A0B7E">
        <w:rPr>
          <w:szCs w:val="20"/>
        </w:rPr>
        <w:t>score</w:t>
      </w:r>
      <w:proofErr w:type="spellEnd"/>
      <w:r w:rsidRPr="008A0B7E">
        <w:rPr>
          <w:szCs w:val="20"/>
        </w:rPr>
        <w:t>) (Altman, 1968). Důvodem, proč byl zvolen právě tento model, je fakt, že byl vytvořen pro posuzování finančního zdraví společností v průmyslovém odvětví s akciemi obchodovatelnými na americkém veřejně regulovaném trhu a právě tyto společnosti byly vybrány pro případovou studii.</w:t>
      </w:r>
    </w:p>
    <w:p w:rsidR="00BE601E" w:rsidRPr="008A0B7E" w:rsidRDefault="00BE601E" w:rsidP="0084058B">
      <w:pPr>
        <w:autoSpaceDE w:val="0"/>
        <w:autoSpaceDN w:val="0"/>
        <w:ind w:firstLine="284"/>
        <w:jc w:val="both"/>
        <w:rPr>
          <w:szCs w:val="20"/>
        </w:rPr>
      </w:pPr>
      <w:r w:rsidRPr="008A0B7E">
        <w:rPr>
          <w:szCs w:val="20"/>
        </w:rPr>
        <w:t xml:space="preserve">Účelem tohoto tzv. bankrotního modelu je předpovědět pravděpodobnost přežití či bankrotu analyzované společnosti. Čím je podnik blíže k bankrotu, tím lépe funguje Altmanův index jako prediktor finančního zdraví podniku. </w:t>
      </w:r>
      <w:r w:rsidR="007B6557">
        <w:rPr>
          <w:szCs w:val="20"/>
        </w:rPr>
        <w:t xml:space="preserve">Přestože podle Kuběnky (2014) je vzato v úvahu pouze několik faktorů </w:t>
      </w:r>
      <w:r w:rsidR="00031636">
        <w:rPr>
          <w:szCs w:val="20"/>
        </w:rPr>
        <w:t xml:space="preserve">(proměnných) </w:t>
      </w:r>
      <w:r w:rsidR="007B6557">
        <w:rPr>
          <w:szCs w:val="20"/>
        </w:rPr>
        <w:t>v tomto modelu, v</w:t>
      </w:r>
      <w:r w:rsidRPr="008A0B7E">
        <w:rPr>
          <w:szCs w:val="20"/>
        </w:rPr>
        <w:t>ěrohodně předvídá bankroty podniků asi 2</w:t>
      </w:r>
      <w:r w:rsidR="007052F9">
        <w:rPr>
          <w:szCs w:val="20"/>
        </w:rPr>
        <w:t> </w:t>
      </w:r>
      <w:r w:rsidRPr="008A0B7E">
        <w:rPr>
          <w:szCs w:val="20"/>
        </w:rPr>
        <w:t xml:space="preserve">roky předem. Altmanův „Z </w:t>
      </w:r>
      <w:proofErr w:type="spellStart"/>
      <w:r w:rsidRPr="008A0B7E">
        <w:rPr>
          <w:szCs w:val="20"/>
        </w:rPr>
        <w:t>score</w:t>
      </w:r>
      <w:proofErr w:type="spellEnd"/>
      <w:r w:rsidRPr="008A0B7E">
        <w:rPr>
          <w:szCs w:val="20"/>
        </w:rPr>
        <w:t xml:space="preserve"> model“ využívá pro stanovení hodnoty společnosti </w:t>
      </w:r>
      <w:r w:rsidRPr="007052F9">
        <w:t>v</w:t>
      </w:r>
      <w:r w:rsidR="007052F9">
        <w:t> </w:t>
      </w:r>
      <w:r w:rsidRPr="007052F9">
        <w:t>průmyslovém</w:t>
      </w:r>
      <w:r w:rsidRPr="008A0B7E">
        <w:rPr>
          <w:szCs w:val="20"/>
        </w:rPr>
        <w:t xml:space="preserve"> odvětví s akciemi veřejně obchodovatelnými na burze vztah:</w:t>
      </w:r>
    </w:p>
    <w:p w:rsidR="00BE601E" w:rsidRPr="00DC4BBA" w:rsidRDefault="00BE601E" w:rsidP="00BE601E">
      <w:pPr>
        <w:pStyle w:val="Displayedequation"/>
        <w:rPr>
          <w:sz w:val="24"/>
          <w:lang w:val="en-US"/>
        </w:rPr>
      </w:pPr>
      <w:r w:rsidRPr="00DC4BBA">
        <w:rPr>
          <w:i/>
          <w:noProof/>
          <w:sz w:val="24"/>
          <w:lang w:val="en-US"/>
        </w:rPr>
        <w:t>Z</w:t>
      </w:r>
      <w:r w:rsidRPr="00DC4BBA">
        <w:rPr>
          <w:i/>
          <w:noProof/>
          <w:sz w:val="24"/>
          <w:vertAlign w:val="subscript"/>
          <w:lang w:val="en-US"/>
        </w:rPr>
        <w:t>i</w:t>
      </w:r>
      <w:r w:rsidRPr="00DC4BBA">
        <w:rPr>
          <w:noProof/>
          <w:sz w:val="24"/>
          <w:lang w:val="en-US"/>
        </w:rPr>
        <w:t xml:space="preserve"> = 1.2</w:t>
      </w:r>
      <w:r w:rsidRPr="00DC4BBA">
        <w:rPr>
          <w:i/>
          <w:noProof/>
          <w:sz w:val="24"/>
          <w:lang w:val="en-US"/>
        </w:rPr>
        <w:t>x</w:t>
      </w:r>
      <w:r w:rsidRPr="00DC4BBA">
        <w:rPr>
          <w:noProof/>
          <w:sz w:val="24"/>
          <w:vertAlign w:val="subscript"/>
          <w:lang w:val="en-US"/>
        </w:rPr>
        <w:t>1,</w:t>
      </w:r>
      <w:r w:rsidRPr="00DC4BBA">
        <w:rPr>
          <w:i/>
          <w:noProof/>
          <w:sz w:val="24"/>
          <w:vertAlign w:val="subscript"/>
          <w:lang w:val="en-US"/>
        </w:rPr>
        <w:t>i</w:t>
      </w:r>
      <w:r w:rsidRPr="00DC4BBA">
        <w:rPr>
          <w:noProof/>
          <w:sz w:val="24"/>
          <w:lang w:val="en-US"/>
        </w:rPr>
        <w:t xml:space="preserve"> + 1.4</w:t>
      </w:r>
      <w:r w:rsidRPr="00DC4BBA">
        <w:rPr>
          <w:i/>
          <w:noProof/>
          <w:sz w:val="24"/>
          <w:lang w:val="en-US"/>
        </w:rPr>
        <w:t>x</w:t>
      </w:r>
      <w:r w:rsidRPr="00DC4BBA">
        <w:rPr>
          <w:noProof/>
          <w:sz w:val="24"/>
          <w:vertAlign w:val="subscript"/>
          <w:lang w:val="en-US"/>
        </w:rPr>
        <w:t>2,</w:t>
      </w:r>
      <w:r w:rsidRPr="00DC4BBA">
        <w:rPr>
          <w:i/>
          <w:noProof/>
          <w:sz w:val="24"/>
          <w:vertAlign w:val="subscript"/>
          <w:lang w:val="en-US"/>
        </w:rPr>
        <w:t>i</w:t>
      </w:r>
      <w:r w:rsidRPr="00DC4BBA">
        <w:rPr>
          <w:noProof/>
          <w:sz w:val="24"/>
          <w:lang w:val="en-US"/>
        </w:rPr>
        <w:t xml:space="preserve"> + 3.3</w:t>
      </w:r>
      <w:r w:rsidRPr="00DC4BBA">
        <w:rPr>
          <w:i/>
          <w:noProof/>
          <w:sz w:val="24"/>
          <w:lang w:val="en-US"/>
        </w:rPr>
        <w:t>x</w:t>
      </w:r>
      <w:r w:rsidRPr="00DC4BBA">
        <w:rPr>
          <w:noProof/>
          <w:sz w:val="24"/>
          <w:vertAlign w:val="subscript"/>
          <w:lang w:val="en-US"/>
        </w:rPr>
        <w:t>3,</w:t>
      </w:r>
      <w:r w:rsidRPr="00DC4BBA">
        <w:rPr>
          <w:i/>
          <w:noProof/>
          <w:sz w:val="24"/>
          <w:vertAlign w:val="subscript"/>
          <w:lang w:val="en-US"/>
        </w:rPr>
        <w:t>i</w:t>
      </w:r>
      <w:r w:rsidRPr="00DC4BBA">
        <w:rPr>
          <w:noProof/>
          <w:sz w:val="24"/>
          <w:lang w:val="en-US"/>
        </w:rPr>
        <w:t xml:space="preserve"> + 0.6</w:t>
      </w:r>
      <w:r w:rsidRPr="00DC4BBA">
        <w:rPr>
          <w:i/>
          <w:noProof/>
          <w:sz w:val="24"/>
          <w:lang w:val="en-US"/>
        </w:rPr>
        <w:t>x</w:t>
      </w:r>
      <w:r w:rsidRPr="00DC4BBA">
        <w:rPr>
          <w:noProof/>
          <w:sz w:val="24"/>
          <w:vertAlign w:val="subscript"/>
          <w:lang w:val="en-US"/>
        </w:rPr>
        <w:t>4,</w:t>
      </w:r>
      <w:r w:rsidRPr="00DC4BBA">
        <w:rPr>
          <w:i/>
          <w:noProof/>
          <w:sz w:val="24"/>
          <w:vertAlign w:val="subscript"/>
          <w:lang w:val="en-US"/>
        </w:rPr>
        <w:t>i</w:t>
      </w:r>
      <w:r w:rsidRPr="00DC4BBA">
        <w:rPr>
          <w:noProof/>
          <w:sz w:val="24"/>
          <w:lang w:val="en-US"/>
        </w:rPr>
        <w:t xml:space="preserve"> + 1.0</w:t>
      </w:r>
      <w:r w:rsidRPr="00DC4BBA">
        <w:rPr>
          <w:i/>
          <w:noProof/>
          <w:sz w:val="24"/>
          <w:lang w:val="en-US"/>
        </w:rPr>
        <w:t>x</w:t>
      </w:r>
      <w:r w:rsidRPr="00DC4BBA">
        <w:rPr>
          <w:noProof/>
          <w:sz w:val="24"/>
          <w:vertAlign w:val="subscript"/>
          <w:lang w:val="en-US"/>
        </w:rPr>
        <w:t>5,</w:t>
      </w:r>
      <w:r w:rsidRPr="00DC4BBA">
        <w:rPr>
          <w:i/>
          <w:noProof/>
          <w:sz w:val="24"/>
          <w:vertAlign w:val="subscript"/>
          <w:lang w:val="en-US"/>
        </w:rPr>
        <w:t>i</w:t>
      </w:r>
      <w:r w:rsidRPr="00DC4BBA">
        <w:rPr>
          <w:sz w:val="24"/>
          <w:lang w:val="en-US"/>
        </w:rPr>
        <w:t>,</w:t>
      </w:r>
      <w:r w:rsidRPr="00DC4BBA">
        <w:rPr>
          <w:sz w:val="24"/>
          <w:lang w:val="en-US"/>
        </w:rPr>
        <w:tab/>
      </w:r>
      <w:r w:rsidRPr="00DC4BBA">
        <w:rPr>
          <w:sz w:val="24"/>
          <w:lang w:val="en-US"/>
        </w:rPr>
        <w:tab/>
        <w:t>(1)</w:t>
      </w:r>
    </w:p>
    <w:p w:rsidR="00BE601E" w:rsidRPr="00C02D1F" w:rsidRDefault="004F48DC" w:rsidP="0084058B">
      <w:pPr>
        <w:autoSpaceDE w:val="0"/>
        <w:autoSpaceDN w:val="0"/>
        <w:ind w:firstLine="284"/>
        <w:jc w:val="both"/>
        <w:rPr>
          <w:szCs w:val="20"/>
        </w:rPr>
      </w:pPr>
      <w:r w:rsidRPr="00C02D1F">
        <w:rPr>
          <w:szCs w:val="20"/>
        </w:rPr>
        <w:t xml:space="preserve">kde </w:t>
      </w:r>
      <w:r w:rsidR="00BE601E" w:rsidRPr="00C02D1F">
        <w:rPr>
          <w:szCs w:val="20"/>
        </w:rPr>
        <w:t xml:space="preserve">i </w:t>
      </w:r>
      <w:r w:rsidRPr="00C02D1F">
        <w:rPr>
          <w:szCs w:val="20"/>
        </w:rPr>
        <w:t xml:space="preserve">označuje </w:t>
      </w:r>
      <w:r w:rsidR="00BE601E" w:rsidRPr="00C02D1F">
        <w:rPr>
          <w:szCs w:val="20"/>
        </w:rPr>
        <w:t>i-</w:t>
      </w:r>
      <w:r w:rsidRPr="00C02D1F">
        <w:rPr>
          <w:szCs w:val="20"/>
        </w:rPr>
        <w:t>tou společnost</w:t>
      </w:r>
      <w:r w:rsidR="00BE601E" w:rsidRPr="00C02D1F">
        <w:rPr>
          <w:szCs w:val="20"/>
        </w:rPr>
        <w:t>, x</w:t>
      </w:r>
      <w:r w:rsidR="00BE601E" w:rsidRPr="005155D8">
        <w:rPr>
          <w:szCs w:val="20"/>
          <w:vertAlign w:val="subscript"/>
        </w:rPr>
        <w:t>1</w:t>
      </w:r>
      <w:r w:rsidR="00BE601E" w:rsidRPr="00C02D1F">
        <w:rPr>
          <w:szCs w:val="20"/>
        </w:rPr>
        <w:t xml:space="preserve"> </w:t>
      </w:r>
      <w:r w:rsidRPr="00C02D1F">
        <w:rPr>
          <w:szCs w:val="20"/>
        </w:rPr>
        <w:t xml:space="preserve">je dáno poměrem pracovního kapitálu k celkovým aktivům, </w:t>
      </w:r>
      <w:r w:rsidR="00BE601E" w:rsidRPr="00C02D1F">
        <w:rPr>
          <w:szCs w:val="20"/>
        </w:rPr>
        <w:t xml:space="preserve"> x</w:t>
      </w:r>
      <w:r w:rsidR="00BE601E" w:rsidRPr="005155D8">
        <w:rPr>
          <w:szCs w:val="20"/>
          <w:vertAlign w:val="subscript"/>
        </w:rPr>
        <w:t>2</w:t>
      </w:r>
      <w:r w:rsidR="00BE601E" w:rsidRPr="00C02D1F">
        <w:rPr>
          <w:szCs w:val="20"/>
        </w:rPr>
        <w:t xml:space="preserve"> </w:t>
      </w:r>
      <w:r w:rsidRPr="00C02D1F">
        <w:rPr>
          <w:szCs w:val="20"/>
        </w:rPr>
        <w:t xml:space="preserve">je poměrem nerozděleného zisku k celkovým aktivům, </w:t>
      </w:r>
      <w:r w:rsidR="00BE601E" w:rsidRPr="00C02D1F">
        <w:rPr>
          <w:szCs w:val="20"/>
        </w:rPr>
        <w:t>x</w:t>
      </w:r>
      <w:r w:rsidR="00BE601E" w:rsidRPr="005155D8">
        <w:rPr>
          <w:szCs w:val="20"/>
          <w:vertAlign w:val="subscript"/>
        </w:rPr>
        <w:t>3</w:t>
      </w:r>
      <w:r w:rsidR="00BE601E" w:rsidRPr="00C02D1F">
        <w:rPr>
          <w:szCs w:val="20"/>
        </w:rPr>
        <w:t xml:space="preserve"> </w:t>
      </w:r>
      <w:r w:rsidRPr="00C02D1F">
        <w:rPr>
          <w:szCs w:val="20"/>
        </w:rPr>
        <w:t xml:space="preserve">vyjadřuje poměr zisku před zdaněním a úroky k celkovým aktivům, </w:t>
      </w:r>
      <w:r w:rsidR="00BE601E" w:rsidRPr="00C02D1F">
        <w:rPr>
          <w:szCs w:val="20"/>
        </w:rPr>
        <w:t>x</w:t>
      </w:r>
      <w:r w:rsidR="00BE601E" w:rsidRPr="005155D8">
        <w:rPr>
          <w:szCs w:val="20"/>
          <w:vertAlign w:val="subscript"/>
        </w:rPr>
        <w:t>4</w:t>
      </w:r>
      <w:r w:rsidR="00BE601E" w:rsidRPr="00C02D1F">
        <w:rPr>
          <w:szCs w:val="20"/>
        </w:rPr>
        <w:t xml:space="preserve"> </w:t>
      </w:r>
      <w:r w:rsidRPr="00C02D1F">
        <w:rPr>
          <w:szCs w:val="20"/>
        </w:rPr>
        <w:t xml:space="preserve">je poměr tržní ceny akcií k celkovým dluhům a </w:t>
      </w:r>
      <w:r w:rsidR="00BE601E" w:rsidRPr="00C02D1F">
        <w:rPr>
          <w:szCs w:val="20"/>
        </w:rPr>
        <w:t>x</w:t>
      </w:r>
      <w:r w:rsidR="00BE601E" w:rsidRPr="005155D8">
        <w:rPr>
          <w:szCs w:val="20"/>
          <w:vertAlign w:val="subscript"/>
        </w:rPr>
        <w:t>5</w:t>
      </w:r>
      <w:r w:rsidR="00BE601E" w:rsidRPr="00C02D1F">
        <w:rPr>
          <w:szCs w:val="20"/>
        </w:rPr>
        <w:t xml:space="preserve"> </w:t>
      </w:r>
      <w:r w:rsidRPr="00C02D1F">
        <w:rPr>
          <w:szCs w:val="20"/>
        </w:rPr>
        <w:t>je poměr tržeb k celkovým aktivům.</w:t>
      </w:r>
      <w:r w:rsidR="00BE601E" w:rsidRPr="00C02D1F">
        <w:rPr>
          <w:szCs w:val="20"/>
        </w:rPr>
        <w:t xml:space="preserve"> Hodnota </w:t>
      </w:r>
      <w:proofErr w:type="spellStart"/>
      <w:r w:rsidR="00BE601E" w:rsidRPr="007052F9">
        <w:rPr>
          <w:i/>
          <w:szCs w:val="20"/>
        </w:rPr>
        <w:t>Z</w:t>
      </w:r>
      <w:r w:rsidR="00BE601E" w:rsidRPr="007052F9">
        <w:rPr>
          <w:i/>
          <w:szCs w:val="20"/>
          <w:vertAlign w:val="subscript"/>
        </w:rPr>
        <w:t>i</w:t>
      </w:r>
      <w:proofErr w:type="spellEnd"/>
      <w:r w:rsidR="00BE601E" w:rsidRPr="007052F9">
        <w:rPr>
          <w:szCs w:val="20"/>
          <w:vertAlign w:val="subscript"/>
        </w:rPr>
        <w:t> </w:t>
      </w:r>
      <w:r w:rsidR="00BE601E" w:rsidRPr="00C02D1F">
        <w:rPr>
          <w:szCs w:val="20"/>
        </w:rPr>
        <w:t xml:space="preserve">se pohybuje v intervalu od – 4 do + 8. Větší hodnota značí lepší finanční zdraví podniku. Platí, že když (1) </w:t>
      </w:r>
      <w:proofErr w:type="spellStart"/>
      <w:r w:rsidR="007052F9" w:rsidRPr="007052F9">
        <w:rPr>
          <w:i/>
          <w:szCs w:val="20"/>
        </w:rPr>
        <w:t>Z</w:t>
      </w:r>
      <w:r w:rsidR="007052F9" w:rsidRPr="007052F9">
        <w:rPr>
          <w:i/>
          <w:szCs w:val="20"/>
          <w:vertAlign w:val="subscript"/>
        </w:rPr>
        <w:t>i</w:t>
      </w:r>
      <w:proofErr w:type="spellEnd"/>
      <w:r w:rsidR="007052F9" w:rsidRPr="00C02D1F">
        <w:rPr>
          <w:szCs w:val="20"/>
        </w:rPr>
        <w:t xml:space="preserve"> </w:t>
      </w:r>
      <w:r w:rsidR="00BE601E" w:rsidRPr="00C02D1F">
        <w:rPr>
          <w:szCs w:val="20"/>
        </w:rPr>
        <w:t xml:space="preserve"> ≥ 3 pak se jedná o</w:t>
      </w:r>
      <w:r w:rsidR="00C61D6B" w:rsidRPr="00C02D1F">
        <w:rPr>
          <w:szCs w:val="20"/>
        </w:rPr>
        <w:t> </w:t>
      </w:r>
      <w:r w:rsidR="00BE601E" w:rsidRPr="00C02D1F">
        <w:rPr>
          <w:szCs w:val="20"/>
        </w:rPr>
        <w:t>“</w:t>
      </w:r>
      <w:proofErr w:type="spellStart"/>
      <w:r w:rsidR="00BE601E" w:rsidRPr="00C02D1F">
        <w:rPr>
          <w:szCs w:val="20"/>
        </w:rPr>
        <w:t>safe</w:t>
      </w:r>
      <w:proofErr w:type="spellEnd"/>
      <w:r w:rsidR="00BE601E" w:rsidRPr="00C02D1F">
        <w:rPr>
          <w:szCs w:val="20"/>
        </w:rPr>
        <w:t xml:space="preserve"> </w:t>
      </w:r>
      <w:proofErr w:type="spellStart"/>
      <w:r w:rsidR="00BE601E" w:rsidRPr="00C02D1F">
        <w:rPr>
          <w:szCs w:val="20"/>
        </w:rPr>
        <w:t>zone</w:t>
      </w:r>
      <w:proofErr w:type="spellEnd"/>
      <w:r w:rsidR="00BE601E" w:rsidRPr="00C02D1F">
        <w:rPr>
          <w:szCs w:val="20"/>
        </w:rPr>
        <w:t>” (</w:t>
      </w:r>
      <w:r w:rsidR="00E16C3C" w:rsidRPr="00C02D1F">
        <w:rPr>
          <w:szCs w:val="20"/>
        </w:rPr>
        <w:t xml:space="preserve">bezpečná zóna, </w:t>
      </w:r>
      <w:r w:rsidR="00BE601E" w:rsidRPr="00C02D1F">
        <w:rPr>
          <w:szCs w:val="20"/>
        </w:rPr>
        <w:t xml:space="preserve">podnik s vysokou pravděpodobností přežití - finančně silný podnik); (2) 1.80 ≤ </w:t>
      </w:r>
      <w:proofErr w:type="spellStart"/>
      <w:r w:rsidR="007052F9" w:rsidRPr="007052F9">
        <w:rPr>
          <w:i/>
          <w:szCs w:val="20"/>
        </w:rPr>
        <w:t>Z</w:t>
      </w:r>
      <w:r w:rsidR="007052F9" w:rsidRPr="007052F9">
        <w:rPr>
          <w:i/>
          <w:szCs w:val="20"/>
          <w:vertAlign w:val="subscript"/>
        </w:rPr>
        <w:t>i</w:t>
      </w:r>
      <w:proofErr w:type="spellEnd"/>
      <w:r w:rsidR="00BE601E" w:rsidRPr="00C02D1F">
        <w:rPr>
          <w:szCs w:val="20"/>
        </w:rPr>
        <w:t xml:space="preserve"> ≤ 2.99 “</w:t>
      </w:r>
      <w:proofErr w:type="spellStart"/>
      <w:r w:rsidR="00BE601E" w:rsidRPr="00C02D1F">
        <w:rPr>
          <w:szCs w:val="20"/>
        </w:rPr>
        <w:t>grey</w:t>
      </w:r>
      <w:proofErr w:type="spellEnd"/>
      <w:r w:rsidR="00BE601E" w:rsidRPr="00C02D1F">
        <w:rPr>
          <w:szCs w:val="20"/>
        </w:rPr>
        <w:t xml:space="preserve"> </w:t>
      </w:r>
      <w:proofErr w:type="spellStart"/>
      <w:r w:rsidR="00BE601E" w:rsidRPr="00C02D1F">
        <w:rPr>
          <w:szCs w:val="20"/>
        </w:rPr>
        <w:t>zone</w:t>
      </w:r>
      <w:proofErr w:type="spellEnd"/>
      <w:r w:rsidR="00BE601E" w:rsidRPr="00C02D1F">
        <w:rPr>
          <w:szCs w:val="20"/>
        </w:rPr>
        <w:t>” (</w:t>
      </w:r>
      <w:r w:rsidR="00E16C3C" w:rsidRPr="00C02D1F">
        <w:rPr>
          <w:szCs w:val="20"/>
        </w:rPr>
        <w:t xml:space="preserve">šedá zóna, </w:t>
      </w:r>
      <w:r w:rsidR="00BE601E" w:rsidRPr="00C02D1F">
        <w:rPr>
          <w:szCs w:val="20"/>
        </w:rPr>
        <w:t xml:space="preserve">budoucnost podniku nelze jednoznačně určit - podnik s určitými finančními potížemi); (3) </w:t>
      </w:r>
      <w:proofErr w:type="spellStart"/>
      <w:r w:rsidR="007052F9" w:rsidRPr="007052F9">
        <w:rPr>
          <w:i/>
          <w:szCs w:val="20"/>
        </w:rPr>
        <w:t>Z</w:t>
      </w:r>
      <w:r w:rsidR="007052F9" w:rsidRPr="007052F9">
        <w:rPr>
          <w:i/>
          <w:szCs w:val="20"/>
          <w:vertAlign w:val="subscript"/>
        </w:rPr>
        <w:t>i</w:t>
      </w:r>
      <w:proofErr w:type="spellEnd"/>
      <w:r w:rsidR="007052F9" w:rsidRPr="00C02D1F">
        <w:rPr>
          <w:szCs w:val="20"/>
        </w:rPr>
        <w:t xml:space="preserve"> </w:t>
      </w:r>
      <w:r w:rsidR="00BE601E" w:rsidRPr="00C02D1F">
        <w:rPr>
          <w:szCs w:val="20"/>
        </w:rPr>
        <w:t>i &lt; 1.80 “</w:t>
      </w:r>
      <w:proofErr w:type="spellStart"/>
      <w:r w:rsidR="00BE601E" w:rsidRPr="00C02D1F">
        <w:rPr>
          <w:szCs w:val="20"/>
        </w:rPr>
        <w:t>distress</w:t>
      </w:r>
      <w:proofErr w:type="spellEnd"/>
      <w:r w:rsidR="00BE601E" w:rsidRPr="00C02D1F">
        <w:rPr>
          <w:szCs w:val="20"/>
        </w:rPr>
        <w:t xml:space="preserve"> </w:t>
      </w:r>
      <w:proofErr w:type="spellStart"/>
      <w:r w:rsidR="00BE601E" w:rsidRPr="00C02D1F">
        <w:rPr>
          <w:szCs w:val="20"/>
        </w:rPr>
        <w:t>zone</w:t>
      </w:r>
      <w:proofErr w:type="spellEnd"/>
      <w:r w:rsidR="00BE601E" w:rsidRPr="00C02D1F">
        <w:rPr>
          <w:szCs w:val="20"/>
        </w:rPr>
        <w:t>” (</w:t>
      </w:r>
      <w:r w:rsidR="00E16C3C" w:rsidRPr="00C02D1F">
        <w:rPr>
          <w:szCs w:val="20"/>
        </w:rPr>
        <w:t xml:space="preserve">krizová zóna, </w:t>
      </w:r>
      <w:r w:rsidR="00BE601E" w:rsidRPr="00C02D1F">
        <w:rPr>
          <w:szCs w:val="20"/>
        </w:rPr>
        <w:t>podnik má vážné finanční problémy - podnik ohrožen bankrotem).</w:t>
      </w:r>
    </w:p>
    <w:p w:rsidR="006A23E8" w:rsidRPr="00C02D1F" w:rsidRDefault="006A23E8" w:rsidP="0084058B">
      <w:pPr>
        <w:autoSpaceDE w:val="0"/>
        <w:autoSpaceDN w:val="0"/>
        <w:ind w:firstLine="284"/>
        <w:jc w:val="both"/>
        <w:rPr>
          <w:szCs w:val="20"/>
        </w:rPr>
      </w:pPr>
      <w:r w:rsidRPr="00C02D1F">
        <w:rPr>
          <w:szCs w:val="20"/>
        </w:rPr>
        <w:t xml:space="preserve">Při využití Z </w:t>
      </w:r>
      <w:proofErr w:type="spellStart"/>
      <w:r w:rsidRPr="00C02D1F">
        <w:rPr>
          <w:szCs w:val="20"/>
        </w:rPr>
        <w:t>score</w:t>
      </w:r>
      <w:proofErr w:type="spellEnd"/>
      <w:r w:rsidRPr="00C02D1F">
        <w:rPr>
          <w:szCs w:val="20"/>
        </w:rPr>
        <w:t xml:space="preserve"> modelu byly zkoumané společnosti zařazeny následovně:  432</w:t>
      </w:r>
      <w:r w:rsidR="00C61D6B" w:rsidRPr="00C02D1F">
        <w:rPr>
          <w:szCs w:val="20"/>
        </w:rPr>
        <w:t> </w:t>
      </w:r>
      <w:r w:rsidRPr="00C02D1F">
        <w:rPr>
          <w:szCs w:val="20"/>
        </w:rPr>
        <w:t xml:space="preserve">společnosti se nacházely v bezpečné zóně, 375 společností bylo již v šedé zóně a krizová zóna zahrnovala 571 společnost. </w:t>
      </w:r>
    </w:p>
    <w:p w:rsidR="00217F2B" w:rsidRPr="00C02D1F" w:rsidRDefault="009372B1" w:rsidP="00BE601E">
      <w:pPr>
        <w:pStyle w:val="Zpat"/>
        <w:rPr>
          <w:szCs w:val="24"/>
        </w:rPr>
      </w:pPr>
      <w:r w:rsidRPr="00C02D1F">
        <w:rPr>
          <w:szCs w:val="24"/>
        </w:rPr>
        <w:t xml:space="preserve"> </w:t>
      </w:r>
    </w:p>
    <w:p w:rsidR="00C61D6B" w:rsidRPr="00C02D1F" w:rsidRDefault="00D15A0B" w:rsidP="0084058B">
      <w:pPr>
        <w:autoSpaceDE w:val="0"/>
        <w:autoSpaceDN w:val="0"/>
        <w:ind w:firstLine="284"/>
        <w:jc w:val="both"/>
        <w:rPr>
          <w:szCs w:val="20"/>
        </w:rPr>
      </w:pPr>
      <w:r w:rsidRPr="00C02D1F">
        <w:rPr>
          <w:szCs w:val="20"/>
        </w:rPr>
        <w:t>K hodnocení tónu textu výročních zpráv jsme využili několika volně dostupných slovníků. Prvním slovníkem byl slovník navržený ve studii Henry (</w:t>
      </w:r>
      <w:r w:rsidR="00F0717E" w:rsidRPr="00C02D1F">
        <w:rPr>
          <w:szCs w:val="20"/>
        </w:rPr>
        <w:t xml:space="preserve">2008) speciálně pro hodnocení finančních textů. Tento slovník obsahuje dvě kategorie, pozitivní a negativní (obě s 85 slovy). Tento počet slov se však později ukázal jako nedostatečný, stejně jako omezený počet slovních kategorií. </w:t>
      </w:r>
    </w:p>
    <w:p w:rsidR="00C61D6B" w:rsidRPr="00C02D1F" w:rsidRDefault="00F0717E" w:rsidP="0084058B">
      <w:pPr>
        <w:autoSpaceDE w:val="0"/>
        <w:autoSpaceDN w:val="0"/>
        <w:ind w:firstLine="284"/>
        <w:jc w:val="both"/>
        <w:rPr>
          <w:szCs w:val="20"/>
        </w:rPr>
      </w:pPr>
      <w:r w:rsidRPr="00C02D1F">
        <w:rPr>
          <w:szCs w:val="20"/>
        </w:rPr>
        <w:t xml:space="preserve">Dalším použitým slovníkem proto byl slovník </w:t>
      </w:r>
      <w:proofErr w:type="spellStart"/>
      <w:r w:rsidRPr="00C02D1F">
        <w:rPr>
          <w:szCs w:val="20"/>
        </w:rPr>
        <w:t>Loughrana</w:t>
      </w:r>
      <w:proofErr w:type="spellEnd"/>
      <w:r w:rsidRPr="00C02D1F">
        <w:rPr>
          <w:szCs w:val="20"/>
        </w:rPr>
        <w:t xml:space="preserve"> a McDonalda (2011), který zahrnoval 354 pozitivních</w:t>
      </w:r>
      <w:r w:rsidR="00BF0BC7" w:rsidRPr="00C02D1F">
        <w:rPr>
          <w:szCs w:val="20"/>
        </w:rPr>
        <w:t xml:space="preserve"> slov</w:t>
      </w:r>
      <w:r w:rsidRPr="00C02D1F">
        <w:rPr>
          <w:szCs w:val="20"/>
        </w:rPr>
        <w:t>, 2329 negativních, 291 slov pro neurčitost, 871</w:t>
      </w:r>
      <w:r w:rsidR="00C61D6B" w:rsidRPr="00C02D1F">
        <w:rPr>
          <w:szCs w:val="20"/>
        </w:rPr>
        <w:t> </w:t>
      </w:r>
      <w:r w:rsidRPr="00C02D1F">
        <w:rPr>
          <w:szCs w:val="20"/>
        </w:rPr>
        <w:t>právních a</w:t>
      </w:r>
      <w:r w:rsidR="00681958">
        <w:rPr>
          <w:szCs w:val="20"/>
        </w:rPr>
        <w:t> </w:t>
      </w:r>
      <w:r w:rsidRPr="00C02D1F">
        <w:rPr>
          <w:szCs w:val="20"/>
        </w:rPr>
        <w:t>46</w:t>
      </w:r>
      <w:r w:rsidR="00681958">
        <w:rPr>
          <w:szCs w:val="20"/>
        </w:rPr>
        <w:t> </w:t>
      </w:r>
      <w:r w:rsidRPr="00C02D1F">
        <w:rPr>
          <w:szCs w:val="20"/>
        </w:rPr>
        <w:t xml:space="preserve">modálních slov. Omezením tohoto slovníku je použití pouze jednoslovných pojmů, což ztěžuje správné přiřazení tónu u víceslovných finančních pojmů. </w:t>
      </w:r>
    </w:p>
    <w:p w:rsidR="00C61D6B" w:rsidRPr="00C02D1F" w:rsidRDefault="00F0717E" w:rsidP="0084058B">
      <w:pPr>
        <w:autoSpaceDE w:val="0"/>
        <w:autoSpaceDN w:val="0"/>
        <w:ind w:firstLine="284"/>
        <w:jc w:val="both"/>
        <w:rPr>
          <w:szCs w:val="20"/>
        </w:rPr>
      </w:pPr>
      <w:r w:rsidRPr="00C02D1F">
        <w:rPr>
          <w:szCs w:val="20"/>
        </w:rPr>
        <w:t>Proto jsme dále použili slovník navržený ve studii Myšková a Hájek (2015), kde slovníky pozitivních (185) a</w:t>
      </w:r>
      <w:r w:rsidR="00C61D6B" w:rsidRPr="00C02D1F">
        <w:rPr>
          <w:szCs w:val="20"/>
        </w:rPr>
        <w:t> </w:t>
      </w:r>
      <w:r w:rsidRPr="00C02D1F">
        <w:rPr>
          <w:szCs w:val="20"/>
        </w:rPr>
        <w:t xml:space="preserve">negativních (76) slov zahrnují také dvouslovné a tříslovné pojmy se zaměřením na finanční investiční doménu. </w:t>
      </w:r>
    </w:p>
    <w:p w:rsidR="00F0717E" w:rsidRPr="00C02D1F" w:rsidRDefault="00F0717E" w:rsidP="0084058B">
      <w:pPr>
        <w:autoSpaceDE w:val="0"/>
        <w:autoSpaceDN w:val="0"/>
        <w:ind w:firstLine="284"/>
        <w:jc w:val="both"/>
        <w:rPr>
          <w:szCs w:val="20"/>
        </w:rPr>
      </w:pPr>
      <w:r w:rsidRPr="00C02D1F">
        <w:rPr>
          <w:szCs w:val="20"/>
        </w:rPr>
        <w:t xml:space="preserve">Z tradičně používaných obecných slovníků (nevytvořených speciálně pro finanční oblast) jsme dále zahrnuli </w:t>
      </w:r>
      <w:r w:rsidR="005135D3" w:rsidRPr="00C02D1F">
        <w:rPr>
          <w:szCs w:val="20"/>
        </w:rPr>
        <w:t>D</w:t>
      </w:r>
      <w:r w:rsidRPr="00C02D1F">
        <w:rPr>
          <w:szCs w:val="20"/>
        </w:rPr>
        <w:t>ICTION</w:t>
      </w:r>
      <w:r w:rsidR="005135D3" w:rsidRPr="00C02D1F">
        <w:rPr>
          <w:szCs w:val="20"/>
        </w:rPr>
        <w:t xml:space="preserve"> 7.0</w:t>
      </w:r>
      <w:r w:rsidRPr="00C02D1F">
        <w:rPr>
          <w:szCs w:val="20"/>
        </w:rPr>
        <w:t>. (Hart, 2001), kde je 5</w:t>
      </w:r>
      <w:r w:rsidR="00BD7777" w:rsidRPr="00C02D1F">
        <w:rPr>
          <w:szCs w:val="20"/>
        </w:rPr>
        <w:t xml:space="preserve"> hlavních slovních kategorií: určitost, aktivita, optimismus, realismus a shodnost. Ve shodě s předchozími studiemi (</w:t>
      </w:r>
      <w:proofErr w:type="spellStart"/>
      <w:r w:rsidR="00BD7777" w:rsidRPr="00C02D1F">
        <w:rPr>
          <w:szCs w:val="20"/>
        </w:rPr>
        <w:t>Li</w:t>
      </w:r>
      <w:proofErr w:type="spellEnd"/>
      <w:r w:rsidR="00BD7777" w:rsidRPr="00C02D1F">
        <w:rPr>
          <w:szCs w:val="20"/>
        </w:rPr>
        <w:t xml:space="preserve">, 2010; </w:t>
      </w:r>
      <w:proofErr w:type="spellStart"/>
      <w:r w:rsidR="00BD7777" w:rsidRPr="00C02D1F">
        <w:rPr>
          <w:szCs w:val="20"/>
        </w:rPr>
        <w:t>Loughran</w:t>
      </w:r>
      <w:proofErr w:type="spellEnd"/>
      <w:r w:rsidR="00BD7777" w:rsidRPr="00C02D1F">
        <w:rPr>
          <w:szCs w:val="20"/>
        </w:rPr>
        <w:t xml:space="preserve"> a McDonald, 2011, atd.) jsme předpokládali, že firmy s dobrou finanční výkonností používají odlišný tón textu, tj. více pozitivní a optimistický, méně negativní a neurčitý, apod. U </w:t>
      </w:r>
      <w:r w:rsidR="00BF0BC7" w:rsidRPr="00C02D1F">
        <w:rPr>
          <w:szCs w:val="20"/>
        </w:rPr>
        <w:t>společností</w:t>
      </w:r>
      <w:r w:rsidR="00BD7777" w:rsidRPr="00C02D1F">
        <w:rPr>
          <w:szCs w:val="20"/>
        </w:rPr>
        <w:t xml:space="preserve"> se slabou finanční výkonností </w:t>
      </w:r>
      <w:r w:rsidR="00BF0BC7" w:rsidRPr="00C02D1F">
        <w:rPr>
          <w:szCs w:val="20"/>
        </w:rPr>
        <w:t xml:space="preserve">jsme vycházeli z předpokladu, že nalezneme </w:t>
      </w:r>
      <w:r w:rsidR="00BD7777" w:rsidRPr="00C02D1F">
        <w:rPr>
          <w:szCs w:val="20"/>
        </w:rPr>
        <w:t>naopak použití více negativních slov a také více aktivních slov, značící aktivní postoj k řešení špatné finanční situace.</w:t>
      </w:r>
    </w:p>
    <w:p w:rsidR="00BD7777" w:rsidRPr="00C02D1F" w:rsidRDefault="00BD7777" w:rsidP="0084058B">
      <w:pPr>
        <w:autoSpaceDE w:val="0"/>
        <w:autoSpaceDN w:val="0"/>
        <w:ind w:firstLine="284"/>
        <w:jc w:val="both"/>
        <w:rPr>
          <w:szCs w:val="20"/>
        </w:rPr>
      </w:pPr>
      <w:r w:rsidRPr="00C02D1F">
        <w:rPr>
          <w:szCs w:val="20"/>
        </w:rPr>
        <w:t>U pozitivních slov je v angličtině potřeba zohlednit možné použití negací ve větě. Proto jsm</w:t>
      </w:r>
      <w:r w:rsidR="00674C41" w:rsidRPr="00C02D1F">
        <w:rPr>
          <w:szCs w:val="20"/>
        </w:rPr>
        <w:t>e</w:t>
      </w:r>
      <w:r w:rsidRPr="00C02D1F">
        <w:rPr>
          <w:szCs w:val="20"/>
        </w:rPr>
        <w:t xml:space="preserve"> ve shodě s </w:t>
      </w:r>
      <w:proofErr w:type="spellStart"/>
      <w:r w:rsidRPr="00C02D1F">
        <w:rPr>
          <w:szCs w:val="20"/>
        </w:rPr>
        <w:t>Loughran</w:t>
      </w:r>
      <w:proofErr w:type="spellEnd"/>
      <w:r w:rsidRPr="00C02D1F">
        <w:rPr>
          <w:szCs w:val="20"/>
        </w:rPr>
        <w:t xml:space="preserve"> a McDonald (2011) provedli analýzu kolokací (do 3 slov před pozitivním slovem) se slovy značícími negaci (no, not, </w:t>
      </w:r>
      <w:proofErr w:type="spellStart"/>
      <w:r w:rsidRPr="00C02D1F">
        <w:rPr>
          <w:szCs w:val="20"/>
        </w:rPr>
        <w:t>none</w:t>
      </w:r>
      <w:proofErr w:type="spellEnd"/>
      <w:r w:rsidRPr="00C02D1F">
        <w:rPr>
          <w:szCs w:val="20"/>
        </w:rPr>
        <w:t xml:space="preserve">, </w:t>
      </w:r>
      <w:proofErr w:type="spellStart"/>
      <w:r w:rsidRPr="00C02D1F">
        <w:rPr>
          <w:szCs w:val="20"/>
        </w:rPr>
        <w:t>neither</w:t>
      </w:r>
      <w:proofErr w:type="spellEnd"/>
      <w:r w:rsidRPr="00C02D1F">
        <w:rPr>
          <w:szCs w:val="20"/>
        </w:rPr>
        <w:t xml:space="preserve">, </w:t>
      </w:r>
      <w:proofErr w:type="spellStart"/>
      <w:r w:rsidRPr="00C02D1F">
        <w:rPr>
          <w:szCs w:val="20"/>
        </w:rPr>
        <w:t>never</w:t>
      </w:r>
      <w:proofErr w:type="spellEnd"/>
      <w:r w:rsidRPr="00C02D1F">
        <w:rPr>
          <w:szCs w:val="20"/>
        </w:rPr>
        <w:t xml:space="preserve"> a</w:t>
      </w:r>
      <w:r w:rsidR="005135D3" w:rsidRPr="00C02D1F">
        <w:rPr>
          <w:szCs w:val="20"/>
        </w:rPr>
        <w:t xml:space="preserve"> </w:t>
      </w:r>
      <w:proofErr w:type="spellStart"/>
      <w:r w:rsidR="005135D3" w:rsidRPr="00C02D1F">
        <w:rPr>
          <w:szCs w:val="20"/>
        </w:rPr>
        <w:t>nobody</w:t>
      </w:r>
      <w:proofErr w:type="spellEnd"/>
      <w:r w:rsidR="005135D3" w:rsidRPr="00C02D1F">
        <w:rPr>
          <w:szCs w:val="20"/>
        </w:rPr>
        <w:t>)</w:t>
      </w:r>
      <w:r w:rsidRPr="00C02D1F">
        <w:rPr>
          <w:szCs w:val="20"/>
        </w:rPr>
        <w:t>. Počet pozitivních slov pak byl o počet těchto výskytů snížen.</w:t>
      </w:r>
    </w:p>
    <w:p w:rsidR="00484409" w:rsidRDefault="00BD7777" w:rsidP="0084058B">
      <w:pPr>
        <w:autoSpaceDE w:val="0"/>
        <w:autoSpaceDN w:val="0"/>
        <w:ind w:firstLine="284"/>
        <w:jc w:val="both"/>
        <w:rPr>
          <w:szCs w:val="20"/>
        </w:rPr>
      </w:pPr>
      <w:r w:rsidRPr="00C02D1F">
        <w:rPr>
          <w:szCs w:val="20"/>
        </w:rPr>
        <w:t xml:space="preserve">K určení četnosti slovních kategorií jsme použili programové prostředí </w:t>
      </w:r>
      <w:proofErr w:type="spellStart"/>
      <w:r w:rsidRPr="00C02D1F">
        <w:rPr>
          <w:szCs w:val="20"/>
        </w:rPr>
        <w:t>Statistica</w:t>
      </w:r>
      <w:proofErr w:type="spellEnd"/>
      <w:r w:rsidRPr="00C02D1F">
        <w:rPr>
          <w:szCs w:val="20"/>
        </w:rPr>
        <w:t xml:space="preserve"> 12</w:t>
      </w:r>
      <w:r w:rsidR="00C61D6B" w:rsidRPr="00C02D1F">
        <w:rPr>
          <w:szCs w:val="20"/>
        </w:rPr>
        <w:t> </w:t>
      </w:r>
      <w:r w:rsidRPr="00C02D1F">
        <w:rPr>
          <w:szCs w:val="20"/>
        </w:rPr>
        <w:t xml:space="preserve">(nástroj Text </w:t>
      </w:r>
      <w:proofErr w:type="spellStart"/>
      <w:r w:rsidRPr="00C02D1F">
        <w:rPr>
          <w:szCs w:val="20"/>
        </w:rPr>
        <w:t>Miner</w:t>
      </w:r>
      <w:proofErr w:type="spellEnd"/>
      <w:r w:rsidRPr="00C02D1F">
        <w:rPr>
          <w:szCs w:val="20"/>
        </w:rPr>
        <w:t xml:space="preserve">). </w:t>
      </w:r>
    </w:p>
    <w:p w:rsidR="00BD7777" w:rsidRPr="00C02D1F" w:rsidRDefault="00BD7777" w:rsidP="0084058B">
      <w:pPr>
        <w:autoSpaceDE w:val="0"/>
        <w:autoSpaceDN w:val="0"/>
        <w:ind w:firstLine="284"/>
        <w:jc w:val="both"/>
        <w:rPr>
          <w:szCs w:val="20"/>
        </w:rPr>
      </w:pPr>
      <w:r w:rsidRPr="00C02D1F">
        <w:rPr>
          <w:szCs w:val="20"/>
        </w:rPr>
        <w:t xml:space="preserve">Textové soubory byly </w:t>
      </w:r>
      <w:r w:rsidR="00363089" w:rsidRPr="00C02D1F">
        <w:rPr>
          <w:szCs w:val="20"/>
        </w:rPr>
        <w:t xml:space="preserve">uloženy ve formátu </w:t>
      </w:r>
      <w:proofErr w:type="spellStart"/>
      <w:r w:rsidR="00363089" w:rsidRPr="00C02D1F">
        <w:rPr>
          <w:szCs w:val="20"/>
        </w:rPr>
        <w:t>txt</w:t>
      </w:r>
      <w:proofErr w:type="spellEnd"/>
      <w:r w:rsidR="00363089" w:rsidRPr="00C02D1F">
        <w:rPr>
          <w:szCs w:val="20"/>
        </w:rPr>
        <w:t xml:space="preserve"> a slovní kategorie</w:t>
      </w:r>
      <w:r w:rsidRPr="00C02D1F">
        <w:rPr>
          <w:szCs w:val="20"/>
        </w:rPr>
        <w:t xml:space="preserve"> byly načteny jako synonyma</w:t>
      </w:r>
      <w:r w:rsidR="00363089" w:rsidRPr="00C02D1F">
        <w:rPr>
          <w:szCs w:val="20"/>
        </w:rPr>
        <w:t xml:space="preserve"> slov ve výše uvedených slovnících. Tak byl získán celkový počet slov v dané slovní kategorii. Stejný postup byl použit v řadě podobných předchozích studií, např. </w:t>
      </w:r>
      <w:proofErr w:type="spellStart"/>
      <w:r w:rsidR="00363089" w:rsidRPr="00C02D1F">
        <w:rPr>
          <w:szCs w:val="20"/>
        </w:rPr>
        <w:t>García</w:t>
      </w:r>
      <w:proofErr w:type="spellEnd"/>
      <w:r w:rsidR="00363089" w:rsidRPr="00C02D1F">
        <w:rPr>
          <w:szCs w:val="20"/>
        </w:rPr>
        <w:t xml:space="preserve"> (2013). Počet slov byl pak normalizován délkou textu (celkovým počtem slov), aby byl brán v úvahu také rozsah textu. U každého slovníku s pozitivní a negativní slovní kategorií byl také spočítán čistě pozitivní tón jako rozdíl počtu pozitivních a negativních slov vydělený součtem počtu pozitivních a negativních slov (Henry, 2008).</w:t>
      </w:r>
    </w:p>
    <w:p w:rsidR="008914EC" w:rsidRPr="008A0B7E" w:rsidRDefault="008914EC" w:rsidP="0084058B">
      <w:pPr>
        <w:autoSpaceDE w:val="0"/>
        <w:autoSpaceDN w:val="0"/>
        <w:ind w:firstLine="284"/>
        <w:jc w:val="both"/>
        <w:rPr>
          <w:szCs w:val="20"/>
        </w:rPr>
      </w:pPr>
      <w:r w:rsidRPr="008A0B7E">
        <w:rPr>
          <w:szCs w:val="20"/>
        </w:rPr>
        <w:t xml:space="preserve">Průměrné hodnoty za všechny slovníky podle kategorií Z-skóre jsou uvedeny v Tabulce 1. Z této tabulky je zřejmé, že firmy v krizové zóně obecně používají méně pozitivní slovník s více právními pojmy, ale bylo </w:t>
      </w:r>
      <w:r w:rsidR="00BF0BC7" w:rsidRPr="008A0B7E">
        <w:rPr>
          <w:szCs w:val="20"/>
        </w:rPr>
        <w:t xml:space="preserve">zjištěno, že je </w:t>
      </w:r>
      <w:r w:rsidRPr="008A0B7E">
        <w:rPr>
          <w:szCs w:val="20"/>
        </w:rPr>
        <w:t>zde použito také více realistických a méně aktivních slov.</w:t>
      </w:r>
    </w:p>
    <w:p w:rsidR="00363089" w:rsidRPr="008A0B7E" w:rsidRDefault="00363089" w:rsidP="00363089"/>
    <w:p w:rsidR="00363089" w:rsidRPr="008A0B7E" w:rsidRDefault="00363089" w:rsidP="00C97BF2">
      <w:pPr>
        <w:pStyle w:val="TableSource"/>
        <w:rPr>
          <w:lang w:val="cs-CZ"/>
        </w:rPr>
      </w:pPr>
      <w:r w:rsidRPr="008A0B7E">
        <w:rPr>
          <w:lang w:val="cs-CZ"/>
        </w:rPr>
        <w:t>Tabulka 1: Průměrné hodnoty slovních kategorií pro jednotlivé kategorie Z-skóre</w:t>
      </w:r>
    </w:p>
    <w:tbl>
      <w:tblPr>
        <w:tblW w:w="7906" w:type="dxa"/>
        <w:jc w:val="center"/>
        <w:tblCellMar>
          <w:left w:w="70" w:type="dxa"/>
          <w:right w:w="70" w:type="dxa"/>
        </w:tblCellMar>
        <w:tblLook w:val="04A0" w:firstRow="1" w:lastRow="0" w:firstColumn="1" w:lastColumn="0" w:noHBand="0" w:noVBand="1"/>
      </w:tblPr>
      <w:tblGrid>
        <w:gridCol w:w="2647"/>
        <w:gridCol w:w="1706"/>
        <w:gridCol w:w="1826"/>
        <w:gridCol w:w="1727"/>
      </w:tblGrid>
      <w:tr w:rsidR="00363089" w:rsidRPr="00363089" w:rsidTr="006F0851">
        <w:trPr>
          <w:trHeight w:val="300"/>
          <w:jc w:val="center"/>
        </w:trPr>
        <w:tc>
          <w:tcPr>
            <w:tcW w:w="2647" w:type="dxa"/>
            <w:tcBorders>
              <w:top w:val="single" w:sz="4" w:space="0" w:color="auto"/>
              <w:left w:val="single" w:sz="4" w:space="0" w:color="auto"/>
              <w:bottom w:val="single" w:sz="4" w:space="0" w:color="auto"/>
              <w:right w:val="nil"/>
            </w:tcBorders>
            <w:shd w:val="clear" w:color="auto" w:fill="auto"/>
            <w:noWrap/>
            <w:vAlign w:val="bottom"/>
            <w:hideMark/>
          </w:tcPr>
          <w:p w:rsidR="00363089" w:rsidRPr="00363089" w:rsidRDefault="00363089" w:rsidP="00363089"/>
        </w:tc>
        <w:tc>
          <w:tcPr>
            <w:tcW w:w="1706" w:type="dxa"/>
            <w:tcBorders>
              <w:top w:val="single" w:sz="4" w:space="0" w:color="auto"/>
              <w:left w:val="nil"/>
              <w:bottom w:val="single" w:sz="4" w:space="0" w:color="auto"/>
              <w:right w:val="nil"/>
            </w:tcBorders>
            <w:shd w:val="clear" w:color="auto" w:fill="auto"/>
            <w:noWrap/>
            <w:vAlign w:val="bottom"/>
            <w:hideMark/>
          </w:tcPr>
          <w:p w:rsidR="00363089" w:rsidRPr="00363089" w:rsidRDefault="00363089" w:rsidP="00363089">
            <w:pPr>
              <w:jc w:val="right"/>
              <w:rPr>
                <w:color w:val="000000"/>
              </w:rPr>
            </w:pPr>
            <w:r>
              <w:rPr>
                <w:color w:val="000000"/>
              </w:rPr>
              <w:t>Bezpečná zóna</w:t>
            </w:r>
          </w:p>
        </w:tc>
        <w:tc>
          <w:tcPr>
            <w:tcW w:w="1826" w:type="dxa"/>
            <w:tcBorders>
              <w:top w:val="single" w:sz="4" w:space="0" w:color="auto"/>
              <w:left w:val="nil"/>
              <w:bottom w:val="single" w:sz="4" w:space="0" w:color="auto"/>
              <w:right w:val="nil"/>
            </w:tcBorders>
            <w:shd w:val="clear" w:color="auto" w:fill="auto"/>
            <w:noWrap/>
            <w:vAlign w:val="bottom"/>
            <w:hideMark/>
          </w:tcPr>
          <w:p w:rsidR="00363089" w:rsidRPr="00363089" w:rsidRDefault="00363089" w:rsidP="00363089">
            <w:pPr>
              <w:jc w:val="right"/>
              <w:rPr>
                <w:color w:val="000000"/>
              </w:rPr>
            </w:pPr>
            <w:r>
              <w:rPr>
                <w:color w:val="000000"/>
              </w:rPr>
              <w:t>Šedá zóna</w:t>
            </w:r>
          </w:p>
        </w:tc>
        <w:tc>
          <w:tcPr>
            <w:tcW w:w="1727" w:type="dxa"/>
            <w:tcBorders>
              <w:top w:val="single" w:sz="4" w:space="0" w:color="auto"/>
              <w:left w:val="nil"/>
              <w:bottom w:val="single" w:sz="4" w:space="0" w:color="auto"/>
              <w:right w:val="single" w:sz="4" w:space="0" w:color="auto"/>
            </w:tcBorders>
            <w:shd w:val="clear" w:color="auto" w:fill="auto"/>
            <w:noWrap/>
            <w:vAlign w:val="bottom"/>
            <w:hideMark/>
          </w:tcPr>
          <w:p w:rsidR="00363089" w:rsidRPr="00363089" w:rsidRDefault="00363089" w:rsidP="00363089">
            <w:pPr>
              <w:jc w:val="right"/>
              <w:rPr>
                <w:color w:val="000000"/>
              </w:rPr>
            </w:pPr>
            <w:r>
              <w:rPr>
                <w:color w:val="000000"/>
              </w:rPr>
              <w:t>Krizová zóna</w:t>
            </w:r>
          </w:p>
        </w:tc>
      </w:tr>
      <w:tr w:rsidR="00363089" w:rsidRPr="00363089" w:rsidTr="006F0851">
        <w:trPr>
          <w:trHeight w:val="300"/>
          <w:jc w:val="center"/>
        </w:trPr>
        <w:tc>
          <w:tcPr>
            <w:tcW w:w="2647" w:type="dxa"/>
            <w:tcBorders>
              <w:top w:val="single" w:sz="4" w:space="0" w:color="auto"/>
              <w:left w:val="single" w:sz="4" w:space="0" w:color="auto"/>
              <w:bottom w:val="nil"/>
              <w:right w:val="nil"/>
            </w:tcBorders>
            <w:shd w:val="clear" w:color="auto" w:fill="auto"/>
            <w:noWrap/>
            <w:vAlign w:val="center"/>
            <w:hideMark/>
          </w:tcPr>
          <w:p w:rsidR="00363089" w:rsidRPr="00363089" w:rsidRDefault="00363089" w:rsidP="00363089">
            <w:pPr>
              <w:rPr>
                <w:color w:val="000000"/>
              </w:rPr>
            </w:pPr>
            <w:r w:rsidRPr="00363089">
              <w:rPr>
                <w:color w:val="000000"/>
              </w:rPr>
              <w:t>LM</w:t>
            </w:r>
            <w:r>
              <w:rPr>
                <w:color w:val="000000"/>
              </w:rPr>
              <w:t xml:space="preserve"> </w:t>
            </w:r>
            <w:r w:rsidR="008914EC">
              <w:rPr>
                <w:color w:val="000000"/>
              </w:rPr>
              <w:t>–</w:t>
            </w:r>
            <w:r>
              <w:rPr>
                <w:color w:val="000000"/>
              </w:rPr>
              <w:t xml:space="preserve"> </w:t>
            </w:r>
            <w:r w:rsidRPr="00363089">
              <w:rPr>
                <w:color w:val="000000"/>
              </w:rPr>
              <w:t>Po</w:t>
            </w:r>
            <w:r>
              <w:rPr>
                <w:color w:val="000000"/>
              </w:rPr>
              <w:t>zitivní</w:t>
            </w:r>
          </w:p>
        </w:tc>
        <w:tc>
          <w:tcPr>
            <w:tcW w:w="1706" w:type="dxa"/>
            <w:tcBorders>
              <w:top w:val="single" w:sz="4" w:space="0" w:color="auto"/>
              <w:left w:val="nil"/>
              <w:bottom w:val="nil"/>
              <w:right w:val="nil"/>
            </w:tcBorders>
            <w:shd w:val="clear" w:color="auto" w:fill="auto"/>
            <w:noWrap/>
            <w:vAlign w:val="center"/>
            <w:hideMark/>
          </w:tcPr>
          <w:p w:rsidR="00363089" w:rsidRPr="00363089" w:rsidRDefault="00363089" w:rsidP="00363089">
            <w:pPr>
              <w:jc w:val="right"/>
            </w:pPr>
            <w:r w:rsidRPr="00363089">
              <w:t>0.0137</w:t>
            </w:r>
          </w:p>
        </w:tc>
        <w:tc>
          <w:tcPr>
            <w:tcW w:w="1826" w:type="dxa"/>
            <w:tcBorders>
              <w:top w:val="single" w:sz="4" w:space="0" w:color="auto"/>
              <w:left w:val="nil"/>
              <w:bottom w:val="nil"/>
              <w:right w:val="nil"/>
            </w:tcBorders>
            <w:shd w:val="clear" w:color="auto" w:fill="auto"/>
            <w:noWrap/>
            <w:vAlign w:val="center"/>
            <w:hideMark/>
          </w:tcPr>
          <w:p w:rsidR="00363089" w:rsidRPr="00363089" w:rsidRDefault="00363089" w:rsidP="00363089">
            <w:pPr>
              <w:jc w:val="right"/>
            </w:pPr>
            <w:r w:rsidRPr="00363089">
              <w:t>0.0138</w:t>
            </w:r>
          </w:p>
        </w:tc>
        <w:tc>
          <w:tcPr>
            <w:tcW w:w="1727" w:type="dxa"/>
            <w:tcBorders>
              <w:top w:val="single" w:sz="4" w:space="0" w:color="auto"/>
              <w:left w:val="nil"/>
              <w:bottom w:val="nil"/>
              <w:right w:val="single" w:sz="4" w:space="0" w:color="auto"/>
            </w:tcBorders>
            <w:shd w:val="clear" w:color="auto" w:fill="auto"/>
            <w:noWrap/>
            <w:vAlign w:val="center"/>
            <w:hideMark/>
          </w:tcPr>
          <w:p w:rsidR="00363089" w:rsidRPr="00363089" w:rsidRDefault="00363089" w:rsidP="00363089">
            <w:pPr>
              <w:jc w:val="right"/>
            </w:pPr>
            <w:r w:rsidRPr="00363089">
              <w:t>0.0123</w:t>
            </w:r>
          </w:p>
        </w:tc>
      </w:tr>
      <w:tr w:rsidR="00363089" w:rsidRPr="00363089" w:rsidTr="006F0851">
        <w:trPr>
          <w:trHeight w:val="300"/>
          <w:jc w:val="center"/>
        </w:trPr>
        <w:tc>
          <w:tcPr>
            <w:tcW w:w="2647" w:type="dxa"/>
            <w:tcBorders>
              <w:top w:val="nil"/>
              <w:left w:val="single" w:sz="4" w:space="0" w:color="auto"/>
              <w:bottom w:val="nil"/>
              <w:right w:val="nil"/>
            </w:tcBorders>
            <w:shd w:val="clear" w:color="auto" w:fill="auto"/>
            <w:noWrap/>
            <w:vAlign w:val="center"/>
            <w:hideMark/>
          </w:tcPr>
          <w:p w:rsidR="00363089" w:rsidRPr="00363089" w:rsidRDefault="00363089" w:rsidP="00363089">
            <w:pPr>
              <w:rPr>
                <w:color w:val="000000"/>
              </w:rPr>
            </w:pPr>
            <w:r w:rsidRPr="00363089">
              <w:rPr>
                <w:color w:val="000000"/>
              </w:rPr>
              <w:t>LM</w:t>
            </w:r>
            <w:r>
              <w:rPr>
                <w:color w:val="000000"/>
              </w:rPr>
              <w:t xml:space="preserve"> </w:t>
            </w:r>
            <w:r w:rsidR="008914EC">
              <w:rPr>
                <w:color w:val="000000"/>
              </w:rPr>
              <w:t>–</w:t>
            </w:r>
            <w:r>
              <w:rPr>
                <w:color w:val="000000"/>
              </w:rPr>
              <w:t xml:space="preserve"> </w:t>
            </w:r>
            <w:r w:rsidRPr="00363089">
              <w:rPr>
                <w:color w:val="000000"/>
              </w:rPr>
              <w:t>Negativ</w:t>
            </w:r>
            <w:r>
              <w:rPr>
                <w:color w:val="000000"/>
              </w:rPr>
              <w:t>ní</w:t>
            </w:r>
          </w:p>
        </w:tc>
        <w:tc>
          <w:tcPr>
            <w:tcW w:w="1706" w:type="dxa"/>
            <w:tcBorders>
              <w:top w:val="nil"/>
              <w:left w:val="nil"/>
              <w:bottom w:val="nil"/>
              <w:right w:val="nil"/>
            </w:tcBorders>
            <w:shd w:val="clear" w:color="auto" w:fill="auto"/>
            <w:noWrap/>
            <w:vAlign w:val="center"/>
            <w:hideMark/>
          </w:tcPr>
          <w:p w:rsidR="00363089" w:rsidRPr="00363089" w:rsidRDefault="00363089" w:rsidP="00363089">
            <w:pPr>
              <w:jc w:val="right"/>
            </w:pPr>
            <w:r w:rsidRPr="00363089">
              <w:t>0.0274</w:t>
            </w:r>
          </w:p>
        </w:tc>
        <w:tc>
          <w:tcPr>
            <w:tcW w:w="1826" w:type="dxa"/>
            <w:tcBorders>
              <w:top w:val="nil"/>
              <w:left w:val="nil"/>
              <w:bottom w:val="nil"/>
              <w:right w:val="nil"/>
            </w:tcBorders>
            <w:shd w:val="clear" w:color="auto" w:fill="auto"/>
            <w:noWrap/>
            <w:vAlign w:val="center"/>
            <w:hideMark/>
          </w:tcPr>
          <w:p w:rsidR="00363089" w:rsidRPr="00363089" w:rsidRDefault="00363089" w:rsidP="00363089">
            <w:pPr>
              <w:jc w:val="right"/>
            </w:pPr>
            <w:r w:rsidRPr="00363089">
              <w:t>0.0270</w:t>
            </w:r>
          </w:p>
        </w:tc>
        <w:tc>
          <w:tcPr>
            <w:tcW w:w="1727" w:type="dxa"/>
            <w:tcBorders>
              <w:top w:val="nil"/>
              <w:left w:val="nil"/>
              <w:bottom w:val="nil"/>
              <w:right w:val="single" w:sz="4" w:space="0" w:color="auto"/>
            </w:tcBorders>
            <w:shd w:val="clear" w:color="auto" w:fill="auto"/>
            <w:noWrap/>
            <w:vAlign w:val="center"/>
            <w:hideMark/>
          </w:tcPr>
          <w:p w:rsidR="00363089" w:rsidRPr="00363089" w:rsidRDefault="00363089" w:rsidP="00363089">
            <w:pPr>
              <w:jc w:val="right"/>
            </w:pPr>
            <w:r w:rsidRPr="00363089">
              <w:t>0.0269</w:t>
            </w:r>
          </w:p>
        </w:tc>
      </w:tr>
      <w:tr w:rsidR="00363089" w:rsidRPr="00363089" w:rsidTr="006F0851">
        <w:trPr>
          <w:trHeight w:val="300"/>
          <w:jc w:val="center"/>
        </w:trPr>
        <w:tc>
          <w:tcPr>
            <w:tcW w:w="2647" w:type="dxa"/>
            <w:tcBorders>
              <w:top w:val="nil"/>
              <w:left w:val="single" w:sz="4" w:space="0" w:color="auto"/>
              <w:bottom w:val="nil"/>
              <w:right w:val="nil"/>
            </w:tcBorders>
            <w:shd w:val="clear" w:color="auto" w:fill="auto"/>
            <w:noWrap/>
            <w:vAlign w:val="center"/>
            <w:hideMark/>
          </w:tcPr>
          <w:p w:rsidR="00363089" w:rsidRPr="00363089" w:rsidRDefault="00363089" w:rsidP="00363089">
            <w:pPr>
              <w:rPr>
                <w:color w:val="000000"/>
              </w:rPr>
            </w:pPr>
            <w:r w:rsidRPr="00363089">
              <w:rPr>
                <w:color w:val="000000"/>
              </w:rPr>
              <w:t>LM</w:t>
            </w:r>
            <w:r>
              <w:rPr>
                <w:color w:val="000000"/>
              </w:rPr>
              <w:t xml:space="preserve"> </w:t>
            </w:r>
            <w:r w:rsidR="008914EC">
              <w:rPr>
                <w:color w:val="000000"/>
              </w:rPr>
              <w:t>–</w:t>
            </w:r>
            <w:r>
              <w:rPr>
                <w:color w:val="000000"/>
              </w:rPr>
              <w:t xml:space="preserve"> Neurčitost</w:t>
            </w:r>
          </w:p>
        </w:tc>
        <w:tc>
          <w:tcPr>
            <w:tcW w:w="1706" w:type="dxa"/>
            <w:tcBorders>
              <w:top w:val="nil"/>
              <w:left w:val="nil"/>
              <w:bottom w:val="nil"/>
              <w:right w:val="nil"/>
            </w:tcBorders>
            <w:shd w:val="clear" w:color="auto" w:fill="auto"/>
            <w:noWrap/>
            <w:vAlign w:val="center"/>
            <w:hideMark/>
          </w:tcPr>
          <w:p w:rsidR="00363089" w:rsidRPr="00363089" w:rsidRDefault="00363089" w:rsidP="00363089">
            <w:pPr>
              <w:jc w:val="right"/>
            </w:pPr>
            <w:r w:rsidRPr="00363089">
              <w:t>0.0137</w:t>
            </w:r>
          </w:p>
        </w:tc>
        <w:tc>
          <w:tcPr>
            <w:tcW w:w="1826" w:type="dxa"/>
            <w:tcBorders>
              <w:top w:val="nil"/>
              <w:left w:val="nil"/>
              <w:bottom w:val="nil"/>
              <w:right w:val="nil"/>
            </w:tcBorders>
            <w:shd w:val="clear" w:color="auto" w:fill="auto"/>
            <w:noWrap/>
            <w:vAlign w:val="center"/>
            <w:hideMark/>
          </w:tcPr>
          <w:p w:rsidR="00363089" w:rsidRPr="00363089" w:rsidRDefault="00363089" w:rsidP="00363089">
            <w:pPr>
              <w:jc w:val="right"/>
            </w:pPr>
            <w:r w:rsidRPr="00363089">
              <w:t>0.0137</w:t>
            </w:r>
          </w:p>
        </w:tc>
        <w:tc>
          <w:tcPr>
            <w:tcW w:w="1727" w:type="dxa"/>
            <w:tcBorders>
              <w:top w:val="nil"/>
              <w:left w:val="nil"/>
              <w:bottom w:val="nil"/>
              <w:right w:val="single" w:sz="4" w:space="0" w:color="auto"/>
            </w:tcBorders>
            <w:shd w:val="clear" w:color="auto" w:fill="auto"/>
            <w:noWrap/>
            <w:vAlign w:val="center"/>
            <w:hideMark/>
          </w:tcPr>
          <w:p w:rsidR="00363089" w:rsidRPr="00363089" w:rsidRDefault="00363089" w:rsidP="00363089">
            <w:pPr>
              <w:jc w:val="right"/>
            </w:pPr>
            <w:r w:rsidRPr="00363089">
              <w:t>0.0134</w:t>
            </w:r>
          </w:p>
        </w:tc>
      </w:tr>
      <w:tr w:rsidR="00363089" w:rsidRPr="00363089" w:rsidTr="006F0851">
        <w:trPr>
          <w:trHeight w:val="300"/>
          <w:jc w:val="center"/>
        </w:trPr>
        <w:tc>
          <w:tcPr>
            <w:tcW w:w="2647" w:type="dxa"/>
            <w:tcBorders>
              <w:top w:val="nil"/>
              <w:left w:val="single" w:sz="4" w:space="0" w:color="auto"/>
              <w:bottom w:val="nil"/>
              <w:right w:val="nil"/>
            </w:tcBorders>
            <w:shd w:val="clear" w:color="auto" w:fill="auto"/>
            <w:noWrap/>
            <w:vAlign w:val="center"/>
            <w:hideMark/>
          </w:tcPr>
          <w:p w:rsidR="00363089" w:rsidRPr="00363089" w:rsidRDefault="00363089" w:rsidP="00363089">
            <w:pPr>
              <w:rPr>
                <w:color w:val="000000"/>
              </w:rPr>
            </w:pPr>
            <w:r w:rsidRPr="00363089">
              <w:rPr>
                <w:color w:val="000000"/>
              </w:rPr>
              <w:t>LM</w:t>
            </w:r>
            <w:r>
              <w:rPr>
                <w:color w:val="000000"/>
              </w:rPr>
              <w:t xml:space="preserve"> </w:t>
            </w:r>
            <w:r w:rsidR="008914EC">
              <w:rPr>
                <w:color w:val="000000"/>
              </w:rPr>
              <w:t>–</w:t>
            </w:r>
            <w:r>
              <w:rPr>
                <w:color w:val="000000"/>
              </w:rPr>
              <w:t xml:space="preserve"> Právní</w:t>
            </w:r>
          </w:p>
        </w:tc>
        <w:tc>
          <w:tcPr>
            <w:tcW w:w="1706" w:type="dxa"/>
            <w:tcBorders>
              <w:top w:val="nil"/>
              <w:left w:val="nil"/>
              <w:bottom w:val="nil"/>
              <w:right w:val="nil"/>
            </w:tcBorders>
            <w:shd w:val="clear" w:color="auto" w:fill="auto"/>
            <w:noWrap/>
            <w:vAlign w:val="center"/>
            <w:hideMark/>
          </w:tcPr>
          <w:p w:rsidR="00363089" w:rsidRPr="00363089" w:rsidRDefault="00363089" w:rsidP="00363089">
            <w:pPr>
              <w:jc w:val="right"/>
            </w:pPr>
            <w:r w:rsidRPr="00363089">
              <w:t>0.0108</w:t>
            </w:r>
          </w:p>
        </w:tc>
        <w:tc>
          <w:tcPr>
            <w:tcW w:w="1826" w:type="dxa"/>
            <w:tcBorders>
              <w:top w:val="nil"/>
              <w:left w:val="nil"/>
              <w:bottom w:val="nil"/>
              <w:right w:val="nil"/>
            </w:tcBorders>
            <w:shd w:val="clear" w:color="auto" w:fill="auto"/>
            <w:noWrap/>
            <w:vAlign w:val="center"/>
            <w:hideMark/>
          </w:tcPr>
          <w:p w:rsidR="00363089" w:rsidRPr="00363089" w:rsidRDefault="00363089" w:rsidP="00363089">
            <w:pPr>
              <w:jc w:val="right"/>
            </w:pPr>
            <w:r w:rsidRPr="00363089">
              <w:t>0.0101</w:t>
            </w:r>
          </w:p>
        </w:tc>
        <w:tc>
          <w:tcPr>
            <w:tcW w:w="1727" w:type="dxa"/>
            <w:tcBorders>
              <w:top w:val="nil"/>
              <w:left w:val="nil"/>
              <w:bottom w:val="nil"/>
              <w:right w:val="single" w:sz="4" w:space="0" w:color="auto"/>
            </w:tcBorders>
            <w:shd w:val="clear" w:color="auto" w:fill="auto"/>
            <w:noWrap/>
            <w:vAlign w:val="center"/>
            <w:hideMark/>
          </w:tcPr>
          <w:p w:rsidR="00363089" w:rsidRPr="00363089" w:rsidRDefault="00363089" w:rsidP="00363089">
            <w:pPr>
              <w:jc w:val="right"/>
            </w:pPr>
            <w:r w:rsidRPr="00363089">
              <w:t>0.0115</w:t>
            </w:r>
          </w:p>
        </w:tc>
      </w:tr>
      <w:tr w:rsidR="00363089" w:rsidRPr="00363089" w:rsidTr="006F0851">
        <w:trPr>
          <w:trHeight w:val="300"/>
          <w:jc w:val="center"/>
        </w:trPr>
        <w:tc>
          <w:tcPr>
            <w:tcW w:w="2647" w:type="dxa"/>
            <w:tcBorders>
              <w:top w:val="nil"/>
              <w:left w:val="single" w:sz="4" w:space="0" w:color="auto"/>
              <w:bottom w:val="nil"/>
              <w:right w:val="nil"/>
            </w:tcBorders>
            <w:shd w:val="clear" w:color="auto" w:fill="auto"/>
            <w:noWrap/>
            <w:vAlign w:val="center"/>
            <w:hideMark/>
          </w:tcPr>
          <w:p w:rsidR="00363089" w:rsidRPr="00363089" w:rsidRDefault="00363089" w:rsidP="00363089">
            <w:pPr>
              <w:rPr>
                <w:color w:val="000000"/>
              </w:rPr>
            </w:pPr>
            <w:r w:rsidRPr="00363089">
              <w:rPr>
                <w:color w:val="000000"/>
              </w:rPr>
              <w:t>LM</w:t>
            </w:r>
            <w:r>
              <w:rPr>
                <w:color w:val="000000"/>
              </w:rPr>
              <w:t xml:space="preserve"> </w:t>
            </w:r>
            <w:r w:rsidR="008914EC">
              <w:rPr>
                <w:color w:val="000000"/>
              </w:rPr>
              <w:t>–</w:t>
            </w:r>
            <w:r>
              <w:rPr>
                <w:color w:val="000000"/>
              </w:rPr>
              <w:t xml:space="preserve"> </w:t>
            </w:r>
            <w:r w:rsidRPr="00363089">
              <w:rPr>
                <w:color w:val="000000"/>
              </w:rPr>
              <w:t>Mod</w:t>
            </w:r>
            <w:r>
              <w:rPr>
                <w:color w:val="000000"/>
              </w:rPr>
              <w:t>ální</w:t>
            </w:r>
          </w:p>
        </w:tc>
        <w:tc>
          <w:tcPr>
            <w:tcW w:w="1706" w:type="dxa"/>
            <w:tcBorders>
              <w:top w:val="nil"/>
              <w:left w:val="nil"/>
              <w:bottom w:val="nil"/>
              <w:right w:val="nil"/>
            </w:tcBorders>
            <w:shd w:val="clear" w:color="auto" w:fill="auto"/>
            <w:noWrap/>
            <w:vAlign w:val="center"/>
            <w:hideMark/>
          </w:tcPr>
          <w:p w:rsidR="00363089" w:rsidRPr="00363089" w:rsidRDefault="00363089" w:rsidP="00363089">
            <w:pPr>
              <w:jc w:val="right"/>
            </w:pPr>
            <w:r w:rsidRPr="00363089">
              <w:t>0.0005</w:t>
            </w:r>
          </w:p>
        </w:tc>
        <w:tc>
          <w:tcPr>
            <w:tcW w:w="1826" w:type="dxa"/>
            <w:tcBorders>
              <w:top w:val="nil"/>
              <w:left w:val="nil"/>
              <w:bottom w:val="nil"/>
              <w:right w:val="nil"/>
            </w:tcBorders>
            <w:shd w:val="clear" w:color="auto" w:fill="auto"/>
            <w:noWrap/>
            <w:vAlign w:val="center"/>
            <w:hideMark/>
          </w:tcPr>
          <w:p w:rsidR="00363089" w:rsidRPr="00363089" w:rsidRDefault="00363089" w:rsidP="00363089">
            <w:pPr>
              <w:jc w:val="right"/>
            </w:pPr>
            <w:r w:rsidRPr="00363089">
              <w:t>0.0005</w:t>
            </w:r>
          </w:p>
        </w:tc>
        <w:tc>
          <w:tcPr>
            <w:tcW w:w="1727" w:type="dxa"/>
            <w:tcBorders>
              <w:top w:val="nil"/>
              <w:left w:val="nil"/>
              <w:bottom w:val="nil"/>
              <w:right w:val="single" w:sz="4" w:space="0" w:color="auto"/>
            </w:tcBorders>
            <w:shd w:val="clear" w:color="auto" w:fill="auto"/>
            <w:noWrap/>
            <w:vAlign w:val="center"/>
            <w:hideMark/>
          </w:tcPr>
          <w:p w:rsidR="00363089" w:rsidRPr="00363089" w:rsidRDefault="00363089" w:rsidP="00363089">
            <w:pPr>
              <w:jc w:val="right"/>
            </w:pPr>
            <w:r w:rsidRPr="00363089">
              <w:t>0.0006</w:t>
            </w:r>
          </w:p>
        </w:tc>
      </w:tr>
      <w:tr w:rsidR="00363089" w:rsidRPr="00363089" w:rsidTr="006F0851">
        <w:trPr>
          <w:trHeight w:val="300"/>
          <w:jc w:val="center"/>
        </w:trPr>
        <w:tc>
          <w:tcPr>
            <w:tcW w:w="2647" w:type="dxa"/>
            <w:tcBorders>
              <w:top w:val="nil"/>
              <w:left w:val="single" w:sz="4" w:space="0" w:color="auto"/>
              <w:bottom w:val="single" w:sz="4" w:space="0" w:color="auto"/>
              <w:right w:val="nil"/>
            </w:tcBorders>
            <w:shd w:val="clear" w:color="auto" w:fill="auto"/>
            <w:noWrap/>
            <w:vAlign w:val="center"/>
            <w:hideMark/>
          </w:tcPr>
          <w:p w:rsidR="00363089" w:rsidRPr="00363089" w:rsidRDefault="00363089" w:rsidP="00363089">
            <w:pPr>
              <w:rPr>
                <w:color w:val="000000"/>
              </w:rPr>
            </w:pPr>
            <w:r w:rsidRPr="00363089">
              <w:rPr>
                <w:color w:val="000000"/>
              </w:rPr>
              <w:t>LM</w:t>
            </w:r>
            <w:r>
              <w:rPr>
                <w:color w:val="000000"/>
              </w:rPr>
              <w:t xml:space="preserve"> </w:t>
            </w:r>
            <w:r w:rsidR="008914EC">
              <w:rPr>
                <w:color w:val="000000"/>
              </w:rPr>
              <w:t>–</w:t>
            </w:r>
            <w:r>
              <w:rPr>
                <w:color w:val="000000"/>
              </w:rPr>
              <w:t xml:space="preserve"> Čistě pozitivní</w:t>
            </w:r>
          </w:p>
        </w:tc>
        <w:tc>
          <w:tcPr>
            <w:tcW w:w="1706" w:type="dxa"/>
            <w:tcBorders>
              <w:top w:val="nil"/>
              <w:left w:val="nil"/>
              <w:bottom w:val="single" w:sz="4" w:space="0" w:color="auto"/>
              <w:right w:val="nil"/>
            </w:tcBorders>
            <w:shd w:val="clear" w:color="auto" w:fill="auto"/>
            <w:noWrap/>
            <w:vAlign w:val="center"/>
            <w:hideMark/>
          </w:tcPr>
          <w:p w:rsidR="00363089" w:rsidRPr="00363089" w:rsidRDefault="00363089" w:rsidP="00363089">
            <w:pPr>
              <w:jc w:val="right"/>
            </w:pPr>
            <w:r w:rsidRPr="00363089">
              <w:t>-0.3250</w:t>
            </w:r>
          </w:p>
        </w:tc>
        <w:tc>
          <w:tcPr>
            <w:tcW w:w="1826" w:type="dxa"/>
            <w:tcBorders>
              <w:top w:val="nil"/>
              <w:left w:val="nil"/>
              <w:bottom w:val="single" w:sz="4" w:space="0" w:color="auto"/>
              <w:right w:val="nil"/>
            </w:tcBorders>
            <w:shd w:val="clear" w:color="auto" w:fill="auto"/>
            <w:noWrap/>
            <w:vAlign w:val="center"/>
            <w:hideMark/>
          </w:tcPr>
          <w:p w:rsidR="00363089" w:rsidRPr="00363089" w:rsidRDefault="00363089" w:rsidP="00363089">
            <w:pPr>
              <w:jc w:val="right"/>
            </w:pPr>
            <w:r w:rsidRPr="00363089">
              <w:t>-0.3197</w:t>
            </w:r>
          </w:p>
        </w:tc>
        <w:tc>
          <w:tcPr>
            <w:tcW w:w="1727" w:type="dxa"/>
            <w:tcBorders>
              <w:top w:val="nil"/>
              <w:left w:val="nil"/>
              <w:bottom w:val="single" w:sz="4" w:space="0" w:color="auto"/>
              <w:right w:val="single" w:sz="4" w:space="0" w:color="auto"/>
            </w:tcBorders>
            <w:shd w:val="clear" w:color="auto" w:fill="auto"/>
            <w:noWrap/>
            <w:vAlign w:val="center"/>
            <w:hideMark/>
          </w:tcPr>
          <w:p w:rsidR="00363089" w:rsidRPr="00363089" w:rsidRDefault="00363089" w:rsidP="00363089">
            <w:pPr>
              <w:jc w:val="right"/>
            </w:pPr>
            <w:r w:rsidRPr="00363089">
              <w:t>-0.3693</w:t>
            </w:r>
          </w:p>
        </w:tc>
      </w:tr>
      <w:tr w:rsidR="00363089" w:rsidRPr="00363089" w:rsidTr="006F0851">
        <w:trPr>
          <w:trHeight w:val="300"/>
          <w:jc w:val="center"/>
        </w:trPr>
        <w:tc>
          <w:tcPr>
            <w:tcW w:w="2647" w:type="dxa"/>
            <w:tcBorders>
              <w:top w:val="single" w:sz="4" w:space="0" w:color="auto"/>
              <w:left w:val="single" w:sz="4" w:space="0" w:color="auto"/>
              <w:bottom w:val="nil"/>
              <w:right w:val="nil"/>
            </w:tcBorders>
            <w:shd w:val="clear" w:color="auto" w:fill="auto"/>
            <w:noWrap/>
            <w:vAlign w:val="center"/>
            <w:hideMark/>
          </w:tcPr>
          <w:p w:rsidR="00363089" w:rsidRPr="00363089" w:rsidRDefault="00363089" w:rsidP="00363089">
            <w:pPr>
              <w:rPr>
                <w:color w:val="000000"/>
              </w:rPr>
            </w:pPr>
            <w:r w:rsidRPr="00363089">
              <w:rPr>
                <w:color w:val="000000"/>
              </w:rPr>
              <w:t>DICTION</w:t>
            </w:r>
            <w:r>
              <w:rPr>
                <w:color w:val="000000"/>
              </w:rPr>
              <w:t xml:space="preserve"> – Určitost</w:t>
            </w:r>
          </w:p>
        </w:tc>
        <w:tc>
          <w:tcPr>
            <w:tcW w:w="1706" w:type="dxa"/>
            <w:tcBorders>
              <w:top w:val="single" w:sz="4" w:space="0" w:color="auto"/>
              <w:left w:val="nil"/>
              <w:bottom w:val="nil"/>
              <w:right w:val="nil"/>
            </w:tcBorders>
            <w:shd w:val="clear" w:color="auto" w:fill="auto"/>
            <w:noWrap/>
            <w:vAlign w:val="center"/>
            <w:hideMark/>
          </w:tcPr>
          <w:p w:rsidR="00363089" w:rsidRPr="00363089" w:rsidRDefault="00363089" w:rsidP="00363089">
            <w:pPr>
              <w:jc w:val="right"/>
            </w:pPr>
            <w:r w:rsidRPr="00363089">
              <w:t>0.0181</w:t>
            </w:r>
          </w:p>
        </w:tc>
        <w:tc>
          <w:tcPr>
            <w:tcW w:w="1826" w:type="dxa"/>
            <w:tcBorders>
              <w:top w:val="single" w:sz="4" w:space="0" w:color="auto"/>
              <w:left w:val="nil"/>
              <w:bottom w:val="nil"/>
              <w:right w:val="nil"/>
            </w:tcBorders>
            <w:shd w:val="clear" w:color="auto" w:fill="auto"/>
            <w:noWrap/>
            <w:vAlign w:val="center"/>
            <w:hideMark/>
          </w:tcPr>
          <w:p w:rsidR="00363089" w:rsidRPr="00363089" w:rsidRDefault="00363089" w:rsidP="00363089">
            <w:pPr>
              <w:jc w:val="right"/>
            </w:pPr>
            <w:r w:rsidRPr="00363089">
              <w:t>0.0171</w:t>
            </w:r>
          </w:p>
        </w:tc>
        <w:tc>
          <w:tcPr>
            <w:tcW w:w="1727" w:type="dxa"/>
            <w:tcBorders>
              <w:top w:val="single" w:sz="4" w:space="0" w:color="auto"/>
              <w:left w:val="nil"/>
              <w:bottom w:val="nil"/>
              <w:right w:val="single" w:sz="4" w:space="0" w:color="auto"/>
            </w:tcBorders>
            <w:shd w:val="clear" w:color="auto" w:fill="auto"/>
            <w:noWrap/>
            <w:vAlign w:val="center"/>
            <w:hideMark/>
          </w:tcPr>
          <w:p w:rsidR="00363089" w:rsidRPr="00363089" w:rsidRDefault="00363089" w:rsidP="00363089">
            <w:pPr>
              <w:jc w:val="right"/>
            </w:pPr>
            <w:r w:rsidRPr="00363089">
              <w:t>0.0181</w:t>
            </w:r>
          </w:p>
        </w:tc>
      </w:tr>
      <w:tr w:rsidR="00363089" w:rsidRPr="00363089" w:rsidTr="006F0851">
        <w:trPr>
          <w:trHeight w:val="300"/>
          <w:jc w:val="center"/>
        </w:trPr>
        <w:tc>
          <w:tcPr>
            <w:tcW w:w="2647" w:type="dxa"/>
            <w:tcBorders>
              <w:top w:val="nil"/>
              <w:left w:val="single" w:sz="4" w:space="0" w:color="auto"/>
              <w:bottom w:val="nil"/>
              <w:right w:val="nil"/>
            </w:tcBorders>
            <w:shd w:val="clear" w:color="auto" w:fill="auto"/>
            <w:noWrap/>
            <w:vAlign w:val="center"/>
            <w:hideMark/>
          </w:tcPr>
          <w:p w:rsidR="00363089" w:rsidRPr="00363089" w:rsidRDefault="00363089" w:rsidP="00363089">
            <w:pPr>
              <w:rPr>
                <w:color w:val="000000"/>
              </w:rPr>
            </w:pPr>
            <w:r w:rsidRPr="00363089">
              <w:rPr>
                <w:color w:val="000000"/>
              </w:rPr>
              <w:t>DICTION</w:t>
            </w:r>
            <w:r>
              <w:rPr>
                <w:color w:val="000000"/>
              </w:rPr>
              <w:t xml:space="preserve"> – </w:t>
            </w:r>
            <w:r w:rsidRPr="00363089">
              <w:rPr>
                <w:color w:val="000000"/>
              </w:rPr>
              <w:t>Optimism</w:t>
            </w:r>
            <w:r>
              <w:rPr>
                <w:color w:val="000000"/>
              </w:rPr>
              <w:t>us</w:t>
            </w:r>
          </w:p>
        </w:tc>
        <w:tc>
          <w:tcPr>
            <w:tcW w:w="1706" w:type="dxa"/>
            <w:tcBorders>
              <w:top w:val="nil"/>
              <w:left w:val="nil"/>
              <w:bottom w:val="nil"/>
              <w:right w:val="nil"/>
            </w:tcBorders>
            <w:shd w:val="clear" w:color="auto" w:fill="auto"/>
            <w:noWrap/>
            <w:vAlign w:val="center"/>
            <w:hideMark/>
          </w:tcPr>
          <w:p w:rsidR="00363089" w:rsidRPr="00363089" w:rsidRDefault="00363089" w:rsidP="00363089">
            <w:pPr>
              <w:jc w:val="right"/>
            </w:pPr>
            <w:r w:rsidRPr="00363089">
              <w:t>0.0208</w:t>
            </w:r>
          </w:p>
        </w:tc>
        <w:tc>
          <w:tcPr>
            <w:tcW w:w="1826" w:type="dxa"/>
            <w:tcBorders>
              <w:top w:val="nil"/>
              <w:left w:val="nil"/>
              <w:bottom w:val="nil"/>
              <w:right w:val="nil"/>
            </w:tcBorders>
            <w:shd w:val="clear" w:color="auto" w:fill="auto"/>
            <w:noWrap/>
            <w:vAlign w:val="center"/>
            <w:hideMark/>
          </w:tcPr>
          <w:p w:rsidR="00363089" w:rsidRPr="00363089" w:rsidRDefault="00363089" w:rsidP="00363089">
            <w:pPr>
              <w:jc w:val="right"/>
            </w:pPr>
            <w:r w:rsidRPr="00363089">
              <w:t>0.0197</w:t>
            </w:r>
          </w:p>
        </w:tc>
        <w:tc>
          <w:tcPr>
            <w:tcW w:w="1727" w:type="dxa"/>
            <w:tcBorders>
              <w:top w:val="nil"/>
              <w:left w:val="nil"/>
              <w:bottom w:val="nil"/>
              <w:right w:val="single" w:sz="4" w:space="0" w:color="auto"/>
            </w:tcBorders>
            <w:shd w:val="clear" w:color="auto" w:fill="auto"/>
            <w:noWrap/>
            <w:vAlign w:val="center"/>
            <w:hideMark/>
          </w:tcPr>
          <w:p w:rsidR="00363089" w:rsidRPr="00363089" w:rsidRDefault="00363089" w:rsidP="00363089">
            <w:pPr>
              <w:jc w:val="right"/>
            </w:pPr>
            <w:r w:rsidRPr="00363089">
              <w:t>0.0196</w:t>
            </w:r>
          </w:p>
        </w:tc>
      </w:tr>
      <w:tr w:rsidR="00363089" w:rsidRPr="00363089" w:rsidTr="006F0851">
        <w:trPr>
          <w:trHeight w:val="300"/>
          <w:jc w:val="center"/>
        </w:trPr>
        <w:tc>
          <w:tcPr>
            <w:tcW w:w="2647" w:type="dxa"/>
            <w:tcBorders>
              <w:top w:val="nil"/>
              <w:left w:val="single" w:sz="4" w:space="0" w:color="auto"/>
              <w:bottom w:val="nil"/>
              <w:right w:val="nil"/>
            </w:tcBorders>
            <w:shd w:val="clear" w:color="auto" w:fill="auto"/>
            <w:noWrap/>
            <w:vAlign w:val="center"/>
            <w:hideMark/>
          </w:tcPr>
          <w:p w:rsidR="00363089" w:rsidRPr="00363089" w:rsidRDefault="00363089" w:rsidP="00363089">
            <w:pPr>
              <w:rPr>
                <w:color w:val="000000"/>
              </w:rPr>
            </w:pPr>
            <w:r w:rsidRPr="00363089">
              <w:rPr>
                <w:color w:val="000000"/>
              </w:rPr>
              <w:t>DICTION</w:t>
            </w:r>
            <w:r>
              <w:rPr>
                <w:color w:val="000000"/>
              </w:rPr>
              <w:t xml:space="preserve"> – </w:t>
            </w:r>
            <w:r w:rsidRPr="00363089">
              <w:rPr>
                <w:color w:val="000000"/>
              </w:rPr>
              <w:t>Realism</w:t>
            </w:r>
            <w:r>
              <w:rPr>
                <w:color w:val="000000"/>
              </w:rPr>
              <w:t xml:space="preserve">us </w:t>
            </w:r>
          </w:p>
        </w:tc>
        <w:tc>
          <w:tcPr>
            <w:tcW w:w="1706" w:type="dxa"/>
            <w:tcBorders>
              <w:top w:val="nil"/>
              <w:left w:val="nil"/>
              <w:bottom w:val="nil"/>
              <w:right w:val="nil"/>
            </w:tcBorders>
            <w:shd w:val="clear" w:color="auto" w:fill="auto"/>
            <w:noWrap/>
            <w:vAlign w:val="center"/>
            <w:hideMark/>
          </w:tcPr>
          <w:p w:rsidR="00363089" w:rsidRPr="00363089" w:rsidRDefault="00363089" w:rsidP="00363089">
            <w:pPr>
              <w:jc w:val="right"/>
            </w:pPr>
            <w:r w:rsidRPr="00363089">
              <w:t>0.2963</w:t>
            </w:r>
          </w:p>
        </w:tc>
        <w:tc>
          <w:tcPr>
            <w:tcW w:w="1826" w:type="dxa"/>
            <w:tcBorders>
              <w:top w:val="nil"/>
              <w:left w:val="nil"/>
              <w:bottom w:val="nil"/>
              <w:right w:val="nil"/>
            </w:tcBorders>
            <w:shd w:val="clear" w:color="auto" w:fill="auto"/>
            <w:noWrap/>
            <w:vAlign w:val="center"/>
            <w:hideMark/>
          </w:tcPr>
          <w:p w:rsidR="00363089" w:rsidRPr="00363089" w:rsidRDefault="00363089" w:rsidP="00363089">
            <w:pPr>
              <w:jc w:val="right"/>
            </w:pPr>
            <w:r w:rsidRPr="00363089">
              <w:t>0.2965</w:t>
            </w:r>
          </w:p>
        </w:tc>
        <w:tc>
          <w:tcPr>
            <w:tcW w:w="1727" w:type="dxa"/>
            <w:tcBorders>
              <w:top w:val="nil"/>
              <w:left w:val="nil"/>
              <w:bottom w:val="nil"/>
              <w:right w:val="single" w:sz="4" w:space="0" w:color="auto"/>
            </w:tcBorders>
            <w:shd w:val="clear" w:color="auto" w:fill="auto"/>
            <w:noWrap/>
            <w:vAlign w:val="center"/>
            <w:hideMark/>
          </w:tcPr>
          <w:p w:rsidR="00363089" w:rsidRPr="00363089" w:rsidRDefault="00363089" w:rsidP="00363089">
            <w:pPr>
              <w:jc w:val="right"/>
            </w:pPr>
            <w:r w:rsidRPr="00363089">
              <w:t>0.3043</w:t>
            </w:r>
          </w:p>
        </w:tc>
      </w:tr>
      <w:tr w:rsidR="00363089" w:rsidRPr="00363089" w:rsidTr="006F0851">
        <w:trPr>
          <w:trHeight w:val="300"/>
          <w:jc w:val="center"/>
        </w:trPr>
        <w:tc>
          <w:tcPr>
            <w:tcW w:w="2647" w:type="dxa"/>
            <w:tcBorders>
              <w:top w:val="nil"/>
              <w:left w:val="single" w:sz="4" w:space="0" w:color="auto"/>
              <w:right w:val="nil"/>
            </w:tcBorders>
            <w:shd w:val="clear" w:color="auto" w:fill="auto"/>
            <w:noWrap/>
            <w:vAlign w:val="center"/>
            <w:hideMark/>
          </w:tcPr>
          <w:p w:rsidR="00363089" w:rsidRPr="00363089" w:rsidRDefault="00363089" w:rsidP="00363089">
            <w:pPr>
              <w:rPr>
                <w:color w:val="000000"/>
              </w:rPr>
            </w:pPr>
            <w:r w:rsidRPr="00363089">
              <w:rPr>
                <w:color w:val="000000"/>
              </w:rPr>
              <w:t>DICTION</w:t>
            </w:r>
            <w:r>
              <w:rPr>
                <w:color w:val="000000"/>
              </w:rPr>
              <w:t xml:space="preserve"> – Aktivita </w:t>
            </w:r>
          </w:p>
        </w:tc>
        <w:tc>
          <w:tcPr>
            <w:tcW w:w="1706" w:type="dxa"/>
            <w:tcBorders>
              <w:top w:val="nil"/>
              <w:left w:val="nil"/>
              <w:right w:val="nil"/>
            </w:tcBorders>
            <w:shd w:val="clear" w:color="auto" w:fill="auto"/>
            <w:noWrap/>
            <w:vAlign w:val="center"/>
            <w:hideMark/>
          </w:tcPr>
          <w:p w:rsidR="00363089" w:rsidRPr="00363089" w:rsidRDefault="00363089" w:rsidP="00363089">
            <w:pPr>
              <w:jc w:val="right"/>
            </w:pPr>
            <w:r w:rsidRPr="00363089">
              <w:t>0.0233</w:t>
            </w:r>
          </w:p>
        </w:tc>
        <w:tc>
          <w:tcPr>
            <w:tcW w:w="1826" w:type="dxa"/>
            <w:tcBorders>
              <w:top w:val="nil"/>
              <w:left w:val="nil"/>
              <w:right w:val="nil"/>
            </w:tcBorders>
            <w:shd w:val="clear" w:color="auto" w:fill="auto"/>
            <w:noWrap/>
            <w:vAlign w:val="center"/>
            <w:hideMark/>
          </w:tcPr>
          <w:p w:rsidR="00363089" w:rsidRPr="00363089" w:rsidRDefault="00363089" w:rsidP="00363089">
            <w:pPr>
              <w:jc w:val="right"/>
            </w:pPr>
            <w:r w:rsidRPr="00363089">
              <w:t>0.0245</w:t>
            </w:r>
          </w:p>
        </w:tc>
        <w:tc>
          <w:tcPr>
            <w:tcW w:w="1727" w:type="dxa"/>
            <w:tcBorders>
              <w:top w:val="nil"/>
              <w:left w:val="nil"/>
              <w:right w:val="single" w:sz="4" w:space="0" w:color="auto"/>
            </w:tcBorders>
            <w:shd w:val="clear" w:color="auto" w:fill="auto"/>
            <w:noWrap/>
            <w:vAlign w:val="center"/>
            <w:hideMark/>
          </w:tcPr>
          <w:p w:rsidR="00363089" w:rsidRPr="00363089" w:rsidRDefault="00363089" w:rsidP="00363089">
            <w:pPr>
              <w:jc w:val="right"/>
            </w:pPr>
            <w:r w:rsidRPr="00363089">
              <w:t>0.0228</w:t>
            </w:r>
          </w:p>
        </w:tc>
      </w:tr>
      <w:tr w:rsidR="00363089" w:rsidRPr="00363089" w:rsidTr="006F0851">
        <w:trPr>
          <w:trHeight w:val="300"/>
          <w:jc w:val="center"/>
        </w:trPr>
        <w:tc>
          <w:tcPr>
            <w:tcW w:w="2647" w:type="dxa"/>
            <w:tcBorders>
              <w:top w:val="nil"/>
              <w:left w:val="single" w:sz="4" w:space="0" w:color="auto"/>
              <w:bottom w:val="single" w:sz="4" w:space="0" w:color="auto"/>
              <w:right w:val="nil"/>
            </w:tcBorders>
            <w:shd w:val="clear" w:color="auto" w:fill="auto"/>
            <w:noWrap/>
            <w:vAlign w:val="center"/>
            <w:hideMark/>
          </w:tcPr>
          <w:p w:rsidR="00363089" w:rsidRPr="00363089" w:rsidRDefault="00363089" w:rsidP="008914EC">
            <w:pPr>
              <w:rPr>
                <w:color w:val="000000"/>
              </w:rPr>
            </w:pPr>
            <w:r w:rsidRPr="00363089">
              <w:rPr>
                <w:color w:val="000000"/>
              </w:rPr>
              <w:t>DICTION</w:t>
            </w:r>
            <w:r>
              <w:rPr>
                <w:color w:val="000000"/>
              </w:rPr>
              <w:t xml:space="preserve"> </w:t>
            </w:r>
            <w:r w:rsidR="008914EC">
              <w:rPr>
                <w:color w:val="000000"/>
              </w:rPr>
              <w:t>– Shodnost</w:t>
            </w:r>
          </w:p>
        </w:tc>
        <w:tc>
          <w:tcPr>
            <w:tcW w:w="1706" w:type="dxa"/>
            <w:tcBorders>
              <w:top w:val="nil"/>
              <w:left w:val="nil"/>
              <w:bottom w:val="single" w:sz="4" w:space="0" w:color="auto"/>
              <w:right w:val="nil"/>
            </w:tcBorders>
            <w:shd w:val="clear" w:color="auto" w:fill="auto"/>
            <w:noWrap/>
            <w:vAlign w:val="center"/>
            <w:hideMark/>
          </w:tcPr>
          <w:p w:rsidR="00363089" w:rsidRPr="00363089" w:rsidRDefault="00363089" w:rsidP="00363089">
            <w:pPr>
              <w:jc w:val="right"/>
            </w:pPr>
            <w:r w:rsidRPr="00363089">
              <w:t>0.0275</w:t>
            </w:r>
          </w:p>
        </w:tc>
        <w:tc>
          <w:tcPr>
            <w:tcW w:w="1826" w:type="dxa"/>
            <w:tcBorders>
              <w:top w:val="nil"/>
              <w:left w:val="nil"/>
              <w:bottom w:val="single" w:sz="4" w:space="0" w:color="auto"/>
              <w:right w:val="nil"/>
            </w:tcBorders>
            <w:shd w:val="clear" w:color="auto" w:fill="auto"/>
            <w:noWrap/>
            <w:vAlign w:val="center"/>
            <w:hideMark/>
          </w:tcPr>
          <w:p w:rsidR="00363089" w:rsidRPr="00363089" w:rsidRDefault="00363089" w:rsidP="00363089">
            <w:pPr>
              <w:jc w:val="right"/>
            </w:pPr>
            <w:r w:rsidRPr="00363089">
              <w:t>0.0274</w:t>
            </w:r>
          </w:p>
        </w:tc>
        <w:tc>
          <w:tcPr>
            <w:tcW w:w="1727" w:type="dxa"/>
            <w:tcBorders>
              <w:top w:val="nil"/>
              <w:left w:val="nil"/>
              <w:bottom w:val="single" w:sz="4" w:space="0" w:color="auto"/>
              <w:right w:val="single" w:sz="4" w:space="0" w:color="auto"/>
            </w:tcBorders>
            <w:shd w:val="clear" w:color="auto" w:fill="auto"/>
            <w:noWrap/>
            <w:vAlign w:val="center"/>
            <w:hideMark/>
          </w:tcPr>
          <w:p w:rsidR="00363089" w:rsidRPr="00363089" w:rsidRDefault="00363089" w:rsidP="00363089">
            <w:pPr>
              <w:jc w:val="right"/>
            </w:pPr>
            <w:r w:rsidRPr="00363089">
              <w:t>0.0278</w:t>
            </w:r>
          </w:p>
        </w:tc>
      </w:tr>
      <w:tr w:rsidR="00363089" w:rsidRPr="00363089" w:rsidTr="006F0851">
        <w:trPr>
          <w:trHeight w:val="300"/>
          <w:jc w:val="center"/>
        </w:trPr>
        <w:tc>
          <w:tcPr>
            <w:tcW w:w="2647" w:type="dxa"/>
            <w:tcBorders>
              <w:top w:val="single" w:sz="4" w:space="0" w:color="auto"/>
              <w:left w:val="single" w:sz="4" w:space="0" w:color="auto"/>
              <w:bottom w:val="nil"/>
              <w:right w:val="nil"/>
            </w:tcBorders>
            <w:shd w:val="clear" w:color="auto" w:fill="auto"/>
            <w:noWrap/>
            <w:vAlign w:val="center"/>
            <w:hideMark/>
          </w:tcPr>
          <w:p w:rsidR="00363089" w:rsidRPr="00363089" w:rsidRDefault="00363089" w:rsidP="008914EC">
            <w:pPr>
              <w:rPr>
                <w:color w:val="000000"/>
              </w:rPr>
            </w:pPr>
            <w:r w:rsidRPr="00363089">
              <w:rPr>
                <w:color w:val="000000"/>
              </w:rPr>
              <w:t>HENRY</w:t>
            </w:r>
            <w:r w:rsidR="008914EC">
              <w:rPr>
                <w:color w:val="000000"/>
              </w:rPr>
              <w:t xml:space="preserve"> – </w:t>
            </w:r>
            <w:r w:rsidRPr="00363089">
              <w:rPr>
                <w:color w:val="000000"/>
              </w:rPr>
              <w:t>Po</w:t>
            </w:r>
            <w:r w:rsidR="008914EC">
              <w:rPr>
                <w:color w:val="000000"/>
              </w:rPr>
              <w:t>zi</w:t>
            </w:r>
            <w:r w:rsidRPr="00363089">
              <w:rPr>
                <w:color w:val="000000"/>
              </w:rPr>
              <w:t>tiv</w:t>
            </w:r>
            <w:r w:rsidR="008914EC">
              <w:rPr>
                <w:color w:val="000000"/>
              </w:rPr>
              <w:t xml:space="preserve">ní </w:t>
            </w:r>
          </w:p>
        </w:tc>
        <w:tc>
          <w:tcPr>
            <w:tcW w:w="1706" w:type="dxa"/>
            <w:tcBorders>
              <w:top w:val="single" w:sz="4" w:space="0" w:color="auto"/>
              <w:left w:val="nil"/>
              <w:bottom w:val="nil"/>
              <w:right w:val="nil"/>
            </w:tcBorders>
            <w:shd w:val="clear" w:color="auto" w:fill="auto"/>
            <w:noWrap/>
            <w:vAlign w:val="center"/>
            <w:hideMark/>
          </w:tcPr>
          <w:p w:rsidR="00363089" w:rsidRPr="00363089" w:rsidRDefault="00363089" w:rsidP="00363089">
            <w:pPr>
              <w:jc w:val="right"/>
            </w:pPr>
            <w:r w:rsidRPr="00363089">
              <w:t>0.0106</w:t>
            </w:r>
          </w:p>
        </w:tc>
        <w:tc>
          <w:tcPr>
            <w:tcW w:w="1826" w:type="dxa"/>
            <w:tcBorders>
              <w:top w:val="single" w:sz="4" w:space="0" w:color="auto"/>
              <w:left w:val="nil"/>
              <w:bottom w:val="nil"/>
              <w:right w:val="nil"/>
            </w:tcBorders>
            <w:shd w:val="clear" w:color="auto" w:fill="auto"/>
            <w:noWrap/>
            <w:vAlign w:val="center"/>
            <w:hideMark/>
          </w:tcPr>
          <w:p w:rsidR="00363089" w:rsidRPr="00363089" w:rsidRDefault="00363089" w:rsidP="00363089">
            <w:pPr>
              <w:jc w:val="right"/>
            </w:pPr>
            <w:r w:rsidRPr="00363089">
              <w:t>0.0106</w:t>
            </w:r>
          </w:p>
        </w:tc>
        <w:tc>
          <w:tcPr>
            <w:tcW w:w="1727" w:type="dxa"/>
            <w:tcBorders>
              <w:top w:val="single" w:sz="4" w:space="0" w:color="auto"/>
              <w:left w:val="nil"/>
              <w:bottom w:val="nil"/>
              <w:right w:val="single" w:sz="4" w:space="0" w:color="auto"/>
            </w:tcBorders>
            <w:shd w:val="clear" w:color="auto" w:fill="auto"/>
            <w:noWrap/>
            <w:vAlign w:val="center"/>
            <w:hideMark/>
          </w:tcPr>
          <w:p w:rsidR="00363089" w:rsidRPr="00363089" w:rsidRDefault="00363089" w:rsidP="00363089">
            <w:pPr>
              <w:jc w:val="right"/>
            </w:pPr>
            <w:r w:rsidRPr="00363089">
              <w:t>0.0098</w:t>
            </w:r>
          </w:p>
        </w:tc>
      </w:tr>
      <w:tr w:rsidR="00363089" w:rsidRPr="00363089" w:rsidTr="006F0851">
        <w:trPr>
          <w:trHeight w:val="300"/>
          <w:jc w:val="center"/>
        </w:trPr>
        <w:tc>
          <w:tcPr>
            <w:tcW w:w="2647" w:type="dxa"/>
            <w:tcBorders>
              <w:top w:val="nil"/>
              <w:left w:val="single" w:sz="4" w:space="0" w:color="auto"/>
              <w:bottom w:val="nil"/>
              <w:right w:val="nil"/>
            </w:tcBorders>
            <w:shd w:val="clear" w:color="auto" w:fill="auto"/>
            <w:noWrap/>
            <w:vAlign w:val="center"/>
            <w:hideMark/>
          </w:tcPr>
          <w:p w:rsidR="00363089" w:rsidRPr="00363089" w:rsidRDefault="00363089" w:rsidP="008914EC">
            <w:pPr>
              <w:rPr>
                <w:color w:val="000000"/>
              </w:rPr>
            </w:pPr>
            <w:r w:rsidRPr="00363089">
              <w:rPr>
                <w:color w:val="000000"/>
              </w:rPr>
              <w:t>HENRY</w:t>
            </w:r>
            <w:r w:rsidR="008914EC">
              <w:rPr>
                <w:color w:val="000000"/>
              </w:rPr>
              <w:t xml:space="preserve"> – </w:t>
            </w:r>
            <w:r w:rsidRPr="00363089">
              <w:rPr>
                <w:color w:val="000000"/>
              </w:rPr>
              <w:t>Negativ</w:t>
            </w:r>
            <w:r w:rsidR="008914EC">
              <w:rPr>
                <w:color w:val="000000"/>
              </w:rPr>
              <w:t xml:space="preserve">ní </w:t>
            </w:r>
          </w:p>
        </w:tc>
        <w:tc>
          <w:tcPr>
            <w:tcW w:w="1706" w:type="dxa"/>
            <w:tcBorders>
              <w:top w:val="nil"/>
              <w:left w:val="nil"/>
              <w:bottom w:val="nil"/>
              <w:right w:val="nil"/>
            </w:tcBorders>
            <w:shd w:val="clear" w:color="auto" w:fill="auto"/>
            <w:noWrap/>
            <w:vAlign w:val="center"/>
            <w:hideMark/>
          </w:tcPr>
          <w:p w:rsidR="00363089" w:rsidRPr="00363089" w:rsidRDefault="00363089" w:rsidP="00363089">
            <w:pPr>
              <w:jc w:val="right"/>
            </w:pPr>
            <w:r w:rsidRPr="00363089">
              <w:t>0.0055</w:t>
            </w:r>
          </w:p>
        </w:tc>
        <w:tc>
          <w:tcPr>
            <w:tcW w:w="1826" w:type="dxa"/>
            <w:tcBorders>
              <w:top w:val="nil"/>
              <w:left w:val="nil"/>
              <w:bottom w:val="nil"/>
              <w:right w:val="nil"/>
            </w:tcBorders>
            <w:shd w:val="clear" w:color="auto" w:fill="auto"/>
            <w:noWrap/>
            <w:vAlign w:val="center"/>
            <w:hideMark/>
          </w:tcPr>
          <w:p w:rsidR="00363089" w:rsidRPr="00363089" w:rsidRDefault="00363089" w:rsidP="00363089">
            <w:pPr>
              <w:jc w:val="right"/>
            </w:pPr>
            <w:r w:rsidRPr="00363089">
              <w:t>0.0054</w:t>
            </w:r>
          </w:p>
        </w:tc>
        <w:tc>
          <w:tcPr>
            <w:tcW w:w="1727" w:type="dxa"/>
            <w:tcBorders>
              <w:top w:val="nil"/>
              <w:left w:val="nil"/>
              <w:bottom w:val="nil"/>
              <w:right w:val="single" w:sz="4" w:space="0" w:color="auto"/>
            </w:tcBorders>
            <w:shd w:val="clear" w:color="auto" w:fill="auto"/>
            <w:noWrap/>
            <w:vAlign w:val="center"/>
            <w:hideMark/>
          </w:tcPr>
          <w:p w:rsidR="00363089" w:rsidRPr="00363089" w:rsidRDefault="00363089" w:rsidP="00363089">
            <w:pPr>
              <w:jc w:val="right"/>
            </w:pPr>
            <w:r w:rsidRPr="00363089">
              <w:t>0.0056</w:t>
            </w:r>
          </w:p>
        </w:tc>
      </w:tr>
      <w:tr w:rsidR="00363089" w:rsidRPr="00363089" w:rsidTr="006F0851">
        <w:trPr>
          <w:trHeight w:val="300"/>
          <w:jc w:val="center"/>
        </w:trPr>
        <w:tc>
          <w:tcPr>
            <w:tcW w:w="2647" w:type="dxa"/>
            <w:tcBorders>
              <w:top w:val="nil"/>
              <w:left w:val="single" w:sz="4" w:space="0" w:color="auto"/>
              <w:bottom w:val="single" w:sz="4" w:space="0" w:color="auto"/>
              <w:right w:val="nil"/>
            </w:tcBorders>
            <w:shd w:val="clear" w:color="auto" w:fill="auto"/>
            <w:noWrap/>
            <w:vAlign w:val="center"/>
            <w:hideMark/>
          </w:tcPr>
          <w:p w:rsidR="00363089" w:rsidRPr="00363089" w:rsidRDefault="00363089" w:rsidP="00363089">
            <w:pPr>
              <w:rPr>
                <w:color w:val="000000"/>
              </w:rPr>
            </w:pPr>
            <w:r w:rsidRPr="00363089">
              <w:rPr>
                <w:color w:val="000000"/>
              </w:rPr>
              <w:t>HENRY</w:t>
            </w:r>
            <w:r w:rsidR="008914EC">
              <w:rPr>
                <w:color w:val="000000"/>
              </w:rPr>
              <w:t xml:space="preserve"> – Čistě pozitivní</w:t>
            </w:r>
          </w:p>
        </w:tc>
        <w:tc>
          <w:tcPr>
            <w:tcW w:w="1706" w:type="dxa"/>
            <w:tcBorders>
              <w:top w:val="nil"/>
              <w:left w:val="nil"/>
              <w:bottom w:val="single" w:sz="4" w:space="0" w:color="auto"/>
              <w:right w:val="nil"/>
            </w:tcBorders>
            <w:shd w:val="clear" w:color="auto" w:fill="auto"/>
            <w:noWrap/>
            <w:vAlign w:val="center"/>
            <w:hideMark/>
          </w:tcPr>
          <w:p w:rsidR="00363089" w:rsidRPr="00363089" w:rsidRDefault="00363089" w:rsidP="00363089">
            <w:pPr>
              <w:jc w:val="right"/>
            </w:pPr>
            <w:r w:rsidRPr="00363089">
              <w:t>0.3101</w:t>
            </w:r>
          </w:p>
        </w:tc>
        <w:tc>
          <w:tcPr>
            <w:tcW w:w="1826" w:type="dxa"/>
            <w:tcBorders>
              <w:top w:val="nil"/>
              <w:left w:val="nil"/>
              <w:bottom w:val="single" w:sz="4" w:space="0" w:color="auto"/>
              <w:right w:val="nil"/>
            </w:tcBorders>
            <w:shd w:val="clear" w:color="auto" w:fill="auto"/>
            <w:noWrap/>
            <w:vAlign w:val="center"/>
            <w:hideMark/>
          </w:tcPr>
          <w:p w:rsidR="00363089" w:rsidRPr="00363089" w:rsidRDefault="00363089" w:rsidP="00363089">
            <w:pPr>
              <w:jc w:val="right"/>
            </w:pPr>
            <w:r w:rsidRPr="00363089">
              <w:t>0.3233</w:t>
            </w:r>
          </w:p>
        </w:tc>
        <w:tc>
          <w:tcPr>
            <w:tcW w:w="1727" w:type="dxa"/>
            <w:tcBorders>
              <w:top w:val="nil"/>
              <w:left w:val="nil"/>
              <w:bottom w:val="single" w:sz="4" w:space="0" w:color="auto"/>
              <w:right w:val="single" w:sz="4" w:space="0" w:color="auto"/>
            </w:tcBorders>
            <w:shd w:val="clear" w:color="auto" w:fill="auto"/>
            <w:noWrap/>
            <w:vAlign w:val="center"/>
            <w:hideMark/>
          </w:tcPr>
          <w:p w:rsidR="00363089" w:rsidRPr="00363089" w:rsidRDefault="00363089" w:rsidP="00363089">
            <w:pPr>
              <w:jc w:val="right"/>
            </w:pPr>
            <w:r w:rsidRPr="00363089">
              <w:t>0.2691</w:t>
            </w:r>
          </w:p>
        </w:tc>
      </w:tr>
      <w:tr w:rsidR="00363089" w:rsidRPr="00363089" w:rsidTr="006F0851">
        <w:trPr>
          <w:trHeight w:val="300"/>
          <w:jc w:val="center"/>
        </w:trPr>
        <w:tc>
          <w:tcPr>
            <w:tcW w:w="2647" w:type="dxa"/>
            <w:tcBorders>
              <w:top w:val="single" w:sz="4" w:space="0" w:color="auto"/>
              <w:left w:val="single" w:sz="4" w:space="0" w:color="auto"/>
              <w:bottom w:val="nil"/>
              <w:right w:val="nil"/>
            </w:tcBorders>
            <w:shd w:val="clear" w:color="auto" w:fill="auto"/>
            <w:noWrap/>
            <w:vAlign w:val="center"/>
            <w:hideMark/>
          </w:tcPr>
          <w:p w:rsidR="00363089" w:rsidRPr="00363089" w:rsidRDefault="00363089" w:rsidP="00363089">
            <w:pPr>
              <w:rPr>
                <w:color w:val="000000"/>
              </w:rPr>
            </w:pPr>
            <w:r w:rsidRPr="00363089">
              <w:rPr>
                <w:color w:val="000000"/>
              </w:rPr>
              <w:t>INVEST</w:t>
            </w:r>
            <w:r w:rsidR="008914EC">
              <w:rPr>
                <w:color w:val="000000"/>
              </w:rPr>
              <w:t xml:space="preserve"> – </w:t>
            </w:r>
            <w:r w:rsidR="008914EC" w:rsidRPr="00363089">
              <w:rPr>
                <w:color w:val="000000"/>
              </w:rPr>
              <w:t>Po</w:t>
            </w:r>
            <w:r w:rsidR="008914EC">
              <w:rPr>
                <w:color w:val="000000"/>
              </w:rPr>
              <w:t>zi</w:t>
            </w:r>
            <w:r w:rsidR="008914EC" w:rsidRPr="00363089">
              <w:rPr>
                <w:color w:val="000000"/>
              </w:rPr>
              <w:t>tiv</w:t>
            </w:r>
            <w:r w:rsidR="008914EC">
              <w:rPr>
                <w:color w:val="000000"/>
              </w:rPr>
              <w:t>ní</w:t>
            </w:r>
          </w:p>
        </w:tc>
        <w:tc>
          <w:tcPr>
            <w:tcW w:w="1706" w:type="dxa"/>
            <w:tcBorders>
              <w:top w:val="single" w:sz="4" w:space="0" w:color="auto"/>
              <w:left w:val="nil"/>
              <w:bottom w:val="nil"/>
              <w:right w:val="nil"/>
            </w:tcBorders>
            <w:shd w:val="clear" w:color="auto" w:fill="auto"/>
            <w:noWrap/>
            <w:vAlign w:val="center"/>
            <w:hideMark/>
          </w:tcPr>
          <w:p w:rsidR="00363089" w:rsidRPr="00363089" w:rsidRDefault="00363089" w:rsidP="00363089">
            <w:pPr>
              <w:jc w:val="right"/>
            </w:pPr>
            <w:r w:rsidRPr="00363089">
              <w:t>0.1199</w:t>
            </w:r>
          </w:p>
        </w:tc>
        <w:tc>
          <w:tcPr>
            <w:tcW w:w="1826" w:type="dxa"/>
            <w:tcBorders>
              <w:top w:val="single" w:sz="4" w:space="0" w:color="auto"/>
              <w:left w:val="nil"/>
              <w:bottom w:val="nil"/>
              <w:right w:val="nil"/>
            </w:tcBorders>
            <w:shd w:val="clear" w:color="auto" w:fill="auto"/>
            <w:noWrap/>
            <w:vAlign w:val="center"/>
            <w:hideMark/>
          </w:tcPr>
          <w:p w:rsidR="00363089" w:rsidRPr="00363089" w:rsidRDefault="00363089" w:rsidP="00363089">
            <w:pPr>
              <w:jc w:val="right"/>
            </w:pPr>
            <w:r w:rsidRPr="00363089">
              <w:t>0.1193</w:t>
            </w:r>
          </w:p>
        </w:tc>
        <w:tc>
          <w:tcPr>
            <w:tcW w:w="1727" w:type="dxa"/>
            <w:tcBorders>
              <w:top w:val="single" w:sz="4" w:space="0" w:color="auto"/>
              <w:left w:val="nil"/>
              <w:bottom w:val="nil"/>
              <w:right w:val="single" w:sz="4" w:space="0" w:color="auto"/>
            </w:tcBorders>
            <w:shd w:val="clear" w:color="auto" w:fill="auto"/>
            <w:noWrap/>
            <w:vAlign w:val="center"/>
            <w:hideMark/>
          </w:tcPr>
          <w:p w:rsidR="00363089" w:rsidRPr="00363089" w:rsidRDefault="00363089" w:rsidP="00363089">
            <w:pPr>
              <w:jc w:val="right"/>
            </w:pPr>
            <w:r w:rsidRPr="00363089">
              <w:t>0.1164</w:t>
            </w:r>
          </w:p>
        </w:tc>
      </w:tr>
      <w:tr w:rsidR="00363089" w:rsidRPr="00363089" w:rsidTr="006F0851">
        <w:trPr>
          <w:trHeight w:val="300"/>
          <w:jc w:val="center"/>
        </w:trPr>
        <w:tc>
          <w:tcPr>
            <w:tcW w:w="2647" w:type="dxa"/>
            <w:tcBorders>
              <w:top w:val="nil"/>
              <w:left w:val="single" w:sz="4" w:space="0" w:color="auto"/>
              <w:right w:val="nil"/>
            </w:tcBorders>
            <w:shd w:val="clear" w:color="auto" w:fill="auto"/>
            <w:noWrap/>
            <w:vAlign w:val="center"/>
            <w:hideMark/>
          </w:tcPr>
          <w:p w:rsidR="00363089" w:rsidRPr="00363089" w:rsidRDefault="00363089" w:rsidP="00363089">
            <w:pPr>
              <w:rPr>
                <w:color w:val="000000"/>
              </w:rPr>
            </w:pPr>
            <w:r w:rsidRPr="00363089">
              <w:rPr>
                <w:color w:val="000000"/>
              </w:rPr>
              <w:t>INVEST</w:t>
            </w:r>
            <w:r w:rsidR="008914EC">
              <w:rPr>
                <w:color w:val="000000"/>
              </w:rPr>
              <w:t xml:space="preserve"> – </w:t>
            </w:r>
            <w:r w:rsidR="008914EC" w:rsidRPr="00363089">
              <w:rPr>
                <w:color w:val="000000"/>
              </w:rPr>
              <w:t>Negativ</w:t>
            </w:r>
            <w:r w:rsidR="008914EC">
              <w:rPr>
                <w:color w:val="000000"/>
              </w:rPr>
              <w:t>ní</w:t>
            </w:r>
          </w:p>
        </w:tc>
        <w:tc>
          <w:tcPr>
            <w:tcW w:w="1706" w:type="dxa"/>
            <w:tcBorders>
              <w:top w:val="nil"/>
              <w:left w:val="nil"/>
              <w:right w:val="nil"/>
            </w:tcBorders>
            <w:shd w:val="clear" w:color="auto" w:fill="auto"/>
            <w:noWrap/>
            <w:vAlign w:val="center"/>
            <w:hideMark/>
          </w:tcPr>
          <w:p w:rsidR="00363089" w:rsidRPr="00363089" w:rsidRDefault="00363089" w:rsidP="00363089">
            <w:pPr>
              <w:jc w:val="right"/>
            </w:pPr>
            <w:r w:rsidRPr="00363089">
              <w:t>0.0176</w:t>
            </w:r>
          </w:p>
        </w:tc>
        <w:tc>
          <w:tcPr>
            <w:tcW w:w="1826" w:type="dxa"/>
            <w:tcBorders>
              <w:top w:val="nil"/>
              <w:left w:val="nil"/>
              <w:right w:val="nil"/>
            </w:tcBorders>
            <w:shd w:val="clear" w:color="auto" w:fill="auto"/>
            <w:noWrap/>
            <w:vAlign w:val="center"/>
            <w:hideMark/>
          </w:tcPr>
          <w:p w:rsidR="00363089" w:rsidRPr="00363089" w:rsidRDefault="00363089" w:rsidP="00363089">
            <w:pPr>
              <w:jc w:val="right"/>
            </w:pPr>
            <w:r w:rsidRPr="00363089">
              <w:t>0.0172</w:t>
            </w:r>
          </w:p>
        </w:tc>
        <w:tc>
          <w:tcPr>
            <w:tcW w:w="1727" w:type="dxa"/>
            <w:tcBorders>
              <w:top w:val="nil"/>
              <w:left w:val="nil"/>
              <w:right w:val="single" w:sz="4" w:space="0" w:color="auto"/>
            </w:tcBorders>
            <w:shd w:val="clear" w:color="auto" w:fill="auto"/>
            <w:noWrap/>
            <w:vAlign w:val="center"/>
            <w:hideMark/>
          </w:tcPr>
          <w:p w:rsidR="00363089" w:rsidRPr="00363089" w:rsidRDefault="00363089" w:rsidP="00363089">
            <w:pPr>
              <w:jc w:val="right"/>
            </w:pPr>
            <w:r w:rsidRPr="00363089">
              <w:t>0.0185</w:t>
            </w:r>
          </w:p>
        </w:tc>
      </w:tr>
      <w:tr w:rsidR="00363089" w:rsidRPr="00363089" w:rsidTr="006F0851">
        <w:trPr>
          <w:trHeight w:val="300"/>
          <w:jc w:val="center"/>
        </w:trPr>
        <w:tc>
          <w:tcPr>
            <w:tcW w:w="2647" w:type="dxa"/>
            <w:tcBorders>
              <w:top w:val="nil"/>
              <w:left w:val="single" w:sz="4" w:space="0" w:color="auto"/>
              <w:bottom w:val="single" w:sz="4" w:space="0" w:color="auto"/>
              <w:right w:val="nil"/>
            </w:tcBorders>
            <w:shd w:val="clear" w:color="auto" w:fill="auto"/>
            <w:noWrap/>
            <w:vAlign w:val="center"/>
            <w:hideMark/>
          </w:tcPr>
          <w:p w:rsidR="00363089" w:rsidRPr="00363089" w:rsidRDefault="00363089" w:rsidP="00363089">
            <w:pPr>
              <w:rPr>
                <w:color w:val="000000"/>
              </w:rPr>
            </w:pPr>
            <w:r w:rsidRPr="00363089">
              <w:rPr>
                <w:color w:val="000000"/>
              </w:rPr>
              <w:t>INVEST</w:t>
            </w:r>
            <w:r w:rsidR="008914EC">
              <w:rPr>
                <w:color w:val="000000"/>
              </w:rPr>
              <w:t xml:space="preserve"> – Čistě pozitivní</w:t>
            </w:r>
          </w:p>
        </w:tc>
        <w:tc>
          <w:tcPr>
            <w:tcW w:w="1706" w:type="dxa"/>
            <w:tcBorders>
              <w:top w:val="nil"/>
              <w:left w:val="nil"/>
              <w:bottom w:val="single" w:sz="4" w:space="0" w:color="auto"/>
              <w:right w:val="nil"/>
            </w:tcBorders>
            <w:shd w:val="clear" w:color="auto" w:fill="auto"/>
            <w:noWrap/>
            <w:vAlign w:val="center"/>
            <w:hideMark/>
          </w:tcPr>
          <w:p w:rsidR="00363089" w:rsidRPr="00363089" w:rsidRDefault="00363089" w:rsidP="00363089">
            <w:pPr>
              <w:jc w:val="right"/>
            </w:pPr>
            <w:r w:rsidRPr="00363089">
              <w:t>0.7436</w:t>
            </w:r>
          </w:p>
        </w:tc>
        <w:tc>
          <w:tcPr>
            <w:tcW w:w="1826" w:type="dxa"/>
            <w:tcBorders>
              <w:top w:val="nil"/>
              <w:left w:val="nil"/>
              <w:bottom w:val="single" w:sz="4" w:space="0" w:color="auto"/>
              <w:right w:val="nil"/>
            </w:tcBorders>
            <w:shd w:val="clear" w:color="auto" w:fill="auto"/>
            <w:noWrap/>
            <w:vAlign w:val="center"/>
            <w:hideMark/>
          </w:tcPr>
          <w:p w:rsidR="00363089" w:rsidRPr="00363089" w:rsidRDefault="00363089" w:rsidP="00363089">
            <w:pPr>
              <w:jc w:val="right"/>
            </w:pPr>
            <w:r w:rsidRPr="00363089">
              <w:t>0.7479</w:t>
            </w:r>
          </w:p>
        </w:tc>
        <w:tc>
          <w:tcPr>
            <w:tcW w:w="1727" w:type="dxa"/>
            <w:tcBorders>
              <w:top w:val="nil"/>
              <w:left w:val="nil"/>
              <w:bottom w:val="single" w:sz="4" w:space="0" w:color="auto"/>
              <w:right w:val="single" w:sz="4" w:space="0" w:color="auto"/>
            </w:tcBorders>
            <w:shd w:val="clear" w:color="auto" w:fill="auto"/>
            <w:noWrap/>
            <w:vAlign w:val="center"/>
            <w:hideMark/>
          </w:tcPr>
          <w:p w:rsidR="00363089" w:rsidRPr="00363089" w:rsidRDefault="00363089" w:rsidP="00363089">
            <w:pPr>
              <w:jc w:val="right"/>
            </w:pPr>
            <w:r w:rsidRPr="00363089">
              <w:t>0.7256</w:t>
            </w:r>
          </w:p>
        </w:tc>
      </w:tr>
    </w:tbl>
    <w:p w:rsidR="00C97BF2" w:rsidRDefault="00C97BF2" w:rsidP="00C97BF2">
      <w:pPr>
        <w:pStyle w:val="TableSource"/>
      </w:pPr>
      <w:proofErr w:type="spellStart"/>
      <w:r>
        <w:t>Zdroj</w:t>
      </w:r>
      <w:proofErr w:type="spellEnd"/>
      <w:r>
        <w:t xml:space="preserve">: </w:t>
      </w:r>
      <w:proofErr w:type="spellStart"/>
      <w:r>
        <w:t>vlastní</w:t>
      </w:r>
      <w:proofErr w:type="spellEnd"/>
      <w:r>
        <w:t xml:space="preserve"> </w:t>
      </w:r>
      <w:proofErr w:type="spellStart"/>
      <w:r>
        <w:t>zpracování</w:t>
      </w:r>
      <w:proofErr w:type="spellEnd"/>
    </w:p>
    <w:p w:rsidR="006F0851" w:rsidRDefault="006F0851" w:rsidP="006F0851">
      <w:pPr>
        <w:rPr>
          <w:sz w:val="20"/>
          <w:szCs w:val="20"/>
        </w:rPr>
      </w:pPr>
    </w:p>
    <w:p w:rsidR="006F0851" w:rsidRPr="00363089" w:rsidRDefault="006F0851" w:rsidP="006F0851">
      <w:pPr>
        <w:rPr>
          <w:sz w:val="20"/>
          <w:szCs w:val="20"/>
        </w:rPr>
      </w:pPr>
      <w:r>
        <w:rPr>
          <w:sz w:val="20"/>
          <w:szCs w:val="20"/>
        </w:rPr>
        <w:t>P</w:t>
      </w:r>
      <w:r w:rsidRPr="00363089">
        <w:rPr>
          <w:sz w:val="20"/>
          <w:szCs w:val="20"/>
        </w:rPr>
        <w:t xml:space="preserve">ozn. LM je slovník </w:t>
      </w:r>
      <w:proofErr w:type="spellStart"/>
      <w:r w:rsidRPr="00363089">
        <w:rPr>
          <w:sz w:val="20"/>
          <w:szCs w:val="20"/>
        </w:rPr>
        <w:t>Lougran</w:t>
      </w:r>
      <w:proofErr w:type="spellEnd"/>
      <w:r w:rsidRPr="00363089">
        <w:rPr>
          <w:sz w:val="20"/>
          <w:szCs w:val="20"/>
        </w:rPr>
        <w:t xml:space="preserve"> a McDonald (2011), DICTION je slovník Hart (2001), HENRY je slovník Henry (2008) a INVEST je slovník Myšková a Hájek (2015).</w:t>
      </w:r>
    </w:p>
    <w:p w:rsidR="006F0851" w:rsidRPr="00911D46" w:rsidRDefault="006F0851" w:rsidP="00C97BF2">
      <w:pPr>
        <w:pStyle w:val="TableSource"/>
      </w:pPr>
    </w:p>
    <w:p w:rsidR="00681958" w:rsidRDefault="008914EC" w:rsidP="00897BA1">
      <w:pPr>
        <w:autoSpaceDE w:val="0"/>
        <w:autoSpaceDN w:val="0"/>
        <w:ind w:firstLine="284"/>
        <w:jc w:val="both"/>
        <w:rPr>
          <w:szCs w:val="20"/>
        </w:rPr>
      </w:pPr>
      <w:r w:rsidRPr="00C02D1F">
        <w:rPr>
          <w:szCs w:val="20"/>
        </w:rPr>
        <w:t>Pro testování statisticky významných rozdílů jsme použili párový Studentův t-test (Tabulka</w:t>
      </w:r>
      <w:r w:rsidR="00C61D6B" w:rsidRPr="00C02D1F">
        <w:rPr>
          <w:szCs w:val="20"/>
        </w:rPr>
        <w:t> </w:t>
      </w:r>
      <w:r w:rsidRPr="00C02D1F">
        <w:rPr>
          <w:szCs w:val="20"/>
        </w:rPr>
        <w:t>2).</w:t>
      </w:r>
    </w:p>
    <w:p w:rsidR="00897BA1" w:rsidRDefault="00897BA1" w:rsidP="00897BA1">
      <w:pPr>
        <w:autoSpaceDE w:val="0"/>
        <w:autoSpaceDN w:val="0"/>
        <w:ind w:firstLine="284"/>
        <w:jc w:val="both"/>
        <w:rPr>
          <w:szCs w:val="20"/>
        </w:rPr>
      </w:pPr>
    </w:p>
    <w:p w:rsidR="008914EC" w:rsidRPr="00C02D1F" w:rsidRDefault="008914EC" w:rsidP="00C97BF2">
      <w:pPr>
        <w:pStyle w:val="TableSource"/>
        <w:rPr>
          <w:lang w:val="cs-CZ"/>
        </w:rPr>
      </w:pPr>
      <w:r w:rsidRPr="00C02D1F">
        <w:rPr>
          <w:lang w:val="cs-CZ"/>
        </w:rPr>
        <w:t>Tabulka 2: Statistické porovnání středních hodnot pomocí Studentova t-testu</w:t>
      </w:r>
    </w:p>
    <w:tbl>
      <w:tblPr>
        <w:tblW w:w="0" w:type="auto"/>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640"/>
        <w:gridCol w:w="827"/>
        <w:gridCol w:w="880"/>
        <w:gridCol w:w="827"/>
        <w:gridCol w:w="880"/>
        <w:gridCol w:w="827"/>
        <w:gridCol w:w="880"/>
      </w:tblGrid>
      <w:tr w:rsidR="008914EC" w:rsidRPr="00C02D1F" w:rsidTr="006F0851">
        <w:trPr>
          <w:trHeight w:val="300"/>
          <w:jc w:val="center"/>
        </w:trPr>
        <w:tc>
          <w:tcPr>
            <w:tcW w:w="0" w:type="auto"/>
            <w:tcBorders>
              <w:top w:val="single" w:sz="4" w:space="0" w:color="auto"/>
              <w:left w:val="single" w:sz="4" w:space="0" w:color="auto"/>
            </w:tcBorders>
            <w:shd w:val="clear" w:color="auto" w:fill="auto"/>
            <w:noWrap/>
            <w:vAlign w:val="bottom"/>
            <w:hideMark/>
          </w:tcPr>
          <w:p w:rsidR="008914EC" w:rsidRPr="00C02D1F" w:rsidRDefault="008914EC"/>
        </w:tc>
        <w:tc>
          <w:tcPr>
            <w:tcW w:w="0" w:type="auto"/>
            <w:gridSpan w:val="2"/>
            <w:tcBorders>
              <w:top w:val="single" w:sz="4" w:space="0" w:color="auto"/>
            </w:tcBorders>
            <w:shd w:val="clear" w:color="auto" w:fill="auto"/>
            <w:noWrap/>
            <w:vAlign w:val="bottom"/>
            <w:hideMark/>
          </w:tcPr>
          <w:p w:rsidR="008914EC" w:rsidRPr="00C02D1F" w:rsidRDefault="008914EC" w:rsidP="008914EC">
            <w:pPr>
              <w:jc w:val="right"/>
              <w:rPr>
                <w:color w:val="000000"/>
              </w:rPr>
            </w:pPr>
            <w:proofErr w:type="spellStart"/>
            <w:r w:rsidRPr="00C02D1F">
              <w:rPr>
                <w:color w:val="000000"/>
              </w:rPr>
              <w:t>Bezp</w:t>
            </w:r>
            <w:proofErr w:type="spellEnd"/>
            <w:r w:rsidRPr="00C02D1F">
              <w:rPr>
                <w:color w:val="000000"/>
              </w:rPr>
              <w:t xml:space="preserve">. </w:t>
            </w:r>
            <w:proofErr w:type="gramStart"/>
            <w:r w:rsidRPr="00C02D1F">
              <w:rPr>
                <w:color w:val="000000"/>
              </w:rPr>
              <w:t>vs.</w:t>
            </w:r>
            <w:proofErr w:type="gramEnd"/>
            <w:r w:rsidRPr="00C02D1F">
              <w:rPr>
                <w:color w:val="000000"/>
              </w:rPr>
              <w:t xml:space="preserve"> </w:t>
            </w:r>
            <w:proofErr w:type="spellStart"/>
            <w:r w:rsidRPr="00C02D1F">
              <w:rPr>
                <w:color w:val="000000"/>
              </w:rPr>
              <w:t>kriz</w:t>
            </w:r>
            <w:proofErr w:type="spellEnd"/>
            <w:r w:rsidRPr="00C02D1F">
              <w:rPr>
                <w:color w:val="000000"/>
              </w:rPr>
              <w:t>.</w:t>
            </w:r>
          </w:p>
        </w:tc>
        <w:tc>
          <w:tcPr>
            <w:tcW w:w="0" w:type="auto"/>
            <w:gridSpan w:val="2"/>
            <w:tcBorders>
              <w:top w:val="single" w:sz="4" w:space="0" w:color="auto"/>
            </w:tcBorders>
            <w:shd w:val="clear" w:color="auto" w:fill="auto"/>
            <w:noWrap/>
            <w:vAlign w:val="bottom"/>
            <w:hideMark/>
          </w:tcPr>
          <w:p w:rsidR="008914EC" w:rsidRPr="00C02D1F" w:rsidRDefault="008914EC" w:rsidP="008914EC">
            <w:pPr>
              <w:jc w:val="right"/>
              <w:rPr>
                <w:color w:val="000000"/>
              </w:rPr>
            </w:pPr>
            <w:proofErr w:type="spellStart"/>
            <w:r w:rsidRPr="00C02D1F">
              <w:rPr>
                <w:color w:val="000000"/>
              </w:rPr>
              <w:t>Bezp</w:t>
            </w:r>
            <w:proofErr w:type="spellEnd"/>
            <w:r w:rsidRPr="00C02D1F">
              <w:rPr>
                <w:color w:val="000000"/>
              </w:rPr>
              <w:t xml:space="preserve">. </w:t>
            </w:r>
            <w:proofErr w:type="gramStart"/>
            <w:r w:rsidRPr="00C02D1F">
              <w:rPr>
                <w:color w:val="000000"/>
              </w:rPr>
              <w:t>vs.</w:t>
            </w:r>
            <w:proofErr w:type="gramEnd"/>
            <w:r w:rsidRPr="00C02D1F">
              <w:rPr>
                <w:color w:val="000000"/>
              </w:rPr>
              <w:t xml:space="preserve"> šedá</w:t>
            </w:r>
          </w:p>
        </w:tc>
        <w:tc>
          <w:tcPr>
            <w:tcW w:w="0" w:type="auto"/>
            <w:gridSpan w:val="2"/>
            <w:tcBorders>
              <w:top w:val="single" w:sz="4" w:space="0" w:color="auto"/>
              <w:right w:val="single" w:sz="4" w:space="0" w:color="auto"/>
            </w:tcBorders>
            <w:shd w:val="clear" w:color="auto" w:fill="auto"/>
            <w:noWrap/>
            <w:vAlign w:val="bottom"/>
            <w:hideMark/>
          </w:tcPr>
          <w:p w:rsidR="008914EC" w:rsidRPr="00C02D1F" w:rsidRDefault="008914EC" w:rsidP="008914EC">
            <w:pPr>
              <w:jc w:val="right"/>
              <w:rPr>
                <w:color w:val="000000"/>
              </w:rPr>
            </w:pPr>
            <w:r w:rsidRPr="00C02D1F">
              <w:rPr>
                <w:color w:val="000000"/>
              </w:rPr>
              <w:t xml:space="preserve">Šedá vs. </w:t>
            </w:r>
            <w:proofErr w:type="spellStart"/>
            <w:r w:rsidRPr="00C02D1F">
              <w:rPr>
                <w:color w:val="000000"/>
              </w:rPr>
              <w:t>kriz</w:t>
            </w:r>
            <w:proofErr w:type="spellEnd"/>
            <w:r w:rsidRPr="00C02D1F">
              <w:rPr>
                <w:color w:val="000000"/>
              </w:rPr>
              <w:t>.</w:t>
            </w:r>
          </w:p>
        </w:tc>
      </w:tr>
      <w:tr w:rsidR="008914EC" w:rsidRPr="00C02D1F" w:rsidTr="006F0851">
        <w:trPr>
          <w:trHeight w:val="300"/>
          <w:jc w:val="center"/>
        </w:trPr>
        <w:tc>
          <w:tcPr>
            <w:tcW w:w="0" w:type="auto"/>
            <w:tcBorders>
              <w:left w:val="single" w:sz="4" w:space="0" w:color="auto"/>
              <w:bottom w:val="single" w:sz="4" w:space="0" w:color="auto"/>
            </w:tcBorders>
            <w:shd w:val="clear" w:color="auto" w:fill="auto"/>
            <w:noWrap/>
            <w:vAlign w:val="bottom"/>
            <w:hideMark/>
          </w:tcPr>
          <w:p w:rsidR="008914EC" w:rsidRPr="00C02D1F" w:rsidRDefault="008914EC" w:rsidP="008914EC">
            <w:pPr>
              <w:rPr>
                <w:color w:val="000000"/>
              </w:rPr>
            </w:pPr>
          </w:p>
        </w:tc>
        <w:tc>
          <w:tcPr>
            <w:tcW w:w="0" w:type="auto"/>
            <w:tcBorders>
              <w:bottom w:val="single" w:sz="4" w:space="0" w:color="auto"/>
            </w:tcBorders>
            <w:shd w:val="clear" w:color="auto" w:fill="auto"/>
            <w:noWrap/>
            <w:vAlign w:val="bottom"/>
            <w:hideMark/>
          </w:tcPr>
          <w:p w:rsidR="008914EC" w:rsidRPr="00C02D1F" w:rsidRDefault="008914EC" w:rsidP="008914EC">
            <w:pPr>
              <w:jc w:val="right"/>
              <w:rPr>
                <w:color w:val="000000"/>
              </w:rPr>
            </w:pPr>
            <w:r w:rsidRPr="00C02D1F">
              <w:rPr>
                <w:i/>
                <w:color w:val="000000"/>
              </w:rPr>
              <w:t>t</w:t>
            </w:r>
            <w:r w:rsidRPr="00C02D1F">
              <w:rPr>
                <w:color w:val="000000"/>
              </w:rPr>
              <w:t>-</w:t>
            </w:r>
            <w:proofErr w:type="spellStart"/>
            <w:r w:rsidRPr="00C02D1F">
              <w:rPr>
                <w:color w:val="000000"/>
              </w:rPr>
              <w:t>hodn</w:t>
            </w:r>
            <w:proofErr w:type="spellEnd"/>
            <w:r w:rsidRPr="00C02D1F">
              <w:rPr>
                <w:color w:val="000000"/>
              </w:rPr>
              <w:t>.</w:t>
            </w:r>
          </w:p>
        </w:tc>
        <w:tc>
          <w:tcPr>
            <w:tcW w:w="0" w:type="auto"/>
            <w:tcBorders>
              <w:bottom w:val="single" w:sz="4" w:space="0" w:color="auto"/>
            </w:tcBorders>
            <w:shd w:val="clear" w:color="auto" w:fill="auto"/>
            <w:noWrap/>
            <w:vAlign w:val="bottom"/>
            <w:hideMark/>
          </w:tcPr>
          <w:p w:rsidR="008914EC" w:rsidRPr="00C02D1F" w:rsidRDefault="008914EC" w:rsidP="008914EC">
            <w:pPr>
              <w:jc w:val="right"/>
              <w:rPr>
                <w:color w:val="000000"/>
              </w:rPr>
            </w:pPr>
            <w:r w:rsidRPr="00C02D1F">
              <w:rPr>
                <w:i/>
                <w:color w:val="000000"/>
              </w:rPr>
              <w:t>p</w:t>
            </w:r>
            <w:r w:rsidRPr="00C02D1F">
              <w:rPr>
                <w:color w:val="000000"/>
              </w:rPr>
              <w:t>-</w:t>
            </w:r>
            <w:proofErr w:type="spellStart"/>
            <w:r w:rsidRPr="00C02D1F">
              <w:rPr>
                <w:color w:val="000000"/>
              </w:rPr>
              <w:t>hodn</w:t>
            </w:r>
            <w:proofErr w:type="spellEnd"/>
            <w:r w:rsidRPr="00C02D1F">
              <w:rPr>
                <w:color w:val="000000"/>
              </w:rPr>
              <w:t>.</w:t>
            </w:r>
          </w:p>
        </w:tc>
        <w:tc>
          <w:tcPr>
            <w:tcW w:w="0" w:type="auto"/>
            <w:tcBorders>
              <w:bottom w:val="single" w:sz="4" w:space="0" w:color="auto"/>
            </w:tcBorders>
            <w:shd w:val="clear" w:color="auto" w:fill="auto"/>
            <w:noWrap/>
            <w:vAlign w:val="bottom"/>
            <w:hideMark/>
          </w:tcPr>
          <w:p w:rsidR="008914EC" w:rsidRPr="00C02D1F" w:rsidRDefault="008914EC" w:rsidP="008914EC">
            <w:pPr>
              <w:jc w:val="right"/>
              <w:rPr>
                <w:color w:val="000000"/>
              </w:rPr>
            </w:pPr>
            <w:r w:rsidRPr="00C02D1F">
              <w:rPr>
                <w:i/>
                <w:color w:val="000000"/>
              </w:rPr>
              <w:t>t</w:t>
            </w:r>
            <w:r w:rsidRPr="00C02D1F">
              <w:rPr>
                <w:color w:val="000000"/>
              </w:rPr>
              <w:t>-</w:t>
            </w:r>
            <w:proofErr w:type="spellStart"/>
            <w:r w:rsidRPr="00C02D1F">
              <w:rPr>
                <w:color w:val="000000"/>
              </w:rPr>
              <w:t>hodn</w:t>
            </w:r>
            <w:proofErr w:type="spellEnd"/>
            <w:r w:rsidRPr="00C02D1F">
              <w:rPr>
                <w:color w:val="000000"/>
              </w:rPr>
              <w:t>.</w:t>
            </w:r>
          </w:p>
        </w:tc>
        <w:tc>
          <w:tcPr>
            <w:tcW w:w="0" w:type="auto"/>
            <w:tcBorders>
              <w:bottom w:val="single" w:sz="4" w:space="0" w:color="auto"/>
            </w:tcBorders>
            <w:shd w:val="clear" w:color="auto" w:fill="auto"/>
            <w:noWrap/>
            <w:vAlign w:val="bottom"/>
            <w:hideMark/>
          </w:tcPr>
          <w:p w:rsidR="008914EC" w:rsidRPr="00C02D1F" w:rsidRDefault="008914EC" w:rsidP="008914EC">
            <w:pPr>
              <w:jc w:val="right"/>
              <w:rPr>
                <w:color w:val="000000"/>
              </w:rPr>
            </w:pPr>
            <w:r w:rsidRPr="00C02D1F">
              <w:rPr>
                <w:i/>
                <w:color w:val="000000"/>
              </w:rPr>
              <w:t>p</w:t>
            </w:r>
            <w:r w:rsidRPr="00C02D1F">
              <w:rPr>
                <w:color w:val="000000"/>
              </w:rPr>
              <w:t>-</w:t>
            </w:r>
            <w:proofErr w:type="spellStart"/>
            <w:r w:rsidRPr="00C02D1F">
              <w:rPr>
                <w:color w:val="000000"/>
              </w:rPr>
              <w:t>hodn</w:t>
            </w:r>
            <w:proofErr w:type="spellEnd"/>
            <w:r w:rsidRPr="00C02D1F">
              <w:rPr>
                <w:color w:val="000000"/>
              </w:rPr>
              <w:t>.</w:t>
            </w:r>
          </w:p>
        </w:tc>
        <w:tc>
          <w:tcPr>
            <w:tcW w:w="0" w:type="auto"/>
            <w:tcBorders>
              <w:bottom w:val="single" w:sz="4" w:space="0" w:color="auto"/>
            </w:tcBorders>
            <w:shd w:val="clear" w:color="auto" w:fill="auto"/>
            <w:noWrap/>
            <w:vAlign w:val="bottom"/>
            <w:hideMark/>
          </w:tcPr>
          <w:p w:rsidR="008914EC" w:rsidRPr="00C02D1F" w:rsidRDefault="008914EC" w:rsidP="008914EC">
            <w:pPr>
              <w:jc w:val="right"/>
              <w:rPr>
                <w:color w:val="000000"/>
              </w:rPr>
            </w:pPr>
            <w:r w:rsidRPr="00C02D1F">
              <w:rPr>
                <w:i/>
                <w:color w:val="000000"/>
              </w:rPr>
              <w:t>t</w:t>
            </w:r>
            <w:r w:rsidRPr="00C02D1F">
              <w:rPr>
                <w:color w:val="000000"/>
              </w:rPr>
              <w:t>-</w:t>
            </w:r>
            <w:proofErr w:type="spellStart"/>
            <w:r w:rsidRPr="00C02D1F">
              <w:rPr>
                <w:color w:val="000000"/>
              </w:rPr>
              <w:t>hodn</w:t>
            </w:r>
            <w:proofErr w:type="spellEnd"/>
            <w:r w:rsidRPr="00C02D1F">
              <w:rPr>
                <w:color w:val="000000"/>
              </w:rPr>
              <w:t>.</w:t>
            </w:r>
          </w:p>
        </w:tc>
        <w:tc>
          <w:tcPr>
            <w:tcW w:w="0" w:type="auto"/>
            <w:tcBorders>
              <w:bottom w:val="single" w:sz="4" w:space="0" w:color="auto"/>
              <w:right w:val="single" w:sz="4" w:space="0" w:color="auto"/>
            </w:tcBorders>
            <w:shd w:val="clear" w:color="auto" w:fill="auto"/>
            <w:noWrap/>
            <w:vAlign w:val="bottom"/>
            <w:hideMark/>
          </w:tcPr>
          <w:p w:rsidR="008914EC" w:rsidRPr="00C02D1F" w:rsidRDefault="008914EC" w:rsidP="008914EC">
            <w:pPr>
              <w:jc w:val="right"/>
              <w:rPr>
                <w:color w:val="000000"/>
              </w:rPr>
            </w:pPr>
            <w:r w:rsidRPr="00C02D1F">
              <w:rPr>
                <w:i/>
                <w:color w:val="000000"/>
              </w:rPr>
              <w:t>p</w:t>
            </w:r>
            <w:r w:rsidRPr="00C02D1F">
              <w:rPr>
                <w:color w:val="000000"/>
              </w:rPr>
              <w:t>-</w:t>
            </w:r>
            <w:proofErr w:type="spellStart"/>
            <w:r w:rsidRPr="00C02D1F">
              <w:rPr>
                <w:color w:val="000000"/>
              </w:rPr>
              <w:t>hodn</w:t>
            </w:r>
            <w:proofErr w:type="spellEnd"/>
            <w:r w:rsidRPr="00C02D1F">
              <w:rPr>
                <w:color w:val="000000"/>
              </w:rPr>
              <w:t>.</w:t>
            </w:r>
          </w:p>
        </w:tc>
      </w:tr>
      <w:tr w:rsidR="008914EC" w:rsidRPr="00C02D1F" w:rsidTr="006F0851">
        <w:trPr>
          <w:trHeight w:val="300"/>
          <w:jc w:val="center"/>
        </w:trPr>
        <w:tc>
          <w:tcPr>
            <w:tcW w:w="0" w:type="auto"/>
            <w:tcBorders>
              <w:top w:val="single" w:sz="4" w:space="0" w:color="auto"/>
              <w:left w:val="single" w:sz="4" w:space="0" w:color="auto"/>
              <w:bottom w:val="nil"/>
            </w:tcBorders>
            <w:shd w:val="clear" w:color="auto" w:fill="auto"/>
            <w:noWrap/>
            <w:vAlign w:val="center"/>
            <w:hideMark/>
          </w:tcPr>
          <w:p w:rsidR="008914EC" w:rsidRPr="00C02D1F" w:rsidRDefault="008914EC" w:rsidP="008914EC">
            <w:pPr>
              <w:rPr>
                <w:color w:val="000000"/>
              </w:rPr>
            </w:pPr>
            <w:r w:rsidRPr="00C02D1F">
              <w:rPr>
                <w:color w:val="000000"/>
              </w:rPr>
              <w:t>LM – Pozitivní</w:t>
            </w:r>
          </w:p>
        </w:tc>
        <w:tc>
          <w:tcPr>
            <w:tcW w:w="0" w:type="auto"/>
            <w:tcBorders>
              <w:top w:val="single" w:sz="4" w:space="0" w:color="auto"/>
              <w:bottom w:val="nil"/>
            </w:tcBorders>
            <w:shd w:val="clear" w:color="auto" w:fill="auto"/>
            <w:noWrap/>
            <w:vAlign w:val="center"/>
            <w:hideMark/>
          </w:tcPr>
          <w:p w:rsidR="008914EC" w:rsidRPr="00C02D1F" w:rsidRDefault="008914EC" w:rsidP="008914EC">
            <w:pPr>
              <w:jc w:val="right"/>
              <w:rPr>
                <w:i/>
              </w:rPr>
            </w:pPr>
            <w:r w:rsidRPr="00C02D1F">
              <w:rPr>
                <w:i/>
              </w:rPr>
              <w:t>9.952</w:t>
            </w:r>
          </w:p>
        </w:tc>
        <w:tc>
          <w:tcPr>
            <w:tcW w:w="0" w:type="auto"/>
            <w:tcBorders>
              <w:top w:val="single" w:sz="4" w:space="0" w:color="auto"/>
              <w:bottom w:val="nil"/>
            </w:tcBorders>
            <w:shd w:val="clear" w:color="auto" w:fill="auto"/>
            <w:noWrap/>
            <w:vAlign w:val="center"/>
            <w:hideMark/>
          </w:tcPr>
          <w:p w:rsidR="008914EC" w:rsidRPr="00C02D1F" w:rsidRDefault="008914EC" w:rsidP="008914EC">
            <w:pPr>
              <w:jc w:val="right"/>
            </w:pPr>
            <w:r w:rsidRPr="00C02D1F">
              <w:t>0.000</w:t>
            </w:r>
          </w:p>
        </w:tc>
        <w:tc>
          <w:tcPr>
            <w:tcW w:w="0" w:type="auto"/>
            <w:tcBorders>
              <w:top w:val="single" w:sz="4" w:space="0" w:color="auto"/>
              <w:bottom w:val="nil"/>
            </w:tcBorders>
            <w:shd w:val="clear" w:color="auto" w:fill="auto"/>
            <w:noWrap/>
            <w:vAlign w:val="center"/>
            <w:hideMark/>
          </w:tcPr>
          <w:p w:rsidR="008914EC" w:rsidRPr="00C02D1F" w:rsidRDefault="008914EC" w:rsidP="008914EC">
            <w:pPr>
              <w:jc w:val="right"/>
            </w:pPr>
            <w:r w:rsidRPr="00C02D1F">
              <w:t>-0.586</w:t>
            </w:r>
          </w:p>
        </w:tc>
        <w:tc>
          <w:tcPr>
            <w:tcW w:w="0" w:type="auto"/>
            <w:tcBorders>
              <w:top w:val="single" w:sz="4" w:space="0" w:color="auto"/>
              <w:bottom w:val="nil"/>
            </w:tcBorders>
            <w:shd w:val="clear" w:color="auto" w:fill="auto"/>
            <w:noWrap/>
            <w:vAlign w:val="center"/>
            <w:hideMark/>
          </w:tcPr>
          <w:p w:rsidR="008914EC" w:rsidRPr="00C02D1F" w:rsidRDefault="008914EC" w:rsidP="008914EC">
            <w:pPr>
              <w:jc w:val="right"/>
            </w:pPr>
            <w:r w:rsidRPr="00C02D1F">
              <w:t>0.558</w:t>
            </w:r>
          </w:p>
        </w:tc>
        <w:tc>
          <w:tcPr>
            <w:tcW w:w="0" w:type="auto"/>
            <w:tcBorders>
              <w:top w:val="single" w:sz="4" w:space="0" w:color="auto"/>
              <w:bottom w:val="nil"/>
            </w:tcBorders>
            <w:shd w:val="clear" w:color="auto" w:fill="auto"/>
            <w:noWrap/>
            <w:vAlign w:val="center"/>
            <w:hideMark/>
          </w:tcPr>
          <w:p w:rsidR="008914EC" w:rsidRPr="00C02D1F" w:rsidRDefault="008914EC" w:rsidP="008914EC">
            <w:pPr>
              <w:jc w:val="right"/>
              <w:rPr>
                <w:i/>
              </w:rPr>
            </w:pPr>
            <w:r w:rsidRPr="00C02D1F">
              <w:rPr>
                <w:i/>
              </w:rPr>
              <w:t>10.569</w:t>
            </w:r>
          </w:p>
        </w:tc>
        <w:tc>
          <w:tcPr>
            <w:tcW w:w="0" w:type="auto"/>
            <w:tcBorders>
              <w:top w:val="single" w:sz="4" w:space="0" w:color="auto"/>
              <w:bottom w:val="nil"/>
              <w:right w:val="single" w:sz="4" w:space="0" w:color="auto"/>
            </w:tcBorders>
            <w:shd w:val="clear" w:color="auto" w:fill="auto"/>
            <w:noWrap/>
            <w:vAlign w:val="center"/>
            <w:hideMark/>
          </w:tcPr>
          <w:p w:rsidR="008914EC" w:rsidRPr="00C02D1F" w:rsidRDefault="008914EC" w:rsidP="008914EC">
            <w:pPr>
              <w:jc w:val="right"/>
            </w:pPr>
            <w:r w:rsidRPr="00C02D1F">
              <w:t>0.000</w:t>
            </w:r>
          </w:p>
        </w:tc>
      </w:tr>
      <w:tr w:rsidR="008914EC" w:rsidRPr="008914EC" w:rsidTr="006F0851">
        <w:trPr>
          <w:trHeight w:val="300"/>
          <w:jc w:val="center"/>
        </w:trPr>
        <w:tc>
          <w:tcPr>
            <w:tcW w:w="0" w:type="auto"/>
            <w:tcBorders>
              <w:top w:val="nil"/>
              <w:left w:val="single" w:sz="4" w:space="0" w:color="auto"/>
            </w:tcBorders>
            <w:shd w:val="clear" w:color="auto" w:fill="auto"/>
            <w:noWrap/>
            <w:vAlign w:val="center"/>
            <w:hideMark/>
          </w:tcPr>
          <w:p w:rsidR="008914EC" w:rsidRPr="00363089" w:rsidRDefault="008914EC" w:rsidP="008914EC">
            <w:pPr>
              <w:rPr>
                <w:color w:val="000000"/>
              </w:rPr>
            </w:pPr>
            <w:r w:rsidRPr="00363089">
              <w:rPr>
                <w:color w:val="000000"/>
              </w:rPr>
              <w:t>LM</w:t>
            </w:r>
            <w:r>
              <w:rPr>
                <w:color w:val="000000"/>
              </w:rPr>
              <w:t xml:space="preserve"> – </w:t>
            </w:r>
            <w:r w:rsidRPr="00363089">
              <w:rPr>
                <w:color w:val="000000"/>
              </w:rPr>
              <w:t>Negativ</w:t>
            </w:r>
            <w:r>
              <w:rPr>
                <w:color w:val="000000"/>
              </w:rPr>
              <w:t>ní</w:t>
            </w:r>
          </w:p>
        </w:tc>
        <w:tc>
          <w:tcPr>
            <w:tcW w:w="0" w:type="auto"/>
            <w:tcBorders>
              <w:top w:val="nil"/>
            </w:tcBorders>
            <w:shd w:val="clear" w:color="auto" w:fill="auto"/>
            <w:noWrap/>
            <w:vAlign w:val="center"/>
            <w:hideMark/>
          </w:tcPr>
          <w:p w:rsidR="008914EC" w:rsidRPr="00911D46" w:rsidRDefault="008914EC" w:rsidP="008914EC">
            <w:pPr>
              <w:jc w:val="right"/>
            </w:pPr>
            <w:r w:rsidRPr="00911D46">
              <w:t>1.539</w:t>
            </w:r>
          </w:p>
        </w:tc>
        <w:tc>
          <w:tcPr>
            <w:tcW w:w="0" w:type="auto"/>
            <w:tcBorders>
              <w:top w:val="nil"/>
            </w:tcBorders>
            <w:shd w:val="clear" w:color="auto" w:fill="auto"/>
            <w:noWrap/>
            <w:vAlign w:val="center"/>
            <w:hideMark/>
          </w:tcPr>
          <w:p w:rsidR="008914EC" w:rsidRPr="00911D46" w:rsidRDefault="008914EC" w:rsidP="008914EC">
            <w:pPr>
              <w:jc w:val="right"/>
            </w:pPr>
            <w:r w:rsidRPr="00911D46">
              <w:t>0.124</w:t>
            </w:r>
          </w:p>
        </w:tc>
        <w:tc>
          <w:tcPr>
            <w:tcW w:w="0" w:type="auto"/>
            <w:tcBorders>
              <w:top w:val="nil"/>
            </w:tcBorders>
            <w:shd w:val="clear" w:color="auto" w:fill="auto"/>
            <w:noWrap/>
            <w:vAlign w:val="center"/>
            <w:hideMark/>
          </w:tcPr>
          <w:p w:rsidR="008914EC" w:rsidRPr="00911D46" w:rsidRDefault="008914EC" w:rsidP="008914EC">
            <w:pPr>
              <w:jc w:val="right"/>
            </w:pPr>
            <w:r w:rsidRPr="00911D46">
              <w:t>0.919</w:t>
            </w:r>
          </w:p>
        </w:tc>
        <w:tc>
          <w:tcPr>
            <w:tcW w:w="0" w:type="auto"/>
            <w:tcBorders>
              <w:top w:val="nil"/>
            </w:tcBorders>
            <w:shd w:val="clear" w:color="auto" w:fill="auto"/>
            <w:noWrap/>
            <w:vAlign w:val="center"/>
            <w:hideMark/>
          </w:tcPr>
          <w:p w:rsidR="008914EC" w:rsidRPr="00911D46" w:rsidRDefault="008914EC" w:rsidP="008914EC">
            <w:pPr>
              <w:jc w:val="right"/>
            </w:pPr>
            <w:r w:rsidRPr="00911D46">
              <w:t>0.358</w:t>
            </w:r>
          </w:p>
        </w:tc>
        <w:tc>
          <w:tcPr>
            <w:tcW w:w="0" w:type="auto"/>
            <w:tcBorders>
              <w:top w:val="nil"/>
            </w:tcBorders>
            <w:shd w:val="clear" w:color="auto" w:fill="auto"/>
            <w:noWrap/>
            <w:vAlign w:val="center"/>
            <w:hideMark/>
          </w:tcPr>
          <w:p w:rsidR="008914EC" w:rsidRPr="00911D46" w:rsidRDefault="008914EC" w:rsidP="008914EC">
            <w:pPr>
              <w:jc w:val="right"/>
            </w:pPr>
            <w:r w:rsidRPr="00911D46">
              <w:t>0.541</w:t>
            </w:r>
          </w:p>
        </w:tc>
        <w:tc>
          <w:tcPr>
            <w:tcW w:w="0" w:type="auto"/>
            <w:tcBorders>
              <w:top w:val="nil"/>
              <w:right w:val="single" w:sz="4" w:space="0" w:color="auto"/>
            </w:tcBorders>
            <w:shd w:val="clear" w:color="auto" w:fill="auto"/>
            <w:noWrap/>
            <w:vAlign w:val="center"/>
            <w:hideMark/>
          </w:tcPr>
          <w:p w:rsidR="008914EC" w:rsidRPr="00911D46" w:rsidRDefault="008914EC" w:rsidP="008914EC">
            <w:pPr>
              <w:jc w:val="right"/>
            </w:pPr>
            <w:r w:rsidRPr="00911D46">
              <w:t>0.589</w:t>
            </w:r>
          </w:p>
        </w:tc>
      </w:tr>
      <w:tr w:rsidR="008914EC" w:rsidRPr="008914EC" w:rsidTr="006F0851">
        <w:trPr>
          <w:trHeight w:val="300"/>
          <w:jc w:val="center"/>
        </w:trPr>
        <w:tc>
          <w:tcPr>
            <w:tcW w:w="0" w:type="auto"/>
            <w:tcBorders>
              <w:left w:val="single" w:sz="4" w:space="0" w:color="auto"/>
            </w:tcBorders>
            <w:shd w:val="clear" w:color="auto" w:fill="auto"/>
            <w:noWrap/>
            <w:vAlign w:val="center"/>
            <w:hideMark/>
          </w:tcPr>
          <w:p w:rsidR="008914EC" w:rsidRPr="00363089" w:rsidRDefault="008914EC" w:rsidP="008914EC">
            <w:pPr>
              <w:rPr>
                <w:color w:val="000000"/>
              </w:rPr>
            </w:pPr>
            <w:r w:rsidRPr="00363089">
              <w:rPr>
                <w:color w:val="000000"/>
              </w:rPr>
              <w:t>LM</w:t>
            </w:r>
            <w:r>
              <w:rPr>
                <w:color w:val="000000"/>
              </w:rPr>
              <w:t xml:space="preserve"> – Neurčitost</w:t>
            </w:r>
          </w:p>
        </w:tc>
        <w:tc>
          <w:tcPr>
            <w:tcW w:w="0" w:type="auto"/>
            <w:shd w:val="clear" w:color="auto" w:fill="auto"/>
            <w:noWrap/>
            <w:vAlign w:val="center"/>
            <w:hideMark/>
          </w:tcPr>
          <w:p w:rsidR="008914EC" w:rsidRPr="00911D46" w:rsidRDefault="008914EC" w:rsidP="008914EC">
            <w:pPr>
              <w:jc w:val="right"/>
            </w:pPr>
            <w:r w:rsidRPr="00911D46">
              <w:t>1.315</w:t>
            </w:r>
          </w:p>
        </w:tc>
        <w:tc>
          <w:tcPr>
            <w:tcW w:w="0" w:type="auto"/>
            <w:shd w:val="clear" w:color="auto" w:fill="auto"/>
            <w:noWrap/>
            <w:vAlign w:val="center"/>
            <w:hideMark/>
          </w:tcPr>
          <w:p w:rsidR="008914EC" w:rsidRPr="00911D46" w:rsidRDefault="008914EC" w:rsidP="008914EC">
            <w:pPr>
              <w:jc w:val="right"/>
            </w:pPr>
            <w:r w:rsidRPr="00911D46">
              <w:t>0.189</w:t>
            </w:r>
          </w:p>
        </w:tc>
        <w:tc>
          <w:tcPr>
            <w:tcW w:w="0" w:type="auto"/>
            <w:shd w:val="clear" w:color="auto" w:fill="auto"/>
            <w:noWrap/>
            <w:vAlign w:val="center"/>
            <w:hideMark/>
          </w:tcPr>
          <w:p w:rsidR="008914EC" w:rsidRPr="00911D46" w:rsidRDefault="008914EC" w:rsidP="008914EC">
            <w:pPr>
              <w:jc w:val="right"/>
            </w:pPr>
            <w:r w:rsidRPr="00911D46">
              <w:t>-0.068</w:t>
            </w:r>
          </w:p>
        </w:tc>
        <w:tc>
          <w:tcPr>
            <w:tcW w:w="0" w:type="auto"/>
            <w:shd w:val="clear" w:color="auto" w:fill="auto"/>
            <w:noWrap/>
            <w:vAlign w:val="center"/>
            <w:hideMark/>
          </w:tcPr>
          <w:p w:rsidR="008914EC" w:rsidRPr="00911D46" w:rsidRDefault="008914EC" w:rsidP="008914EC">
            <w:pPr>
              <w:jc w:val="right"/>
            </w:pPr>
            <w:r w:rsidRPr="00911D46">
              <w:t>0.946</w:t>
            </w:r>
          </w:p>
        </w:tc>
        <w:tc>
          <w:tcPr>
            <w:tcW w:w="0" w:type="auto"/>
            <w:shd w:val="clear" w:color="auto" w:fill="auto"/>
            <w:noWrap/>
            <w:vAlign w:val="center"/>
            <w:hideMark/>
          </w:tcPr>
          <w:p w:rsidR="008914EC" w:rsidRPr="00911D46" w:rsidRDefault="008914EC" w:rsidP="008914EC">
            <w:pPr>
              <w:jc w:val="right"/>
            </w:pPr>
            <w:r w:rsidRPr="00911D46">
              <w:t>1.327</w:t>
            </w:r>
          </w:p>
        </w:tc>
        <w:tc>
          <w:tcPr>
            <w:tcW w:w="0" w:type="auto"/>
            <w:tcBorders>
              <w:right w:val="single" w:sz="4" w:space="0" w:color="auto"/>
            </w:tcBorders>
            <w:shd w:val="clear" w:color="auto" w:fill="auto"/>
            <w:noWrap/>
            <w:vAlign w:val="center"/>
            <w:hideMark/>
          </w:tcPr>
          <w:p w:rsidR="008914EC" w:rsidRPr="00911D46" w:rsidRDefault="008914EC" w:rsidP="008914EC">
            <w:pPr>
              <w:jc w:val="right"/>
            </w:pPr>
            <w:r w:rsidRPr="00911D46">
              <w:t>0.185</w:t>
            </w:r>
          </w:p>
        </w:tc>
      </w:tr>
      <w:tr w:rsidR="008914EC" w:rsidRPr="008914EC" w:rsidTr="006F0851">
        <w:trPr>
          <w:trHeight w:val="300"/>
          <w:jc w:val="center"/>
        </w:trPr>
        <w:tc>
          <w:tcPr>
            <w:tcW w:w="0" w:type="auto"/>
            <w:tcBorders>
              <w:left w:val="single" w:sz="4" w:space="0" w:color="auto"/>
            </w:tcBorders>
            <w:shd w:val="clear" w:color="auto" w:fill="auto"/>
            <w:noWrap/>
            <w:vAlign w:val="center"/>
            <w:hideMark/>
          </w:tcPr>
          <w:p w:rsidR="008914EC" w:rsidRPr="00363089" w:rsidRDefault="008914EC" w:rsidP="008914EC">
            <w:pPr>
              <w:rPr>
                <w:color w:val="000000"/>
              </w:rPr>
            </w:pPr>
            <w:r w:rsidRPr="00363089">
              <w:rPr>
                <w:color w:val="000000"/>
              </w:rPr>
              <w:t>LM</w:t>
            </w:r>
            <w:r>
              <w:rPr>
                <w:color w:val="000000"/>
              </w:rPr>
              <w:t xml:space="preserve"> – Právní</w:t>
            </w:r>
          </w:p>
        </w:tc>
        <w:tc>
          <w:tcPr>
            <w:tcW w:w="0" w:type="auto"/>
            <w:shd w:val="clear" w:color="auto" w:fill="auto"/>
            <w:noWrap/>
            <w:vAlign w:val="center"/>
            <w:hideMark/>
          </w:tcPr>
          <w:p w:rsidR="008914EC" w:rsidRPr="00911D46" w:rsidRDefault="008914EC" w:rsidP="008914EC">
            <w:pPr>
              <w:jc w:val="right"/>
              <w:rPr>
                <w:i/>
              </w:rPr>
            </w:pPr>
            <w:r w:rsidRPr="00911D46">
              <w:rPr>
                <w:i/>
              </w:rPr>
              <w:t>-3.735</w:t>
            </w:r>
          </w:p>
        </w:tc>
        <w:tc>
          <w:tcPr>
            <w:tcW w:w="0" w:type="auto"/>
            <w:shd w:val="clear" w:color="auto" w:fill="auto"/>
            <w:noWrap/>
            <w:vAlign w:val="center"/>
            <w:hideMark/>
          </w:tcPr>
          <w:p w:rsidR="008914EC" w:rsidRPr="00911D46" w:rsidRDefault="008914EC" w:rsidP="008914EC">
            <w:pPr>
              <w:jc w:val="right"/>
            </w:pPr>
            <w:r w:rsidRPr="00911D46">
              <w:t>0.000</w:t>
            </w:r>
          </w:p>
        </w:tc>
        <w:tc>
          <w:tcPr>
            <w:tcW w:w="0" w:type="auto"/>
            <w:shd w:val="clear" w:color="auto" w:fill="auto"/>
            <w:noWrap/>
            <w:vAlign w:val="center"/>
            <w:hideMark/>
          </w:tcPr>
          <w:p w:rsidR="008914EC" w:rsidRPr="00911D46" w:rsidRDefault="008914EC" w:rsidP="008914EC">
            <w:pPr>
              <w:jc w:val="right"/>
              <w:rPr>
                <w:i/>
              </w:rPr>
            </w:pPr>
            <w:r w:rsidRPr="00911D46">
              <w:rPr>
                <w:i/>
              </w:rPr>
              <w:t>3.112</w:t>
            </w:r>
          </w:p>
        </w:tc>
        <w:tc>
          <w:tcPr>
            <w:tcW w:w="0" w:type="auto"/>
            <w:shd w:val="clear" w:color="auto" w:fill="auto"/>
            <w:noWrap/>
            <w:vAlign w:val="center"/>
            <w:hideMark/>
          </w:tcPr>
          <w:p w:rsidR="008914EC" w:rsidRPr="00911D46" w:rsidRDefault="008914EC" w:rsidP="008914EC">
            <w:pPr>
              <w:jc w:val="right"/>
            </w:pPr>
            <w:r w:rsidRPr="00911D46">
              <w:t>0.002</w:t>
            </w:r>
          </w:p>
        </w:tc>
        <w:tc>
          <w:tcPr>
            <w:tcW w:w="0" w:type="auto"/>
            <w:shd w:val="clear" w:color="auto" w:fill="auto"/>
            <w:noWrap/>
            <w:vAlign w:val="center"/>
            <w:hideMark/>
          </w:tcPr>
          <w:p w:rsidR="008914EC" w:rsidRPr="00911D46" w:rsidRDefault="008914EC" w:rsidP="008914EC">
            <w:pPr>
              <w:jc w:val="right"/>
              <w:rPr>
                <w:i/>
              </w:rPr>
            </w:pPr>
            <w:r w:rsidRPr="00911D46">
              <w:rPr>
                <w:i/>
              </w:rPr>
              <w:t>-7.240</w:t>
            </w:r>
          </w:p>
        </w:tc>
        <w:tc>
          <w:tcPr>
            <w:tcW w:w="0" w:type="auto"/>
            <w:tcBorders>
              <w:right w:val="single" w:sz="4" w:space="0" w:color="auto"/>
            </w:tcBorders>
            <w:shd w:val="clear" w:color="auto" w:fill="auto"/>
            <w:noWrap/>
            <w:vAlign w:val="center"/>
            <w:hideMark/>
          </w:tcPr>
          <w:p w:rsidR="008914EC" w:rsidRPr="00911D46" w:rsidRDefault="008914EC" w:rsidP="008914EC">
            <w:pPr>
              <w:jc w:val="right"/>
            </w:pPr>
            <w:r w:rsidRPr="00911D46">
              <w:t>0.000</w:t>
            </w:r>
          </w:p>
        </w:tc>
      </w:tr>
      <w:tr w:rsidR="008914EC" w:rsidRPr="008914EC" w:rsidTr="006F0851">
        <w:trPr>
          <w:trHeight w:val="300"/>
          <w:jc w:val="center"/>
        </w:trPr>
        <w:tc>
          <w:tcPr>
            <w:tcW w:w="0" w:type="auto"/>
            <w:tcBorders>
              <w:left w:val="single" w:sz="4" w:space="0" w:color="auto"/>
              <w:bottom w:val="nil"/>
            </w:tcBorders>
            <w:shd w:val="clear" w:color="auto" w:fill="auto"/>
            <w:noWrap/>
            <w:vAlign w:val="center"/>
            <w:hideMark/>
          </w:tcPr>
          <w:p w:rsidR="008914EC" w:rsidRPr="00363089" w:rsidRDefault="008914EC" w:rsidP="008914EC">
            <w:pPr>
              <w:rPr>
                <w:color w:val="000000"/>
              </w:rPr>
            </w:pPr>
            <w:r w:rsidRPr="00363089">
              <w:rPr>
                <w:color w:val="000000"/>
              </w:rPr>
              <w:t>LM</w:t>
            </w:r>
            <w:r>
              <w:rPr>
                <w:color w:val="000000"/>
              </w:rPr>
              <w:t xml:space="preserve"> – </w:t>
            </w:r>
            <w:r w:rsidRPr="00363089">
              <w:rPr>
                <w:color w:val="000000"/>
              </w:rPr>
              <w:t>Mod</w:t>
            </w:r>
            <w:r>
              <w:rPr>
                <w:color w:val="000000"/>
              </w:rPr>
              <w:t>ální</w:t>
            </w:r>
          </w:p>
        </w:tc>
        <w:tc>
          <w:tcPr>
            <w:tcW w:w="0" w:type="auto"/>
            <w:tcBorders>
              <w:bottom w:val="nil"/>
            </w:tcBorders>
            <w:shd w:val="clear" w:color="auto" w:fill="auto"/>
            <w:noWrap/>
            <w:vAlign w:val="center"/>
            <w:hideMark/>
          </w:tcPr>
          <w:p w:rsidR="008914EC" w:rsidRPr="00911D46" w:rsidRDefault="008914EC" w:rsidP="008914EC">
            <w:pPr>
              <w:jc w:val="right"/>
              <w:rPr>
                <w:i/>
              </w:rPr>
            </w:pPr>
            <w:r w:rsidRPr="00911D46">
              <w:rPr>
                <w:i/>
              </w:rPr>
              <w:t>-2.438</w:t>
            </w:r>
          </w:p>
        </w:tc>
        <w:tc>
          <w:tcPr>
            <w:tcW w:w="0" w:type="auto"/>
            <w:tcBorders>
              <w:bottom w:val="nil"/>
            </w:tcBorders>
            <w:shd w:val="clear" w:color="auto" w:fill="auto"/>
            <w:noWrap/>
            <w:vAlign w:val="center"/>
            <w:hideMark/>
          </w:tcPr>
          <w:p w:rsidR="008914EC" w:rsidRPr="00911D46" w:rsidRDefault="008914EC" w:rsidP="008914EC">
            <w:pPr>
              <w:jc w:val="right"/>
            </w:pPr>
            <w:r w:rsidRPr="00911D46">
              <w:t>0.015</w:t>
            </w:r>
          </w:p>
        </w:tc>
        <w:tc>
          <w:tcPr>
            <w:tcW w:w="0" w:type="auto"/>
            <w:tcBorders>
              <w:bottom w:val="nil"/>
            </w:tcBorders>
            <w:shd w:val="clear" w:color="auto" w:fill="auto"/>
            <w:noWrap/>
            <w:vAlign w:val="center"/>
            <w:hideMark/>
          </w:tcPr>
          <w:p w:rsidR="008914EC" w:rsidRPr="00911D46" w:rsidRDefault="008914EC" w:rsidP="008914EC">
            <w:pPr>
              <w:jc w:val="right"/>
            </w:pPr>
            <w:r w:rsidRPr="00911D46">
              <w:t>0.937</w:t>
            </w:r>
          </w:p>
        </w:tc>
        <w:tc>
          <w:tcPr>
            <w:tcW w:w="0" w:type="auto"/>
            <w:tcBorders>
              <w:bottom w:val="nil"/>
            </w:tcBorders>
            <w:shd w:val="clear" w:color="auto" w:fill="auto"/>
            <w:noWrap/>
            <w:vAlign w:val="center"/>
            <w:hideMark/>
          </w:tcPr>
          <w:p w:rsidR="008914EC" w:rsidRPr="00911D46" w:rsidRDefault="008914EC" w:rsidP="008914EC">
            <w:pPr>
              <w:jc w:val="right"/>
            </w:pPr>
            <w:r w:rsidRPr="00911D46">
              <w:t>0.349</w:t>
            </w:r>
          </w:p>
        </w:tc>
        <w:tc>
          <w:tcPr>
            <w:tcW w:w="0" w:type="auto"/>
            <w:tcBorders>
              <w:bottom w:val="nil"/>
            </w:tcBorders>
            <w:shd w:val="clear" w:color="auto" w:fill="auto"/>
            <w:noWrap/>
            <w:vAlign w:val="center"/>
            <w:hideMark/>
          </w:tcPr>
          <w:p w:rsidR="008914EC" w:rsidRPr="00911D46" w:rsidRDefault="008914EC" w:rsidP="008914EC">
            <w:pPr>
              <w:jc w:val="right"/>
              <w:rPr>
                <w:i/>
              </w:rPr>
            </w:pPr>
            <w:r w:rsidRPr="00911D46">
              <w:rPr>
                <w:i/>
              </w:rPr>
              <w:t>-4.090</w:t>
            </w:r>
          </w:p>
        </w:tc>
        <w:tc>
          <w:tcPr>
            <w:tcW w:w="0" w:type="auto"/>
            <w:tcBorders>
              <w:bottom w:val="nil"/>
              <w:right w:val="single" w:sz="4" w:space="0" w:color="auto"/>
            </w:tcBorders>
            <w:shd w:val="clear" w:color="auto" w:fill="auto"/>
            <w:noWrap/>
            <w:vAlign w:val="center"/>
            <w:hideMark/>
          </w:tcPr>
          <w:p w:rsidR="008914EC" w:rsidRPr="00911D46" w:rsidRDefault="008914EC" w:rsidP="008914EC">
            <w:pPr>
              <w:jc w:val="right"/>
            </w:pPr>
            <w:r w:rsidRPr="00911D46">
              <w:t>0.000</w:t>
            </w:r>
          </w:p>
        </w:tc>
      </w:tr>
      <w:tr w:rsidR="008914EC" w:rsidRPr="008914EC" w:rsidTr="006F0851">
        <w:trPr>
          <w:trHeight w:val="300"/>
          <w:jc w:val="center"/>
        </w:trPr>
        <w:tc>
          <w:tcPr>
            <w:tcW w:w="0" w:type="auto"/>
            <w:tcBorders>
              <w:top w:val="nil"/>
              <w:left w:val="single" w:sz="4" w:space="0" w:color="auto"/>
              <w:bottom w:val="single" w:sz="4" w:space="0" w:color="auto"/>
            </w:tcBorders>
            <w:shd w:val="clear" w:color="auto" w:fill="auto"/>
            <w:noWrap/>
            <w:vAlign w:val="center"/>
            <w:hideMark/>
          </w:tcPr>
          <w:p w:rsidR="008914EC" w:rsidRPr="00363089" w:rsidRDefault="008914EC" w:rsidP="008914EC">
            <w:pPr>
              <w:rPr>
                <w:color w:val="000000"/>
              </w:rPr>
            </w:pPr>
            <w:r w:rsidRPr="00363089">
              <w:rPr>
                <w:color w:val="000000"/>
              </w:rPr>
              <w:t>LM</w:t>
            </w:r>
            <w:r>
              <w:rPr>
                <w:color w:val="000000"/>
              </w:rPr>
              <w:t xml:space="preserve"> – Čistě pozitivní</w:t>
            </w:r>
          </w:p>
        </w:tc>
        <w:tc>
          <w:tcPr>
            <w:tcW w:w="0" w:type="auto"/>
            <w:tcBorders>
              <w:top w:val="nil"/>
              <w:bottom w:val="single" w:sz="4" w:space="0" w:color="auto"/>
            </w:tcBorders>
            <w:shd w:val="clear" w:color="auto" w:fill="auto"/>
            <w:noWrap/>
            <w:vAlign w:val="center"/>
            <w:hideMark/>
          </w:tcPr>
          <w:p w:rsidR="008914EC" w:rsidRPr="00911D46" w:rsidRDefault="008914EC" w:rsidP="008914EC">
            <w:pPr>
              <w:jc w:val="right"/>
              <w:rPr>
                <w:i/>
              </w:rPr>
            </w:pPr>
            <w:r w:rsidRPr="00911D46">
              <w:rPr>
                <w:i/>
              </w:rPr>
              <w:t>7.205</w:t>
            </w:r>
          </w:p>
        </w:tc>
        <w:tc>
          <w:tcPr>
            <w:tcW w:w="0" w:type="auto"/>
            <w:tcBorders>
              <w:top w:val="nil"/>
              <w:bottom w:val="single" w:sz="4" w:space="0" w:color="auto"/>
            </w:tcBorders>
            <w:shd w:val="clear" w:color="auto" w:fill="auto"/>
            <w:noWrap/>
            <w:vAlign w:val="center"/>
            <w:hideMark/>
          </w:tcPr>
          <w:p w:rsidR="008914EC" w:rsidRPr="00911D46" w:rsidRDefault="008914EC" w:rsidP="008914EC">
            <w:pPr>
              <w:jc w:val="right"/>
            </w:pPr>
            <w:r w:rsidRPr="00911D46">
              <w:t>0.000</w:t>
            </w:r>
          </w:p>
        </w:tc>
        <w:tc>
          <w:tcPr>
            <w:tcW w:w="0" w:type="auto"/>
            <w:tcBorders>
              <w:top w:val="nil"/>
              <w:bottom w:val="single" w:sz="4" w:space="0" w:color="auto"/>
            </w:tcBorders>
            <w:shd w:val="clear" w:color="auto" w:fill="auto"/>
            <w:noWrap/>
            <w:vAlign w:val="center"/>
            <w:hideMark/>
          </w:tcPr>
          <w:p w:rsidR="008914EC" w:rsidRPr="00911D46" w:rsidRDefault="008914EC" w:rsidP="008914EC">
            <w:pPr>
              <w:jc w:val="right"/>
            </w:pPr>
            <w:r w:rsidRPr="00911D46">
              <w:t>-0.737</w:t>
            </w:r>
          </w:p>
        </w:tc>
        <w:tc>
          <w:tcPr>
            <w:tcW w:w="0" w:type="auto"/>
            <w:tcBorders>
              <w:top w:val="nil"/>
              <w:bottom w:val="single" w:sz="4" w:space="0" w:color="auto"/>
            </w:tcBorders>
            <w:shd w:val="clear" w:color="auto" w:fill="auto"/>
            <w:noWrap/>
            <w:vAlign w:val="center"/>
            <w:hideMark/>
          </w:tcPr>
          <w:p w:rsidR="008914EC" w:rsidRPr="00911D46" w:rsidRDefault="008914EC" w:rsidP="008914EC">
            <w:pPr>
              <w:jc w:val="right"/>
            </w:pPr>
            <w:r w:rsidRPr="00911D46">
              <w:t>0.461</w:t>
            </w:r>
          </w:p>
        </w:tc>
        <w:tc>
          <w:tcPr>
            <w:tcW w:w="0" w:type="auto"/>
            <w:tcBorders>
              <w:top w:val="nil"/>
              <w:bottom w:val="single" w:sz="4" w:space="0" w:color="auto"/>
            </w:tcBorders>
            <w:shd w:val="clear" w:color="auto" w:fill="auto"/>
            <w:noWrap/>
            <w:vAlign w:val="center"/>
            <w:hideMark/>
          </w:tcPr>
          <w:p w:rsidR="008914EC" w:rsidRPr="00911D46" w:rsidRDefault="008914EC" w:rsidP="008914EC">
            <w:pPr>
              <w:jc w:val="right"/>
              <w:rPr>
                <w:i/>
              </w:rPr>
            </w:pPr>
            <w:r w:rsidRPr="00911D46">
              <w:rPr>
                <w:i/>
              </w:rPr>
              <w:t>8.274</w:t>
            </w:r>
          </w:p>
        </w:tc>
        <w:tc>
          <w:tcPr>
            <w:tcW w:w="0" w:type="auto"/>
            <w:tcBorders>
              <w:top w:val="nil"/>
              <w:bottom w:val="single" w:sz="4" w:space="0" w:color="auto"/>
              <w:right w:val="single" w:sz="4" w:space="0" w:color="auto"/>
            </w:tcBorders>
            <w:shd w:val="clear" w:color="auto" w:fill="auto"/>
            <w:noWrap/>
            <w:vAlign w:val="center"/>
            <w:hideMark/>
          </w:tcPr>
          <w:p w:rsidR="008914EC" w:rsidRPr="00911D46" w:rsidRDefault="008914EC" w:rsidP="008914EC">
            <w:pPr>
              <w:jc w:val="right"/>
            </w:pPr>
            <w:r w:rsidRPr="00911D46">
              <w:t>0.000</w:t>
            </w:r>
          </w:p>
        </w:tc>
      </w:tr>
      <w:tr w:rsidR="008914EC" w:rsidRPr="008914EC" w:rsidTr="006F0851">
        <w:trPr>
          <w:trHeight w:val="300"/>
          <w:jc w:val="center"/>
        </w:trPr>
        <w:tc>
          <w:tcPr>
            <w:tcW w:w="0" w:type="auto"/>
            <w:tcBorders>
              <w:top w:val="single" w:sz="4" w:space="0" w:color="auto"/>
              <w:left w:val="single" w:sz="4" w:space="0" w:color="auto"/>
            </w:tcBorders>
            <w:shd w:val="clear" w:color="auto" w:fill="auto"/>
            <w:noWrap/>
            <w:vAlign w:val="center"/>
            <w:hideMark/>
          </w:tcPr>
          <w:p w:rsidR="008914EC" w:rsidRPr="00363089" w:rsidRDefault="008914EC" w:rsidP="008914EC">
            <w:pPr>
              <w:rPr>
                <w:color w:val="000000"/>
              </w:rPr>
            </w:pPr>
            <w:r w:rsidRPr="00363089">
              <w:rPr>
                <w:color w:val="000000"/>
              </w:rPr>
              <w:t>DICTION</w:t>
            </w:r>
            <w:r>
              <w:rPr>
                <w:color w:val="000000"/>
              </w:rPr>
              <w:t xml:space="preserve"> – Určitost</w:t>
            </w:r>
          </w:p>
        </w:tc>
        <w:tc>
          <w:tcPr>
            <w:tcW w:w="0" w:type="auto"/>
            <w:tcBorders>
              <w:top w:val="single" w:sz="4" w:space="0" w:color="auto"/>
            </w:tcBorders>
            <w:shd w:val="clear" w:color="auto" w:fill="auto"/>
            <w:noWrap/>
            <w:vAlign w:val="center"/>
            <w:hideMark/>
          </w:tcPr>
          <w:p w:rsidR="008914EC" w:rsidRPr="00911D46" w:rsidRDefault="008914EC" w:rsidP="008914EC">
            <w:pPr>
              <w:jc w:val="right"/>
            </w:pPr>
            <w:r w:rsidRPr="00911D46">
              <w:t>0.031</w:t>
            </w:r>
          </w:p>
        </w:tc>
        <w:tc>
          <w:tcPr>
            <w:tcW w:w="0" w:type="auto"/>
            <w:tcBorders>
              <w:top w:val="single" w:sz="4" w:space="0" w:color="auto"/>
            </w:tcBorders>
            <w:shd w:val="clear" w:color="auto" w:fill="auto"/>
            <w:noWrap/>
            <w:vAlign w:val="center"/>
            <w:hideMark/>
          </w:tcPr>
          <w:p w:rsidR="008914EC" w:rsidRPr="00911D46" w:rsidRDefault="008914EC" w:rsidP="008914EC">
            <w:pPr>
              <w:jc w:val="right"/>
            </w:pPr>
            <w:r w:rsidRPr="00911D46">
              <w:t>0.975</w:t>
            </w:r>
          </w:p>
        </w:tc>
        <w:tc>
          <w:tcPr>
            <w:tcW w:w="0" w:type="auto"/>
            <w:tcBorders>
              <w:top w:val="single" w:sz="4" w:space="0" w:color="auto"/>
            </w:tcBorders>
            <w:shd w:val="clear" w:color="auto" w:fill="auto"/>
            <w:noWrap/>
            <w:vAlign w:val="center"/>
            <w:hideMark/>
          </w:tcPr>
          <w:p w:rsidR="008914EC" w:rsidRPr="00911D46" w:rsidRDefault="008914EC" w:rsidP="008914EC">
            <w:pPr>
              <w:jc w:val="right"/>
              <w:rPr>
                <w:i/>
              </w:rPr>
            </w:pPr>
            <w:r w:rsidRPr="00911D46">
              <w:rPr>
                <w:i/>
              </w:rPr>
              <w:t>2.017</w:t>
            </w:r>
          </w:p>
        </w:tc>
        <w:tc>
          <w:tcPr>
            <w:tcW w:w="0" w:type="auto"/>
            <w:tcBorders>
              <w:top w:val="single" w:sz="4" w:space="0" w:color="auto"/>
            </w:tcBorders>
            <w:shd w:val="clear" w:color="auto" w:fill="auto"/>
            <w:noWrap/>
            <w:vAlign w:val="center"/>
            <w:hideMark/>
          </w:tcPr>
          <w:p w:rsidR="008914EC" w:rsidRPr="00911D46" w:rsidRDefault="008914EC" w:rsidP="008914EC">
            <w:pPr>
              <w:jc w:val="right"/>
            </w:pPr>
            <w:r w:rsidRPr="00911D46">
              <w:t>0.044</w:t>
            </w:r>
          </w:p>
        </w:tc>
        <w:tc>
          <w:tcPr>
            <w:tcW w:w="0" w:type="auto"/>
            <w:tcBorders>
              <w:top w:val="single" w:sz="4" w:space="0" w:color="auto"/>
            </w:tcBorders>
            <w:shd w:val="clear" w:color="auto" w:fill="auto"/>
            <w:noWrap/>
            <w:vAlign w:val="center"/>
            <w:hideMark/>
          </w:tcPr>
          <w:p w:rsidR="008914EC" w:rsidRPr="00911D46" w:rsidRDefault="008914EC" w:rsidP="008914EC">
            <w:pPr>
              <w:jc w:val="right"/>
              <w:rPr>
                <w:i/>
              </w:rPr>
            </w:pPr>
            <w:r w:rsidRPr="00911D46">
              <w:rPr>
                <w:i/>
              </w:rPr>
              <w:t>-2.164</w:t>
            </w:r>
          </w:p>
        </w:tc>
        <w:tc>
          <w:tcPr>
            <w:tcW w:w="0" w:type="auto"/>
            <w:tcBorders>
              <w:top w:val="single" w:sz="4" w:space="0" w:color="auto"/>
              <w:right w:val="single" w:sz="4" w:space="0" w:color="auto"/>
            </w:tcBorders>
            <w:shd w:val="clear" w:color="auto" w:fill="auto"/>
            <w:noWrap/>
            <w:vAlign w:val="center"/>
            <w:hideMark/>
          </w:tcPr>
          <w:p w:rsidR="008914EC" w:rsidRPr="00911D46" w:rsidRDefault="008914EC" w:rsidP="008914EC">
            <w:pPr>
              <w:jc w:val="right"/>
            </w:pPr>
            <w:r w:rsidRPr="00911D46">
              <w:t>0.031</w:t>
            </w:r>
          </w:p>
        </w:tc>
      </w:tr>
      <w:tr w:rsidR="008914EC" w:rsidRPr="008914EC" w:rsidTr="006F0851">
        <w:trPr>
          <w:trHeight w:val="300"/>
          <w:jc w:val="center"/>
        </w:trPr>
        <w:tc>
          <w:tcPr>
            <w:tcW w:w="0" w:type="auto"/>
            <w:tcBorders>
              <w:left w:val="single" w:sz="4" w:space="0" w:color="auto"/>
            </w:tcBorders>
            <w:shd w:val="clear" w:color="auto" w:fill="auto"/>
            <w:noWrap/>
            <w:vAlign w:val="center"/>
            <w:hideMark/>
          </w:tcPr>
          <w:p w:rsidR="008914EC" w:rsidRPr="00363089" w:rsidRDefault="008914EC" w:rsidP="008914EC">
            <w:pPr>
              <w:rPr>
                <w:color w:val="000000"/>
              </w:rPr>
            </w:pPr>
            <w:r w:rsidRPr="00363089">
              <w:rPr>
                <w:color w:val="000000"/>
              </w:rPr>
              <w:t>DICTION</w:t>
            </w:r>
            <w:r>
              <w:rPr>
                <w:color w:val="000000"/>
              </w:rPr>
              <w:t xml:space="preserve"> – </w:t>
            </w:r>
            <w:r w:rsidRPr="00363089">
              <w:rPr>
                <w:color w:val="000000"/>
              </w:rPr>
              <w:t>Optimism</w:t>
            </w:r>
            <w:r>
              <w:rPr>
                <w:color w:val="000000"/>
              </w:rPr>
              <w:t>us</w:t>
            </w:r>
          </w:p>
        </w:tc>
        <w:tc>
          <w:tcPr>
            <w:tcW w:w="0" w:type="auto"/>
            <w:shd w:val="clear" w:color="auto" w:fill="auto"/>
            <w:noWrap/>
            <w:vAlign w:val="center"/>
            <w:hideMark/>
          </w:tcPr>
          <w:p w:rsidR="008914EC" w:rsidRPr="00911D46" w:rsidRDefault="008914EC" w:rsidP="008914EC">
            <w:pPr>
              <w:jc w:val="right"/>
              <w:rPr>
                <w:i/>
              </w:rPr>
            </w:pPr>
            <w:r w:rsidRPr="00911D46">
              <w:rPr>
                <w:i/>
              </w:rPr>
              <w:t>4.488</w:t>
            </w:r>
          </w:p>
        </w:tc>
        <w:tc>
          <w:tcPr>
            <w:tcW w:w="0" w:type="auto"/>
            <w:shd w:val="clear" w:color="auto" w:fill="auto"/>
            <w:noWrap/>
            <w:vAlign w:val="center"/>
            <w:hideMark/>
          </w:tcPr>
          <w:p w:rsidR="008914EC" w:rsidRPr="00911D46" w:rsidRDefault="008914EC" w:rsidP="008914EC">
            <w:pPr>
              <w:jc w:val="right"/>
            </w:pPr>
            <w:r w:rsidRPr="00911D46">
              <w:t>0.000</w:t>
            </w:r>
          </w:p>
        </w:tc>
        <w:tc>
          <w:tcPr>
            <w:tcW w:w="0" w:type="auto"/>
            <w:shd w:val="clear" w:color="auto" w:fill="auto"/>
            <w:noWrap/>
            <w:vAlign w:val="center"/>
            <w:hideMark/>
          </w:tcPr>
          <w:p w:rsidR="008914EC" w:rsidRPr="00911D46" w:rsidRDefault="008914EC" w:rsidP="008914EC">
            <w:pPr>
              <w:jc w:val="right"/>
              <w:rPr>
                <w:i/>
              </w:rPr>
            </w:pPr>
            <w:r w:rsidRPr="00911D46">
              <w:rPr>
                <w:i/>
              </w:rPr>
              <w:t>3.603</w:t>
            </w:r>
          </w:p>
        </w:tc>
        <w:tc>
          <w:tcPr>
            <w:tcW w:w="0" w:type="auto"/>
            <w:shd w:val="clear" w:color="auto" w:fill="auto"/>
            <w:noWrap/>
            <w:vAlign w:val="center"/>
            <w:hideMark/>
          </w:tcPr>
          <w:p w:rsidR="008914EC" w:rsidRPr="00911D46" w:rsidRDefault="008914EC" w:rsidP="008914EC">
            <w:pPr>
              <w:jc w:val="right"/>
            </w:pPr>
            <w:r w:rsidRPr="00911D46">
              <w:t>0.000</w:t>
            </w:r>
          </w:p>
        </w:tc>
        <w:tc>
          <w:tcPr>
            <w:tcW w:w="0" w:type="auto"/>
            <w:shd w:val="clear" w:color="auto" w:fill="auto"/>
            <w:noWrap/>
            <w:vAlign w:val="center"/>
            <w:hideMark/>
          </w:tcPr>
          <w:p w:rsidR="008914EC" w:rsidRPr="00911D46" w:rsidRDefault="008914EC" w:rsidP="008914EC">
            <w:pPr>
              <w:jc w:val="right"/>
            </w:pPr>
            <w:r w:rsidRPr="00911D46">
              <w:t>0.514</w:t>
            </w:r>
          </w:p>
        </w:tc>
        <w:tc>
          <w:tcPr>
            <w:tcW w:w="0" w:type="auto"/>
            <w:tcBorders>
              <w:right w:val="single" w:sz="4" w:space="0" w:color="auto"/>
            </w:tcBorders>
            <w:shd w:val="clear" w:color="auto" w:fill="auto"/>
            <w:noWrap/>
            <w:vAlign w:val="center"/>
            <w:hideMark/>
          </w:tcPr>
          <w:p w:rsidR="008914EC" w:rsidRPr="00911D46" w:rsidRDefault="008914EC" w:rsidP="008914EC">
            <w:pPr>
              <w:jc w:val="right"/>
            </w:pPr>
            <w:r w:rsidRPr="00911D46">
              <w:t>0.608</w:t>
            </w:r>
          </w:p>
        </w:tc>
      </w:tr>
      <w:tr w:rsidR="008914EC" w:rsidRPr="008914EC" w:rsidTr="006F0851">
        <w:trPr>
          <w:trHeight w:val="300"/>
          <w:jc w:val="center"/>
        </w:trPr>
        <w:tc>
          <w:tcPr>
            <w:tcW w:w="0" w:type="auto"/>
            <w:tcBorders>
              <w:left w:val="single" w:sz="4" w:space="0" w:color="auto"/>
            </w:tcBorders>
            <w:shd w:val="clear" w:color="auto" w:fill="auto"/>
            <w:noWrap/>
            <w:vAlign w:val="center"/>
            <w:hideMark/>
          </w:tcPr>
          <w:p w:rsidR="008914EC" w:rsidRPr="00363089" w:rsidRDefault="008914EC" w:rsidP="008914EC">
            <w:pPr>
              <w:rPr>
                <w:color w:val="000000"/>
              </w:rPr>
            </w:pPr>
            <w:r w:rsidRPr="00363089">
              <w:rPr>
                <w:color w:val="000000"/>
              </w:rPr>
              <w:t>DICTION</w:t>
            </w:r>
            <w:r>
              <w:rPr>
                <w:color w:val="000000"/>
              </w:rPr>
              <w:t xml:space="preserve"> – </w:t>
            </w:r>
            <w:r w:rsidRPr="00363089">
              <w:rPr>
                <w:color w:val="000000"/>
              </w:rPr>
              <w:t>Realism</w:t>
            </w:r>
            <w:r>
              <w:rPr>
                <w:color w:val="000000"/>
              </w:rPr>
              <w:t xml:space="preserve">us </w:t>
            </w:r>
          </w:p>
        </w:tc>
        <w:tc>
          <w:tcPr>
            <w:tcW w:w="0" w:type="auto"/>
            <w:shd w:val="clear" w:color="auto" w:fill="auto"/>
            <w:noWrap/>
            <w:vAlign w:val="center"/>
            <w:hideMark/>
          </w:tcPr>
          <w:p w:rsidR="008914EC" w:rsidRPr="00911D46" w:rsidRDefault="008914EC" w:rsidP="008914EC">
            <w:pPr>
              <w:jc w:val="right"/>
              <w:rPr>
                <w:i/>
              </w:rPr>
            </w:pPr>
            <w:r w:rsidRPr="00911D46">
              <w:rPr>
                <w:i/>
              </w:rPr>
              <w:t>-4.317</w:t>
            </w:r>
          </w:p>
        </w:tc>
        <w:tc>
          <w:tcPr>
            <w:tcW w:w="0" w:type="auto"/>
            <w:shd w:val="clear" w:color="auto" w:fill="auto"/>
            <w:noWrap/>
            <w:vAlign w:val="center"/>
            <w:hideMark/>
          </w:tcPr>
          <w:p w:rsidR="008914EC" w:rsidRPr="00911D46" w:rsidRDefault="008914EC" w:rsidP="008914EC">
            <w:pPr>
              <w:jc w:val="right"/>
            </w:pPr>
            <w:r w:rsidRPr="00911D46">
              <w:t>0.000</w:t>
            </w:r>
          </w:p>
        </w:tc>
        <w:tc>
          <w:tcPr>
            <w:tcW w:w="0" w:type="auto"/>
            <w:shd w:val="clear" w:color="auto" w:fill="auto"/>
            <w:noWrap/>
            <w:vAlign w:val="center"/>
            <w:hideMark/>
          </w:tcPr>
          <w:p w:rsidR="008914EC" w:rsidRPr="00911D46" w:rsidRDefault="008914EC" w:rsidP="008914EC">
            <w:pPr>
              <w:jc w:val="right"/>
            </w:pPr>
            <w:r w:rsidRPr="00911D46">
              <w:t>-0.103</w:t>
            </w:r>
          </w:p>
        </w:tc>
        <w:tc>
          <w:tcPr>
            <w:tcW w:w="0" w:type="auto"/>
            <w:shd w:val="clear" w:color="auto" w:fill="auto"/>
            <w:noWrap/>
            <w:vAlign w:val="center"/>
            <w:hideMark/>
          </w:tcPr>
          <w:p w:rsidR="008914EC" w:rsidRPr="00911D46" w:rsidRDefault="008914EC" w:rsidP="008914EC">
            <w:pPr>
              <w:jc w:val="right"/>
            </w:pPr>
            <w:r w:rsidRPr="00911D46">
              <w:t>0.918</w:t>
            </w:r>
          </w:p>
        </w:tc>
        <w:tc>
          <w:tcPr>
            <w:tcW w:w="0" w:type="auto"/>
            <w:shd w:val="clear" w:color="auto" w:fill="auto"/>
            <w:noWrap/>
            <w:vAlign w:val="center"/>
            <w:hideMark/>
          </w:tcPr>
          <w:p w:rsidR="008914EC" w:rsidRPr="00911D46" w:rsidRDefault="008914EC" w:rsidP="008914EC">
            <w:pPr>
              <w:jc w:val="right"/>
              <w:rPr>
                <w:i/>
              </w:rPr>
            </w:pPr>
            <w:r w:rsidRPr="00911D46">
              <w:rPr>
                <w:i/>
              </w:rPr>
              <w:t>-4.028</w:t>
            </w:r>
          </w:p>
        </w:tc>
        <w:tc>
          <w:tcPr>
            <w:tcW w:w="0" w:type="auto"/>
            <w:tcBorders>
              <w:right w:val="single" w:sz="4" w:space="0" w:color="auto"/>
            </w:tcBorders>
            <w:shd w:val="clear" w:color="auto" w:fill="auto"/>
            <w:noWrap/>
            <w:vAlign w:val="center"/>
            <w:hideMark/>
          </w:tcPr>
          <w:p w:rsidR="008914EC" w:rsidRPr="00911D46" w:rsidRDefault="008914EC" w:rsidP="008914EC">
            <w:pPr>
              <w:jc w:val="right"/>
            </w:pPr>
            <w:r w:rsidRPr="00911D46">
              <w:t>0.000</w:t>
            </w:r>
          </w:p>
        </w:tc>
      </w:tr>
      <w:tr w:rsidR="008914EC" w:rsidRPr="008914EC" w:rsidTr="006F0851">
        <w:trPr>
          <w:trHeight w:val="300"/>
          <w:jc w:val="center"/>
        </w:trPr>
        <w:tc>
          <w:tcPr>
            <w:tcW w:w="0" w:type="auto"/>
            <w:tcBorders>
              <w:left w:val="single" w:sz="4" w:space="0" w:color="auto"/>
            </w:tcBorders>
            <w:shd w:val="clear" w:color="auto" w:fill="auto"/>
            <w:noWrap/>
            <w:vAlign w:val="center"/>
            <w:hideMark/>
          </w:tcPr>
          <w:p w:rsidR="008914EC" w:rsidRPr="00363089" w:rsidRDefault="008914EC" w:rsidP="008914EC">
            <w:pPr>
              <w:rPr>
                <w:color w:val="000000"/>
              </w:rPr>
            </w:pPr>
            <w:r w:rsidRPr="00363089">
              <w:rPr>
                <w:color w:val="000000"/>
              </w:rPr>
              <w:t>DICTION</w:t>
            </w:r>
            <w:r>
              <w:rPr>
                <w:color w:val="000000"/>
              </w:rPr>
              <w:t xml:space="preserve"> – Aktivita </w:t>
            </w:r>
          </w:p>
        </w:tc>
        <w:tc>
          <w:tcPr>
            <w:tcW w:w="0" w:type="auto"/>
            <w:shd w:val="clear" w:color="auto" w:fill="auto"/>
            <w:noWrap/>
            <w:vAlign w:val="center"/>
            <w:hideMark/>
          </w:tcPr>
          <w:p w:rsidR="008914EC" w:rsidRPr="00911D46" w:rsidRDefault="008914EC" w:rsidP="008914EC">
            <w:pPr>
              <w:jc w:val="right"/>
            </w:pPr>
            <w:r w:rsidRPr="00911D46">
              <w:t>1.408</w:t>
            </w:r>
          </w:p>
        </w:tc>
        <w:tc>
          <w:tcPr>
            <w:tcW w:w="0" w:type="auto"/>
            <w:shd w:val="clear" w:color="auto" w:fill="auto"/>
            <w:noWrap/>
            <w:vAlign w:val="center"/>
            <w:hideMark/>
          </w:tcPr>
          <w:p w:rsidR="008914EC" w:rsidRPr="00911D46" w:rsidRDefault="008914EC" w:rsidP="008914EC">
            <w:pPr>
              <w:jc w:val="right"/>
            </w:pPr>
            <w:r w:rsidRPr="00911D46">
              <w:t>0.159</w:t>
            </w:r>
          </w:p>
        </w:tc>
        <w:tc>
          <w:tcPr>
            <w:tcW w:w="0" w:type="auto"/>
            <w:shd w:val="clear" w:color="auto" w:fill="auto"/>
            <w:noWrap/>
            <w:vAlign w:val="center"/>
            <w:hideMark/>
          </w:tcPr>
          <w:p w:rsidR="008914EC" w:rsidRPr="00911D46" w:rsidRDefault="008914EC" w:rsidP="008914EC">
            <w:pPr>
              <w:jc w:val="right"/>
              <w:rPr>
                <w:i/>
              </w:rPr>
            </w:pPr>
            <w:r w:rsidRPr="00911D46">
              <w:rPr>
                <w:i/>
              </w:rPr>
              <w:t>-2.834</w:t>
            </w:r>
          </w:p>
        </w:tc>
        <w:tc>
          <w:tcPr>
            <w:tcW w:w="0" w:type="auto"/>
            <w:shd w:val="clear" w:color="auto" w:fill="auto"/>
            <w:noWrap/>
            <w:vAlign w:val="center"/>
            <w:hideMark/>
          </w:tcPr>
          <w:p w:rsidR="008914EC" w:rsidRPr="00911D46" w:rsidRDefault="008914EC" w:rsidP="008914EC">
            <w:pPr>
              <w:jc w:val="right"/>
            </w:pPr>
            <w:r w:rsidRPr="00911D46">
              <w:t>0.005</w:t>
            </w:r>
          </w:p>
        </w:tc>
        <w:tc>
          <w:tcPr>
            <w:tcW w:w="0" w:type="auto"/>
            <w:shd w:val="clear" w:color="auto" w:fill="auto"/>
            <w:noWrap/>
            <w:vAlign w:val="center"/>
            <w:hideMark/>
          </w:tcPr>
          <w:p w:rsidR="008914EC" w:rsidRPr="00911D46" w:rsidRDefault="008914EC" w:rsidP="008914EC">
            <w:pPr>
              <w:jc w:val="right"/>
              <w:rPr>
                <w:i/>
              </w:rPr>
            </w:pPr>
            <w:r w:rsidRPr="00911D46">
              <w:rPr>
                <w:i/>
              </w:rPr>
              <w:t>4.355</w:t>
            </w:r>
          </w:p>
        </w:tc>
        <w:tc>
          <w:tcPr>
            <w:tcW w:w="0" w:type="auto"/>
            <w:tcBorders>
              <w:right w:val="single" w:sz="4" w:space="0" w:color="auto"/>
            </w:tcBorders>
            <w:shd w:val="clear" w:color="auto" w:fill="auto"/>
            <w:noWrap/>
            <w:vAlign w:val="center"/>
            <w:hideMark/>
          </w:tcPr>
          <w:p w:rsidR="008914EC" w:rsidRPr="00911D46" w:rsidRDefault="008914EC" w:rsidP="008914EC">
            <w:pPr>
              <w:jc w:val="right"/>
            </w:pPr>
            <w:r w:rsidRPr="00911D46">
              <w:t>0.000</w:t>
            </w:r>
          </w:p>
        </w:tc>
      </w:tr>
      <w:tr w:rsidR="008914EC" w:rsidRPr="008914EC" w:rsidTr="006F0851">
        <w:trPr>
          <w:trHeight w:val="300"/>
          <w:jc w:val="center"/>
        </w:trPr>
        <w:tc>
          <w:tcPr>
            <w:tcW w:w="0" w:type="auto"/>
            <w:tcBorders>
              <w:left w:val="single" w:sz="4" w:space="0" w:color="auto"/>
              <w:bottom w:val="single" w:sz="4" w:space="0" w:color="auto"/>
            </w:tcBorders>
            <w:shd w:val="clear" w:color="auto" w:fill="auto"/>
            <w:noWrap/>
            <w:vAlign w:val="center"/>
            <w:hideMark/>
          </w:tcPr>
          <w:p w:rsidR="008914EC" w:rsidRPr="00363089" w:rsidRDefault="008914EC" w:rsidP="008914EC">
            <w:pPr>
              <w:rPr>
                <w:color w:val="000000"/>
              </w:rPr>
            </w:pPr>
            <w:r w:rsidRPr="00363089">
              <w:rPr>
                <w:color w:val="000000"/>
              </w:rPr>
              <w:t>DICTION</w:t>
            </w:r>
            <w:r>
              <w:rPr>
                <w:color w:val="000000"/>
              </w:rPr>
              <w:t xml:space="preserve"> – Shodnost</w:t>
            </w:r>
          </w:p>
        </w:tc>
        <w:tc>
          <w:tcPr>
            <w:tcW w:w="0" w:type="auto"/>
            <w:tcBorders>
              <w:bottom w:val="single" w:sz="4" w:space="0" w:color="auto"/>
            </w:tcBorders>
            <w:shd w:val="clear" w:color="auto" w:fill="auto"/>
            <w:noWrap/>
            <w:vAlign w:val="center"/>
            <w:hideMark/>
          </w:tcPr>
          <w:p w:rsidR="008914EC" w:rsidRPr="00911D46" w:rsidRDefault="008914EC" w:rsidP="008914EC">
            <w:pPr>
              <w:jc w:val="right"/>
            </w:pPr>
            <w:r w:rsidRPr="00911D46">
              <w:t>-1.288</w:t>
            </w:r>
          </w:p>
        </w:tc>
        <w:tc>
          <w:tcPr>
            <w:tcW w:w="0" w:type="auto"/>
            <w:tcBorders>
              <w:bottom w:val="single" w:sz="4" w:space="0" w:color="auto"/>
            </w:tcBorders>
            <w:shd w:val="clear" w:color="auto" w:fill="auto"/>
            <w:noWrap/>
            <w:vAlign w:val="center"/>
            <w:hideMark/>
          </w:tcPr>
          <w:p w:rsidR="008914EC" w:rsidRPr="00911D46" w:rsidRDefault="008914EC" w:rsidP="008914EC">
            <w:pPr>
              <w:jc w:val="right"/>
            </w:pPr>
            <w:r w:rsidRPr="00911D46">
              <w:t>0.198</w:t>
            </w:r>
          </w:p>
        </w:tc>
        <w:tc>
          <w:tcPr>
            <w:tcW w:w="0" w:type="auto"/>
            <w:tcBorders>
              <w:bottom w:val="single" w:sz="4" w:space="0" w:color="auto"/>
            </w:tcBorders>
            <w:shd w:val="clear" w:color="auto" w:fill="auto"/>
            <w:noWrap/>
            <w:vAlign w:val="center"/>
            <w:hideMark/>
          </w:tcPr>
          <w:p w:rsidR="008914EC" w:rsidRPr="00911D46" w:rsidRDefault="008914EC" w:rsidP="008914EC">
            <w:pPr>
              <w:jc w:val="right"/>
            </w:pPr>
            <w:r w:rsidRPr="00911D46">
              <w:t>0.033</w:t>
            </w:r>
          </w:p>
        </w:tc>
        <w:tc>
          <w:tcPr>
            <w:tcW w:w="0" w:type="auto"/>
            <w:tcBorders>
              <w:bottom w:val="single" w:sz="4" w:space="0" w:color="auto"/>
            </w:tcBorders>
            <w:shd w:val="clear" w:color="auto" w:fill="auto"/>
            <w:noWrap/>
            <w:vAlign w:val="center"/>
            <w:hideMark/>
          </w:tcPr>
          <w:p w:rsidR="008914EC" w:rsidRPr="00911D46" w:rsidRDefault="008914EC" w:rsidP="008914EC">
            <w:pPr>
              <w:jc w:val="right"/>
            </w:pPr>
            <w:r w:rsidRPr="00911D46">
              <w:t>0.974</w:t>
            </w:r>
          </w:p>
        </w:tc>
        <w:tc>
          <w:tcPr>
            <w:tcW w:w="0" w:type="auto"/>
            <w:tcBorders>
              <w:bottom w:val="single" w:sz="4" w:space="0" w:color="auto"/>
            </w:tcBorders>
            <w:shd w:val="clear" w:color="auto" w:fill="auto"/>
            <w:noWrap/>
            <w:vAlign w:val="center"/>
            <w:hideMark/>
          </w:tcPr>
          <w:p w:rsidR="008914EC" w:rsidRPr="00911D46" w:rsidRDefault="008914EC" w:rsidP="008914EC">
            <w:pPr>
              <w:jc w:val="right"/>
            </w:pPr>
            <w:r w:rsidRPr="00911D46">
              <w:t>-1.275</w:t>
            </w:r>
          </w:p>
        </w:tc>
        <w:tc>
          <w:tcPr>
            <w:tcW w:w="0" w:type="auto"/>
            <w:tcBorders>
              <w:bottom w:val="single" w:sz="4" w:space="0" w:color="auto"/>
              <w:right w:val="single" w:sz="4" w:space="0" w:color="auto"/>
            </w:tcBorders>
            <w:shd w:val="clear" w:color="auto" w:fill="auto"/>
            <w:noWrap/>
            <w:vAlign w:val="center"/>
            <w:hideMark/>
          </w:tcPr>
          <w:p w:rsidR="008914EC" w:rsidRPr="00911D46" w:rsidRDefault="008914EC" w:rsidP="008914EC">
            <w:pPr>
              <w:jc w:val="right"/>
            </w:pPr>
            <w:r w:rsidRPr="00911D46">
              <w:t>0.203</w:t>
            </w:r>
          </w:p>
        </w:tc>
      </w:tr>
      <w:tr w:rsidR="008914EC" w:rsidRPr="008914EC" w:rsidTr="006F0851">
        <w:trPr>
          <w:trHeight w:val="300"/>
          <w:jc w:val="center"/>
        </w:trPr>
        <w:tc>
          <w:tcPr>
            <w:tcW w:w="0" w:type="auto"/>
            <w:tcBorders>
              <w:top w:val="single" w:sz="4" w:space="0" w:color="auto"/>
              <w:left w:val="single" w:sz="4" w:space="0" w:color="auto"/>
              <w:bottom w:val="nil"/>
            </w:tcBorders>
            <w:shd w:val="clear" w:color="auto" w:fill="auto"/>
            <w:noWrap/>
            <w:vAlign w:val="center"/>
            <w:hideMark/>
          </w:tcPr>
          <w:p w:rsidR="008914EC" w:rsidRPr="00363089" w:rsidRDefault="008914EC" w:rsidP="008914EC">
            <w:pPr>
              <w:rPr>
                <w:color w:val="000000"/>
              </w:rPr>
            </w:pPr>
            <w:r w:rsidRPr="00363089">
              <w:rPr>
                <w:color w:val="000000"/>
              </w:rPr>
              <w:t>HENRY</w:t>
            </w:r>
            <w:r>
              <w:rPr>
                <w:color w:val="000000"/>
              </w:rPr>
              <w:t xml:space="preserve"> – </w:t>
            </w:r>
            <w:r w:rsidRPr="00363089">
              <w:rPr>
                <w:color w:val="000000"/>
              </w:rPr>
              <w:t>Po</w:t>
            </w:r>
            <w:r>
              <w:rPr>
                <w:color w:val="000000"/>
              </w:rPr>
              <w:t>zi</w:t>
            </w:r>
            <w:r w:rsidRPr="00363089">
              <w:rPr>
                <w:color w:val="000000"/>
              </w:rPr>
              <w:t>tiv</w:t>
            </w:r>
            <w:r>
              <w:rPr>
                <w:color w:val="000000"/>
              </w:rPr>
              <w:t xml:space="preserve">ní </w:t>
            </w:r>
          </w:p>
        </w:tc>
        <w:tc>
          <w:tcPr>
            <w:tcW w:w="0" w:type="auto"/>
            <w:tcBorders>
              <w:top w:val="single" w:sz="4" w:space="0" w:color="auto"/>
              <w:bottom w:val="nil"/>
            </w:tcBorders>
            <w:shd w:val="clear" w:color="auto" w:fill="auto"/>
            <w:noWrap/>
            <w:vAlign w:val="center"/>
            <w:hideMark/>
          </w:tcPr>
          <w:p w:rsidR="008914EC" w:rsidRPr="00911D46" w:rsidRDefault="008914EC" w:rsidP="008914EC">
            <w:pPr>
              <w:jc w:val="right"/>
              <w:rPr>
                <w:i/>
              </w:rPr>
            </w:pPr>
            <w:r w:rsidRPr="00911D46">
              <w:rPr>
                <w:i/>
              </w:rPr>
              <w:t>6.511</w:t>
            </w:r>
          </w:p>
        </w:tc>
        <w:tc>
          <w:tcPr>
            <w:tcW w:w="0" w:type="auto"/>
            <w:tcBorders>
              <w:top w:val="single" w:sz="4" w:space="0" w:color="auto"/>
              <w:bottom w:val="nil"/>
            </w:tcBorders>
            <w:shd w:val="clear" w:color="auto" w:fill="auto"/>
            <w:noWrap/>
            <w:vAlign w:val="center"/>
            <w:hideMark/>
          </w:tcPr>
          <w:p w:rsidR="008914EC" w:rsidRPr="00911D46" w:rsidRDefault="008914EC" w:rsidP="008914EC">
            <w:pPr>
              <w:jc w:val="right"/>
            </w:pPr>
            <w:r w:rsidRPr="00911D46">
              <w:t>0.000</w:t>
            </w:r>
          </w:p>
        </w:tc>
        <w:tc>
          <w:tcPr>
            <w:tcW w:w="0" w:type="auto"/>
            <w:tcBorders>
              <w:top w:val="single" w:sz="4" w:space="0" w:color="auto"/>
              <w:bottom w:val="nil"/>
            </w:tcBorders>
            <w:shd w:val="clear" w:color="auto" w:fill="auto"/>
            <w:noWrap/>
            <w:vAlign w:val="center"/>
            <w:hideMark/>
          </w:tcPr>
          <w:p w:rsidR="008914EC" w:rsidRPr="00911D46" w:rsidRDefault="008914EC" w:rsidP="008914EC">
            <w:pPr>
              <w:jc w:val="right"/>
            </w:pPr>
            <w:r w:rsidRPr="00911D46">
              <w:t>-0.258</w:t>
            </w:r>
          </w:p>
        </w:tc>
        <w:tc>
          <w:tcPr>
            <w:tcW w:w="0" w:type="auto"/>
            <w:tcBorders>
              <w:top w:val="single" w:sz="4" w:space="0" w:color="auto"/>
              <w:bottom w:val="nil"/>
            </w:tcBorders>
            <w:shd w:val="clear" w:color="auto" w:fill="auto"/>
            <w:noWrap/>
            <w:vAlign w:val="center"/>
            <w:hideMark/>
          </w:tcPr>
          <w:p w:rsidR="008914EC" w:rsidRPr="00911D46" w:rsidRDefault="008914EC" w:rsidP="008914EC">
            <w:pPr>
              <w:jc w:val="right"/>
            </w:pPr>
            <w:r w:rsidRPr="00911D46">
              <w:t>0.796</w:t>
            </w:r>
          </w:p>
        </w:tc>
        <w:tc>
          <w:tcPr>
            <w:tcW w:w="0" w:type="auto"/>
            <w:tcBorders>
              <w:top w:val="single" w:sz="4" w:space="0" w:color="auto"/>
              <w:bottom w:val="nil"/>
            </w:tcBorders>
            <w:shd w:val="clear" w:color="auto" w:fill="auto"/>
            <w:noWrap/>
            <w:vAlign w:val="center"/>
            <w:hideMark/>
          </w:tcPr>
          <w:p w:rsidR="008914EC" w:rsidRPr="00911D46" w:rsidRDefault="008914EC" w:rsidP="008914EC">
            <w:pPr>
              <w:jc w:val="right"/>
              <w:rPr>
                <w:i/>
              </w:rPr>
            </w:pPr>
            <w:r w:rsidRPr="00911D46">
              <w:rPr>
                <w:i/>
              </w:rPr>
              <w:t>6.751</w:t>
            </w:r>
          </w:p>
        </w:tc>
        <w:tc>
          <w:tcPr>
            <w:tcW w:w="0" w:type="auto"/>
            <w:tcBorders>
              <w:top w:val="single" w:sz="4" w:space="0" w:color="auto"/>
              <w:bottom w:val="nil"/>
              <w:right w:val="single" w:sz="4" w:space="0" w:color="auto"/>
            </w:tcBorders>
            <w:shd w:val="clear" w:color="auto" w:fill="auto"/>
            <w:noWrap/>
            <w:vAlign w:val="center"/>
            <w:hideMark/>
          </w:tcPr>
          <w:p w:rsidR="008914EC" w:rsidRPr="00911D46" w:rsidRDefault="008914EC" w:rsidP="008914EC">
            <w:pPr>
              <w:jc w:val="right"/>
            </w:pPr>
            <w:r w:rsidRPr="00911D46">
              <w:t>0.000</w:t>
            </w:r>
          </w:p>
        </w:tc>
      </w:tr>
      <w:tr w:rsidR="008914EC" w:rsidRPr="008914EC" w:rsidTr="006F0851">
        <w:trPr>
          <w:trHeight w:val="300"/>
          <w:jc w:val="center"/>
        </w:trPr>
        <w:tc>
          <w:tcPr>
            <w:tcW w:w="0" w:type="auto"/>
            <w:tcBorders>
              <w:top w:val="nil"/>
              <w:left w:val="single" w:sz="4" w:space="0" w:color="auto"/>
              <w:bottom w:val="nil"/>
            </w:tcBorders>
            <w:shd w:val="clear" w:color="auto" w:fill="auto"/>
            <w:noWrap/>
            <w:vAlign w:val="center"/>
            <w:hideMark/>
          </w:tcPr>
          <w:p w:rsidR="008914EC" w:rsidRPr="00363089" w:rsidRDefault="008914EC" w:rsidP="008914EC">
            <w:pPr>
              <w:rPr>
                <w:color w:val="000000"/>
              </w:rPr>
            </w:pPr>
            <w:r w:rsidRPr="00363089">
              <w:rPr>
                <w:color w:val="000000"/>
              </w:rPr>
              <w:t>HENRY</w:t>
            </w:r>
            <w:r>
              <w:rPr>
                <w:color w:val="000000"/>
              </w:rPr>
              <w:t xml:space="preserve"> – </w:t>
            </w:r>
            <w:r w:rsidRPr="00363089">
              <w:rPr>
                <w:color w:val="000000"/>
              </w:rPr>
              <w:t>Negativ</w:t>
            </w:r>
            <w:r>
              <w:rPr>
                <w:color w:val="000000"/>
              </w:rPr>
              <w:t xml:space="preserve">ní </w:t>
            </w:r>
          </w:p>
        </w:tc>
        <w:tc>
          <w:tcPr>
            <w:tcW w:w="0" w:type="auto"/>
            <w:tcBorders>
              <w:top w:val="nil"/>
              <w:bottom w:val="nil"/>
            </w:tcBorders>
            <w:shd w:val="clear" w:color="auto" w:fill="auto"/>
            <w:noWrap/>
            <w:vAlign w:val="center"/>
            <w:hideMark/>
          </w:tcPr>
          <w:p w:rsidR="008914EC" w:rsidRPr="00911D46" w:rsidRDefault="008914EC" w:rsidP="008914EC">
            <w:pPr>
              <w:jc w:val="right"/>
            </w:pPr>
            <w:r w:rsidRPr="00911D46">
              <w:t>-1.283</w:t>
            </w:r>
          </w:p>
        </w:tc>
        <w:tc>
          <w:tcPr>
            <w:tcW w:w="0" w:type="auto"/>
            <w:tcBorders>
              <w:top w:val="nil"/>
              <w:bottom w:val="nil"/>
            </w:tcBorders>
            <w:shd w:val="clear" w:color="auto" w:fill="auto"/>
            <w:noWrap/>
            <w:vAlign w:val="center"/>
            <w:hideMark/>
          </w:tcPr>
          <w:p w:rsidR="008914EC" w:rsidRPr="00911D46" w:rsidRDefault="008914EC" w:rsidP="008914EC">
            <w:pPr>
              <w:jc w:val="right"/>
            </w:pPr>
            <w:r w:rsidRPr="00911D46">
              <w:t>0.200</w:t>
            </w:r>
          </w:p>
        </w:tc>
        <w:tc>
          <w:tcPr>
            <w:tcW w:w="0" w:type="auto"/>
            <w:tcBorders>
              <w:top w:val="nil"/>
              <w:bottom w:val="nil"/>
            </w:tcBorders>
            <w:shd w:val="clear" w:color="auto" w:fill="auto"/>
            <w:noWrap/>
            <w:vAlign w:val="center"/>
            <w:hideMark/>
          </w:tcPr>
          <w:p w:rsidR="008914EC" w:rsidRPr="00911D46" w:rsidRDefault="008914EC" w:rsidP="008914EC">
            <w:pPr>
              <w:jc w:val="right"/>
            </w:pPr>
            <w:r w:rsidRPr="00911D46">
              <w:t>1.547</w:t>
            </w:r>
          </w:p>
        </w:tc>
        <w:tc>
          <w:tcPr>
            <w:tcW w:w="0" w:type="auto"/>
            <w:tcBorders>
              <w:top w:val="nil"/>
              <w:bottom w:val="nil"/>
            </w:tcBorders>
            <w:shd w:val="clear" w:color="auto" w:fill="auto"/>
            <w:noWrap/>
            <w:vAlign w:val="center"/>
            <w:hideMark/>
          </w:tcPr>
          <w:p w:rsidR="008914EC" w:rsidRPr="00911D46" w:rsidRDefault="008914EC" w:rsidP="008914EC">
            <w:pPr>
              <w:jc w:val="right"/>
            </w:pPr>
            <w:r w:rsidRPr="00911D46">
              <w:t>0.122</w:t>
            </w:r>
          </w:p>
        </w:tc>
        <w:tc>
          <w:tcPr>
            <w:tcW w:w="0" w:type="auto"/>
            <w:tcBorders>
              <w:top w:val="nil"/>
              <w:bottom w:val="nil"/>
            </w:tcBorders>
            <w:shd w:val="clear" w:color="auto" w:fill="auto"/>
            <w:noWrap/>
            <w:vAlign w:val="center"/>
            <w:hideMark/>
          </w:tcPr>
          <w:p w:rsidR="008914EC" w:rsidRPr="00911D46" w:rsidRDefault="008914EC" w:rsidP="008914EC">
            <w:pPr>
              <w:jc w:val="right"/>
              <w:rPr>
                <w:i/>
              </w:rPr>
            </w:pPr>
            <w:r w:rsidRPr="00911D46">
              <w:rPr>
                <w:i/>
              </w:rPr>
              <w:t>-2.639</w:t>
            </w:r>
          </w:p>
        </w:tc>
        <w:tc>
          <w:tcPr>
            <w:tcW w:w="0" w:type="auto"/>
            <w:tcBorders>
              <w:top w:val="nil"/>
              <w:bottom w:val="nil"/>
              <w:right w:val="single" w:sz="4" w:space="0" w:color="auto"/>
            </w:tcBorders>
            <w:shd w:val="clear" w:color="auto" w:fill="auto"/>
            <w:noWrap/>
            <w:vAlign w:val="center"/>
            <w:hideMark/>
          </w:tcPr>
          <w:p w:rsidR="008914EC" w:rsidRPr="00911D46" w:rsidRDefault="008914EC" w:rsidP="008914EC">
            <w:pPr>
              <w:jc w:val="right"/>
            </w:pPr>
            <w:r w:rsidRPr="00911D46">
              <w:t>0.008</w:t>
            </w:r>
          </w:p>
        </w:tc>
      </w:tr>
      <w:tr w:rsidR="008914EC" w:rsidRPr="008914EC" w:rsidTr="006F0851">
        <w:trPr>
          <w:trHeight w:val="300"/>
          <w:jc w:val="center"/>
        </w:trPr>
        <w:tc>
          <w:tcPr>
            <w:tcW w:w="0" w:type="auto"/>
            <w:tcBorders>
              <w:top w:val="nil"/>
              <w:left w:val="single" w:sz="4" w:space="0" w:color="auto"/>
              <w:bottom w:val="single" w:sz="4" w:space="0" w:color="auto"/>
            </w:tcBorders>
            <w:shd w:val="clear" w:color="auto" w:fill="auto"/>
            <w:noWrap/>
            <w:vAlign w:val="center"/>
            <w:hideMark/>
          </w:tcPr>
          <w:p w:rsidR="008914EC" w:rsidRPr="00363089" w:rsidRDefault="008914EC" w:rsidP="008914EC">
            <w:pPr>
              <w:rPr>
                <w:color w:val="000000"/>
              </w:rPr>
            </w:pPr>
            <w:r w:rsidRPr="00363089">
              <w:rPr>
                <w:color w:val="000000"/>
              </w:rPr>
              <w:t>HENRY</w:t>
            </w:r>
            <w:r>
              <w:rPr>
                <w:color w:val="000000"/>
              </w:rPr>
              <w:t xml:space="preserve"> – Čistě pozitivní</w:t>
            </w:r>
          </w:p>
        </w:tc>
        <w:tc>
          <w:tcPr>
            <w:tcW w:w="0" w:type="auto"/>
            <w:tcBorders>
              <w:top w:val="nil"/>
              <w:bottom w:val="single" w:sz="4" w:space="0" w:color="auto"/>
            </w:tcBorders>
            <w:shd w:val="clear" w:color="auto" w:fill="auto"/>
            <w:noWrap/>
            <w:vAlign w:val="center"/>
            <w:hideMark/>
          </w:tcPr>
          <w:p w:rsidR="008914EC" w:rsidRPr="00911D46" w:rsidRDefault="008914EC" w:rsidP="008914EC">
            <w:pPr>
              <w:jc w:val="right"/>
              <w:rPr>
                <w:i/>
              </w:rPr>
            </w:pPr>
            <w:r w:rsidRPr="00911D46">
              <w:rPr>
                <w:i/>
              </w:rPr>
              <w:t>5.038</w:t>
            </w:r>
          </w:p>
        </w:tc>
        <w:tc>
          <w:tcPr>
            <w:tcW w:w="0" w:type="auto"/>
            <w:tcBorders>
              <w:top w:val="nil"/>
              <w:bottom w:val="single" w:sz="4" w:space="0" w:color="auto"/>
            </w:tcBorders>
            <w:shd w:val="clear" w:color="auto" w:fill="auto"/>
            <w:noWrap/>
            <w:vAlign w:val="center"/>
            <w:hideMark/>
          </w:tcPr>
          <w:p w:rsidR="008914EC" w:rsidRPr="00911D46" w:rsidRDefault="008914EC" w:rsidP="008914EC">
            <w:pPr>
              <w:jc w:val="right"/>
            </w:pPr>
            <w:r w:rsidRPr="00911D46">
              <w:t>0.000</w:t>
            </w:r>
          </w:p>
        </w:tc>
        <w:tc>
          <w:tcPr>
            <w:tcW w:w="0" w:type="auto"/>
            <w:tcBorders>
              <w:top w:val="nil"/>
              <w:bottom w:val="single" w:sz="4" w:space="0" w:color="auto"/>
            </w:tcBorders>
            <w:shd w:val="clear" w:color="auto" w:fill="auto"/>
            <w:noWrap/>
            <w:vAlign w:val="center"/>
            <w:hideMark/>
          </w:tcPr>
          <w:p w:rsidR="008914EC" w:rsidRPr="00911D46" w:rsidRDefault="008914EC" w:rsidP="008914EC">
            <w:pPr>
              <w:jc w:val="right"/>
            </w:pPr>
            <w:r w:rsidRPr="00911D46">
              <w:t>-1.688</w:t>
            </w:r>
          </w:p>
        </w:tc>
        <w:tc>
          <w:tcPr>
            <w:tcW w:w="0" w:type="auto"/>
            <w:tcBorders>
              <w:top w:val="nil"/>
              <w:bottom w:val="single" w:sz="4" w:space="0" w:color="auto"/>
            </w:tcBorders>
            <w:shd w:val="clear" w:color="auto" w:fill="auto"/>
            <w:noWrap/>
            <w:vAlign w:val="center"/>
            <w:hideMark/>
          </w:tcPr>
          <w:p w:rsidR="008914EC" w:rsidRPr="00911D46" w:rsidRDefault="008914EC" w:rsidP="008914EC">
            <w:pPr>
              <w:jc w:val="right"/>
            </w:pPr>
            <w:r w:rsidRPr="00911D46">
              <w:t>0.092</w:t>
            </w:r>
          </w:p>
        </w:tc>
        <w:tc>
          <w:tcPr>
            <w:tcW w:w="0" w:type="auto"/>
            <w:tcBorders>
              <w:top w:val="nil"/>
              <w:bottom w:val="single" w:sz="4" w:space="0" w:color="auto"/>
            </w:tcBorders>
            <w:shd w:val="clear" w:color="auto" w:fill="auto"/>
            <w:noWrap/>
            <w:vAlign w:val="center"/>
            <w:hideMark/>
          </w:tcPr>
          <w:p w:rsidR="008914EC" w:rsidRPr="00911D46" w:rsidRDefault="008914EC" w:rsidP="008914EC">
            <w:pPr>
              <w:jc w:val="right"/>
              <w:rPr>
                <w:i/>
              </w:rPr>
            </w:pPr>
            <w:r w:rsidRPr="00911D46">
              <w:rPr>
                <w:i/>
              </w:rPr>
              <w:t>6.559</w:t>
            </w:r>
          </w:p>
        </w:tc>
        <w:tc>
          <w:tcPr>
            <w:tcW w:w="0" w:type="auto"/>
            <w:tcBorders>
              <w:top w:val="nil"/>
              <w:bottom w:val="single" w:sz="4" w:space="0" w:color="auto"/>
              <w:right w:val="single" w:sz="4" w:space="0" w:color="auto"/>
            </w:tcBorders>
            <w:shd w:val="clear" w:color="auto" w:fill="auto"/>
            <w:noWrap/>
            <w:vAlign w:val="center"/>
            <w:hideMark/>
          </w:tcPr>
          <w:p w:rsidR="008914EC" w:rsidRPr="00911D46" w:rsidRDefault="008914EC" w:rsidP="008914EC">
            <w:pPr>
              <w:jc w:val="right"/>
            </w:pPr>
            <w:r w:rsidRPr="00911D46">
              <w:t>0.000</w:t>
            </w:r>
          </w:p>
        </w:tc>
      </w:tr>
      <w:tr w:rsidR="008914EC" w:rsidRPr="008914EC" w:rsidTr="006F0851">
        <w:trPr>
          <w:trHeight w:val="300"/>
          <w:jc w:val="center"/>
        </w:trPr>
        <w:tc>
          <w:tcPr>
            <w:tcW w:w="0" w:type="auto"/>
            <w:tcBorders>
              <w:top w:val="single" w:sz="4" w:space="0" w:color="auto"/>
              <w:left w:val="single" w:sz="4" w:space="0" w:color="auto"/>
            </w:tcBorders>
            <w:shd w:val="clear" w:color="auto" w:fill="auto"/>
            <w:noWrap/>
            <w:vAlign w:val="center"/>
            <w:hideMark/>
          </w:tcPr>
          <w:p w:rsidR="008914EC" w:rsidRPr="00363089" w:rsidRDefault="008914EC" w:rsidP="008914EC">
            <w:pPr>
              <w:rPr>
                <w:color w:val="000000"/>
              </w:rPr>
            </w:pPr>
            <w:r w:rsidRPr="00363089">
              <w:rPr>
                <w:color w:val="000000"/>
              </w:rPr>
              <w:t>INVEST</w:t>
            </w:r>
            <w:r>
              <w:rPr>
                <w:color w:val="000000"/>
              </w:rPr>
              <w:t xml:space="preserve"> – </w:t>
            </w:r>
            <w:r w:rsidRPr="00363089">
              <w:rPr>
                <w:color w:val="000000"/>
              </w:rPr>
              <w:t>Po</w:t>
            </w:r>
            <w:r>
              <w:rPr>
                <w:color w:val="000000"/>
              </w:rPr>
              <w:t>zi</w:t>
            </w:r>
            <w:r w:rsidRPr="00363089">
              <w:rPr>
                <w:color w:val="000000"/>
              </w:rPr>
              <w:t>tiv</w:t>
            </w:r>
            <w:r>
              <w:rPr>
                <w:color w:val="000000"/>
              </w:rPr>
              <w:t>ní</w:t>
            </w:r>
          </w:p>
        </w:tc>
        <w:tc>
          <w:tcPr>
            <w:tcW w:w="0" w:type="auto"/>
            <w:tcBorders>
              <w:top w:val="single" w:sz="4" w:space="0" w:color="auto"/>
            </w:tcBorders>
            <w:shd w:val="clear" w:color="auto" w:fill="auto"/>
            <w:noWrap/>
            <w:vAlign w:val="center"/>
            <w:hideMark/>
          </w:tcPr>
          <w:p w:rsidR="008914EC" w:rsidRPr="00911D46" w:rsidRDefault="008914EC" w:rsidP="008914EC">
            <w:pPr>
              <w:jc w:val="right"/>
              <w:rPr>
                <w:i/>
              </w:rPr>
            </w:pPr>
            <w:r w:rsidRPr="00911D46">
              <w:rPr>
                <w:i/>
              </w:rPr>
              <w:t>4.622</w:t>
            </w:r>
          </w:p>
        </w:tc>
        <w:tc>
          <w:tcPr>
            <w:tcW w:w="0" w:type="auto"/>
            <w:tcBorders>
              <w:top w:val="single" w:sz="4" w:space="0" w:color="auto"/>
            </w:tcBorders>
            <w:shd w:val="clear" w:color="auto" w:fill="auto"/>
            <w:noWrap/>
            <w:vAlign w:val="center"/>
            <w:hideMark/>
          </w:tcPr>
          <w:p w:rsidR="008914EC" w:rsidRPr="00911D46" w:rsidRDefault="008914EC" w:rsidP="008914EC">
            <w:pPr>
              <w:jc w:val="right"/>
            </w:pPr>
            <w:r w:rsidRPr="00911D46">
              <w:t>0.000</w:t>
            </w:r>
          </w:p>
        </w:tc>
        <w:tc>
          <w:tcPr>
            <w:tcW w:w="0" w:type="auto"/>
            <w:tcBorders>
              <w:top w:val="single" w:sz="4" w:space="0" w:color="auto"/>
            </w:tcBorders>
            <w:shd w:val="clear" w:color="auto" w:fill="auto"/>
            <w:noWrap/>
            <w:vAlign w:val="center"/>
            <w:hideMark/>
          </w:tcPr>
          <w:p w:rsidR="008914EC" w:rsidRPr="00911D46" w:rsidRDefault="008914EC" w:rsidP="008914EC">
            <w:pPr>
              <w:jc w:val="right"/>
            </w:pPr>
            <w:r w:rsidRPr="00911D46">
              <w:t>0.700</w:t>
            </w:r>
          </w:p>
        </w:tc>
        <w:tc>
          <w:tcPr>
            <w:tcW w:w="0" w:type="auto"/>
            <w:tcBorders>
              <w:top w:val="single" w:sz="4" w:space="0" w:color="auto"/>
            </w:tcBorders>
            <w:shd w:val="clear" w:color="auto" w:fill="auto"/>
            <w:noWrap/>
            <w:vAlign w:val="center"/>
            <w:hideMark/>
          </w:tcPr>
          <w:p w:rsidR="008914EC" w:rsidRPr="00911D46" w:rsidRDefault="008914EC" w:rsidP="008914EC">
            <w:pPr>
              <w:jc w:val="right"/>
            </w:pPr>
            <w:r w:rsidRPr="00911D46">
              <w:t>0.484</w:t>
            </w:r>
          </w:p>
        </w:tc>
        <w:tc>
          <w:tcPr>
            <w:tcW w:w="0" w:type="auto"/>
            <w:tcBorders>
              <w:top w:val="single" w:sz="4" w:space="0" w:color="auto"/>
            </w:tcBorders>
            <w:shd w:val="clear" w:color="auto" w:fill="auto"/>
            <w:noWrap/>
            <w:vAlign w:val="center"/>
            <w:hideMark/>
          </w:tcPr>
          <w:p w:rsidR="008914EC" w:rsidRPr="00911D46" w:rsidRDefault="008914EC" w:rsidP="008914EC">
            <w:pPr>
              <w:jc w:val="right"/>
              <w:rPr>
                <w:i/>
              </w:rPr>
            </w:pPr>
            <w:r w:rsidRPr="00911D46">
              <w:rPr>
                <w:i/>
              </w:rPr>
              <w:t>3.576</w:t>
            </w:r>
          </w:p>
        </w:tc>
        <w:tc>
          <w:tcPr>
            <w:tcW w:w="0" w:type="auto"/>
            <w:tcBorders>
              <w:top w:val="single" w:sz="4" w:space="0" w:color="auto"/>
              <w:right w:val="single" w:sz="4" w:space="0" w:color="auto"/>
            </w:tcBorders>
            <w:shd w:val="clear" w:color="auto" w:fill="auto"/>
            <w:noWrap/>
            <w:vAlign w:val="center"/>
            <w:hideMark/>
          </w:tcPr>
          <w:p w:rsidR="008914EC" w:rsidRPr="00911D46" w:rsidRDefault="008914EC" w:rsidP="008914EC">
            <w:pPr>
              <w:jc w:val="right"/>
            </w:pPr>
            <w:r w:rsidRPr="00911D46">
              <w:t>0.000</w:t>
            </w:r>
          </w:p>
        </w:tc>
      </w:tr>
      <w:tr w:rsidR="008914EC" w:rsidRPr="008914EC" w:rsidTr="006F0851">
        <w:trPr>
          <w:trHeight w:val="300"/>
          <w:jc w:val="center"/>
        </w:trPr>
        <w:tc>
          <w:tcPr>
            <w:tcW w:w="0" w:type="auto"/>
            <w:tcBorders>
              <w:left w:val="single" w:sz="4" w:space="0" w:color="auto"/>
            </w:tcBorders>
            <w:shd w:val="clear" w:color="auto" w:fill="auto"/>
            <w:noWrap/>
            <w:vAlign w:val="center"/>
            <w:hideMark/>
          </w:tcPr>
          <w:p w:rsidR="008914EC" w:rsidRPr="00363089" w:rsidRDefault="008914EC" w:rsidP="008914EC">
            <w:pPr>
              <w:rPr>
                <w:color w:val="000000"/>
              </w:rPr>
            </w:pPr>
            <w:r w:rsidRPr="00363089">
              <w:rPr>
                <w:color w:val="000000"/>
              </w:rPr>
              <w:t>INVEST</w:t>
            </w:r>
            <w:r>
              <w:rPr>
                <w:color w:val="000000"/>
              </w:rPr>
              <w:t xml:space="preserve"> – </w:t>
            </w:r>
            <w:r w:rsidRPr="00363089">
              <w:rPr>
                <w:color w:val="000000"/>
              </w:rPr>
              <w:t>Negativ</w:t>
            </w:r>
            <w:r>
              <w:rPr>
                <w:color w:val="000000"/>
              </w:rPr>
              <w:t>ní</w:t>
            </w:r>
          </w:p>
        </w:tc>
        <w:tc>
          <w:tcPr>
            <w:tcW w:w="0" w:type="auto"/>
            <w:shd w:val="clear" w:color="auto" w:fill="auto"/>
            <w:noWrap/>
            <w:vAlign w:val="center"/>
            <w:hideMark/>
          </w:tcPr>
          <w:p w:rsidR="008914EC" w:rsidRPr="00911D46" w:rsidRDefault="008914EC" w:rsidP="008914EC">
            <w:pPr>
              <w:jc w:val="right"/>
              <w:rPr>
                <w:i/>
              </w:rPr>
            </w:pPr>
            <w:r w:rsidRPr="00911D46">
              <w:rPr>
                <w:i/>
              </w:rPr>
              <w:t>-4.211</w:t>
            </w:r>
          </w:p>
        </w:tc>
        <w:tc>
          <w:tcPr>
            <w:tcW w:w="0" w:type="auto"/>
            <w:shd w:val="clear" w:color="auto" w:fill="auto"/>
            <w:noWrap/>
            <w:vAlign w:val="center"/>
            <w:hideMark/>
          </w:tcPr>
          <w:p w:rsidR="008914EC" w:rsidRPr="00911D46" w:rsidRDefault="008914EC" w:rsidP="008914EC">
            <w:pPr>
              <w:jc w:val="right"/>
            </w:pPr>
            <w:r w:rsidRPr="00911D46">
              <w:t>0.000</w:t>
            </w:r>
          </w:p>
        </w:tc>
        <w:tc>
          <w:tcPr>
            <w:tcW w:w="0" w:type="auto"/>
            <w:shd w:val="clear" w:color="auto" w:fill="auto"/>
            <w:noWrap/>
            <w:vAlign w:val="center"/>
            <w:hideMark/>
          </w:tcPr>
          <w:p w:rsidR="008914EC" w:rsidRPr="00911D46" w:rsidRDefault="008914EC" w:rsidP="008914EC">
            <w:pPr>
              <w:jc w:val="right"/>
              <w:rPr>
                <w:i/>
              </w:rPr>
            </w:pPr>
            <w:r w:rsidRPr="00911D46">
              <w:rPr>
                <w:i/>
              </w:rPr>
              <w:t>2.132</w:t>
            </w:r>
          </w:p>
        </w:tc>
        <w:tc>
          <w:tcPr>
            <w:tcW w:w="0" w:type="auto"/>
            <w:shd w:val="clear" w:color="auto" w:fill="auto"/>
            <w:noWrap/>
            <w:vAlign w:val="center"/>
            <w:hideMark/>
          </w:tcPr>
          <w:p w:rsidR="008914EC" w:rsidRPr="00911D46" w:rsidRDefault="008914EC" w:rsidP="008914EC">
            <w:pPr>
              <w:jc w:val="right"/>
            </w:pPr>
            <w:r w:rsidRPr="00911D46">
              <w:t>0.033</w:t>
            </w:r>
          </w:p>
        </w:tc>
        <w:tc>
          <w:tcPr>
            <w:tcW w:w="0" w:type="auto"/>
            <w:shd w:val="clear" w:color="auto" w:fill="auto"/>
            <w:noWrap/>
            <w:vAlign w:val="center"/>
            <w:hideMark/>
          </w:tcPr>
          <w:p w:rsidR="008914EC" w:rsidRPr="00911D46" w:rsidRDefault="008914EC" w:rsidP="008914EC">
            <w:pPr>
              <w:jc w:val="right"/>
              <w:rPr>
                <w:i/>
              </w:rPr>
            </w:pPr>
            <w:r w:rsidRPr="00911D46">
              <w:rPr>
                <w:i/>
              </w:rPr>
              <w:t>-5.901</w:t>
            </w:r>
          </w:p>
        </w:tc>
        <w:tc>
          <w:tcPr>
            <w:tcW w:w="0" w:type="auto"/>
            <w:tcBorders>
              <w:right w:val="single" w:sz="4" w:space="0" w:color="auto"/>
            </w:tcBorders>
            <w:shd w:val="clear" w:color="auto" w:fill="auto"/>
            <w:noWrap/>
            <w:vAlign w:val="center"/>
            <w:hideMark/>
          </w:tcPr>
          <w:p w:rsidR="008914EC" w:rsidRPr="00911D46" w:rsidRDefault="008914EC" w:rsidP="008914EC">
            <w:pPr>
              <w:jc w:val="right"/>
            </w:pPr>
            <w:r w:rsidRPr="00911D46">
              <w:t>0.000</w:t>
            </w:r>
          </w:p>
        </w:tc>
      </w:tr>
      <w:tr w:rsidR="008914EC" w:rsidRPr="008914EC" w:rsidTr="006F0851">
        <w:trPr>
          <w:trHeight w:val="300"/>
          <w:jc w:val="center"/>
        </w:trPr>
        <w:tc>
          <w:tcPr>
            <w:tcW w:w="0" w:type="auto"/>
            <w:tcBorders>
              <w:left w:val="single" w:sz="4" w:space="0" w:color="auto"/>
              <w:bottom w:val="single" w:sz="4" w:space="0" w:color="auto"/>
            </w:tcBorders>
            <w:shd w:val="clear" w:color="auto" w:fill="auto"/>
            <w:noWrap/>
            <w:vAlign w:val="center"/>
            <w:hideMark/>
          </w:tcPr>
          <w:p w:rsidR="008914EC" w:rsidRPr="00363089" w:rsidRDefault="008914EC" w:rsidP="008914EC">
            <w:pPr>
              <w:rPr>
                <w:color w:val="000000"/>
              </w:rPr>
            </w:pPr>
            <w:r w:rsidRPr="00363089">
              <w:rPr>
                <w:color w:val="000000"/>
              </w:rPr>
              <w:t>INVEST</w:t>
            </w:r>
            <w:r>
              <w:rPr>
                <w:color w:val="000000"/>
              </w:rPr>
              <w:t xml:space="preserve"> – Čistě pozitivní</w:t>
            </w:r>
          </w:p>
        </w:tc>
        <w:tc>
          <w:tcPr>
            <w:tcW w:w="0" w:type="auto"/>
            <w:tcBorders>
              <w:bottom w:val="single" w:sz="4" w:space="0" w:color="auto"/>
            </w:tcBorders>
            <w:shd w:val="clear" w:color="auto" w:fill="auto"/>
            <w:noWrap/>
            <w:vAlign w:val="center"/>
            <w:hideMark/>
          </w:tcPr>
          <w:p w:rsidR="008914EC" w:rsidRPr="00911D46" w:rsidRDefault="008914EC" w:rsidP="008914EC">
            <w:pPr>
              <w:jc w:val="right"/>
              <w:rPr>
                <w:i/>
              </w:rPr>
            </w:pPr>
            <w:r w:rsidRPr="00911D46">
              <w:rPr>
                <w:i/>
              </w:rPr>
              <w:t>6.482</w:t>
            </w:r>
          </w:p>
        </w:tc>
        <w:tc>
          <w:tcPr>
            <w:tcW w:w="0" w:type="auto"/>
            <w:tcBorders>
              <w:bottom w:val="single" w:sz="4" w:space="0" w:color="auto"/>
            </w:tcBorders>
            <w:shd w:val="clear" w:color="auto" w:fill="auto"/>
            <w:noWrap/>
            <w:vAlign w:val="center"/>
            <w:hideMark/>
          </w:tcPr>
          <w:p w:rsidR="008914EC" w:rsidRPr="00911D46" w:rsidRDefault="008914EC" w:rsidP="008914EC">
            <w:pPr>
              <w:jc w:val="right"/>
            </w:pPr>
            <w:r w:rsidRPr="00911D46">
              <w:t>0.000</w:t>
            </w:r>
          </w:p>
        </w:tc>
        <w:tc>
          <w:tcPr>
            <w:tcW w:w="0" w:type="auto"/>
            <w:tcBorders>
              <w:bottom w:val="single" w:sz="4" w:space="0" w:color="auto"/>
            </w:tcBorders>
            <w:shd w:val="clear" w:color="auto" w:fill="auto"/>
            <w:noWrap/>
            <w:vAlign w:val="center"/>
            <w:hideMark/>
          </w:tcPr>
          <w:p w:rsidR="008914EC" w:rsidRPr="00911D46" w:rsidRDefault="008914EC" w:rsidP="008914EC">
            <w:pPr>
              <w:jc w:val="right"/>
            </w:pPr>
            <w:r w:rsidRPr="00911D46">
              <w:t>-1.638</w:t>
            </w:r>
          </w:p>
        </w:tc>
        <w:tc>
          <w:tcPr>
            <w:tcW w:w="0" w:type="auto"/>
            <w:tcBorders>
              <w:bottom w:val="single" w:sz="4" w:space="0" w:color="auto"/>
            </w:tcBorders>
            <w:shd w:val="clear" w:color="auto" w:fill="auto"/>
            <w:noWrap/>
            <w:vAlign w:val="center"/>
            <w:hideMark/>
          </w:tcPr>
          <w:p w:rsidR="008914EC" w:rsidRPr="00911D46" w:rsidRDefault="008914EC" w:rsidP="008914EC">
            <w:pPr>
              <w:jc w:val="right"/>
            </w:pPr>
            <w:r w:rsidRPr="00911D46">
              <w:t>0.102</w:t>
            </w:r>
          </w:p>
        </w:tc>
        <w:tc>
          <w:tcPr>
            <w:tcW w:w="0" w:type="auto"/>
            <w:tcBorders>
              <w:bottom w:val="single" w:sz="4" w:space="0" w:color="auto"/>
            </w:tcBorders>
            <w:shd w:val="clear" w:color="auto" w:fill="auto"/>
            <w:noWrap/>
            <w:vAlign w:val="center"/>
            <w:hideMark/>
          </w:tcPr>
          <w:p w:rsidR="008914EC" w:rsidRPr="00911D46" w:rsidRDefault="008914EC" w:rsidP="008914EC">
            <w:pPr>
              <w:jc w:val="right"/>
              <w:rPr>
                <w:i/>
              </w:rPr>
            </w:pPr>
            <w:r w:rsidRPr="00911D46">
              <w:rPr>
                <w:i/>
              </w:rPr>
              <w:t>7.791</w:t>
            </w:r>
          </w:p>
        </w:tc>
        <w:tc>
          <w:tcPr>
            <w:tcW w:w="0" w:type="auto"/>
            <w:tcBorders>
              <w:bottom w:val="single" w:sz="4" w:space="0" w:color="auto"/>
              <w:right w:val="single" w:sz="4" w:space="0" w:color="auto"/>
            </w:tcBorders>
            <w:shd w:val="clear" w:color="auto" w:fill="auto"/>
            <w:noWrap/>
            <w:vAlign w:val="center"/>
            <w:hideMark/>
          </w:tcPr>
          <w:p w:rsidR="008914EC" w:rsidRPr="00911D46" w:rsidRDefault="008914EC" w:rsidP="008914EC">
            <w:pPr>
              <w:jc w:val="right"/>
            </w:pPr>
            <w:r w:rsidRPr="00911D46">
              <w:t>0.000</w:t>
            </w:r>
          </w:p>
        </w:tc>
      </w:tr>
    </w:tbl>
    <w:p w:rsidR="00C97BF2" w:rsidRDefault="00C97BF2" w:rsidP="00C97BF2">
      <w:pPr>
        <w:pStyle w:val="TableSource"/>
      </w:pPr>
      <w:proofErr w:type="spellStart"/>
      <w:r>
        <w:t>Zdroj</w:t>
      </w:r>
      <w:proofErr w:type="spellEnd"/>
      <w:r>
        <w:t xml:space="preserve">: </w:t>
      </w:r>
      <w:proofErr w:type="spellStart"/>
      <w:r>
        <w:t>vlastní</w:t>
      </w:r>
      <w:proofErr w:type="spellEnd"/>
      <w:r>
        <w:t xml:space="preserve"> </w:t>
      </w:r>
      <w:proofErr w:type="spellStart"/>
      <w:r>
        <w:t>zpracování</w:t>
      </w:r>
      <w:proofErr w:type="spellEnd"/>
    </w:p>
    <w:p w:rsidR="006F0851" w:rsidRDefault="006F0851" w:rsidP="006F0851">
      <w:pPr>
        <w:rPr>
          <w:sz w:val="20"/>
          <w:szCs w:val="20"/>
        </w:rPr>
      </w:pPr>
    </w:p>
    <w:p w:rsidR="006F0851" w:rsidRDefault="006F0851" w:rsidP="006F0851">
      <w:pPr>
        <w:rPr>
          <w:sz w:val="20"/>
          <w:szCs w:val="20"/>
        </w:rPr>
      </w:pPr>
      <w:r w:rsidRPr="006F0851">
        <w:rPr>
          <w:sz w:val="20"/>
          <w:szCs w:val="20"/>
        </w:rPr>
        <w:t>Pozn. statisticky významné rozdíly na hladině významnosti p&lt;0,05 jsou značeny kurzívou.</w:t>
      </w:r>
    </w:p>
    <w:p w:rsidR="0025310D" w:rsidRDefault="0025310D" w:rsidP="006F0851">
      <w:pPr>
        <w:rPr>
          <w:sz w:val="20"/>
          <w:szCs w:val="20"/>
        </w:rPr>
      </w:pPr>
    </w:p>
    <w:p w:rsidR="00897BA1" w:rsidRDefault="0025310D" w:rsidP="005275ED">
      <w:pPr>
        <w:autoSpaceDE w:val="0"/>
        <w:autoSpaceDN w:val="0"/>
        <w:ind w:firstLine="284"/>
        <w:jc w:val="both"/>
        <w:rPr>
          <w:szCs w:val="20"/>
        </w:rPr>
      </w:pPr>
      <w:r w:rsidRPr="008A0B7E">
        <w:rPr>
          <w:szCs w:val="20"/>
        </w:rPr>
        <w:t xml:space="preserve">U pozitivního tónu (a čistě pozitivního tónu a optimismu) byl u všech slovníků nalezen statisticky významný rozdíl mezi firmami v bezpečné, případně šedé zóně a krizové zóně. Na druhé straně se významně nelišila četnost pozitivních slov u firem v bezpečné a šedé zóně. Negativní slovní kategorie byla statisticky významná pouze u investičního slovníku. </w:t>
      </w:r>
    </w:p>
    <w:p w:rsidR="00897BA1" w:rsidRDefault="0025310D" w:rsidP="005275ED">
      <w:pPr>
        <w:autoSpaceDE w:val="0"/>
        <w:autoSpaceDN w:val="0"/>
        <w:ind w:firstLine="284"/>
        <w:jc w:val="both"/>
        <w:rPr>
          <w:szCs w:val="20"/>
        </w:rPr>
      </w:pPr>
      <w:r w:rsidRPr="008A0B7E">
        <w:rPr>
          <w:szCs w:val="20"/>
        </w:rPr>
        <w:t>Podobně i u dalších slovních kategorií byl identifikován statistický rozdíl zejména mezi firmami v bezpečné a šedé zóně na straně jedné a krizové zóně na straně druhé. To naznačuje, že pomocí použitých slovníků lze najít významné rozdíly v tónu textu zejména u firem v krizové zóně. Jinými slovy, pro rozlišení firem v bezpečné a šedé zóně nejsou dostatečné</w:t>
      </w:r>
      <w:r w:rsidR="00841CB3" w:rsidRPr="008A0B7E">
        <w:rPr>
          <w:szCs w:val="20"/>
        </w:rPr>
        <w:t xml:space="preserve">. </w:t>
      </w:r>
    </w:p>
    <w:p w:rsidR="0025310D" w:rsidRPr="008A0B7E" w:rsidRDefault="00DC6971" w:rsidP="005275ED">
      <w:pPr>
        <w:autoSpaceDE w:val="0"/>
        <w:autoSpaceDN w:val="0"/>
        <w:ind w:firstLine="284"/>
        <w:jc w:val="both"/>
        <w:rPr>
          <w:szCs w:val="20"/>
        </w:rPr>
      </w:pPr>
      <w:r w:rsidRPr="008A0B7E">
        <w:rPr>
          <w:szCs w:val="20"/>
        </w:rPr>
        <w:t xml:space="preserve">Pro </w:t>
      </w:r>
      <w:r w:rsidR="0084033B" w:rsidRPr="008A0B7E">
        <w:rPr>
          <w:szCs w:val="20"/>
        </w:rPr>
        <w:t>stávající i</w:t>
      </w:r>
      <w:r w:rsidR="00681958">
        <w:rPr>
          <w:szCs w:val="20"/>
        </w:rPr>
        <w:t> </w:t>
      </w:r>
      <w:r w:rsidR="0084033B" w:rsidRPr="008A0B7E">
        <w:rPr>
          <w:szCs w:val="20"/>
        </w:rPr>
        <w:t>potencionální investor</w:t>
      </w:r>
      <w:r w:rsidRPr="008A0B7E">
        <w:rPr>
          <w:szCs w:val="20"/>
        </w:rPr>
        <w:t>y</w:t>
      </w:r>
      <w:r w:rsidR="0084033B" w:rsidRPr="008A0B7E">
        <w:rPr>
          <w:szCs w:val="20"/>
        </w:rPr>
        <w:t xml:space="preserve"> je však pozitivní, že s využitím investičního slovníku lze nalézt určitá rizika spojená s možným budoucím poklesem tržní ceny akcií sledované společnosti</w:t>
      </w:r>
      <w:r w:rsidRPr="008A0B7E">
        <w:rPr>
          <w:szCs w:val="20"/>
        </w:rPr>
        <w:t>, a to i</w:t>
      </w:r>
      <w:r w:rsidR="00681958">
        <w:rPr>
          <w:szCs w:val="20"/>
        </w:rPr>
        <w:t> </w:t>
      </w:r>
      <w:r w:rsidRPr="008A0B7E">
        <w:rPr>
          <w:szCs w:val="20"/>
        </w:rPr>
        <w:t>v</w:t>
      </w:r>
      <w:r w:rsidR="00681958">
        <w:rPr>
          <w:szCs w:val="20"/>
        </w:rPr>
        <w:t> </w:t>
      </w:r>
      <w:r w:rsidRPr="008A0B7E">
        <w:rPr>
          <w:szCs w:val="20"/>
        </w:rPr>
        <w:t>případě, že tento subjekt vykazuje dobré ekonomické výsledky</w:t>
      </w:r>
      <w:r w:rsidR="0084033B" w:rsidRPr="008A0B7E">
        <w:rPr>
          <w:szCs w:val="20"/>
        </w:rPr>
        <w:t xml:space="preserve">. </w:t>
      </w:r>
    </w:p>
    <w:p w:rsidR="0084033B" w:rsidRPr="008A0B7E" w:rsidRDefault="00DC6971" w:rsidP="005275ED">
      <w:pPr>
        <w:autoSpaceDE w:val="0"/>
        <w:autoSpaceDN w:val="0"/>
        <w:ind w:firstLine="284"/>
        <w:jc w:val="both"/>
        <w:rPr>
          <w:szCs w:val="20"/>
        </w:rPr>
      </w:pPr>
      <w:r w:rsidRPr="008A0B7E">
        <w:rPr>
          <w:szCs w:val="20"/>
        </w:rPr>
        <w:t xml:space="preserve">Výzkum tedy prokázal, že hodnocení tónu textu výročních zpráv pomocí uvedených slovníků snižuje asymetrii informací, a to zejména u finančně zdravých společností. Na druhou stranu lze předpokládat, že firmy, které příliš neposkytují doplňující textové informace, </w:t>
      </w:r>
      <w:r w:rsidR="00160C84" w:rsidRPr="008A0B7E">
        <w:rPr>
          <w:szCs w:val="20"/>
        </w:rPr>
        <w:t>se mohou potýkat s určitými ekonomickými problémy.</w:t>
      </w:r>
      <w:r w:rsidRPr="008A0B7E">
        <w:rPr>
          <w:szCs w:val="20"/>
        </w:rPr>
        <w:t xml:space="preserve">  </w:t>
      </w:r>
    </w:p>
    <w:p w:rsidR="00A951BE" w:rsidRPr="00C02D1F" w:rsidRDefault="00A951BE" w:rsidP="00A951BE">
      <w:pPr>
        <w:pStyle w:val="Nadpis1"/>
        <w:spacing w:before="600"/>
        <w:ind w:left="0" w:firstLine="0"/>
        <w:rPr>
          <w:lang w:val="cs-CZ"/>
        </w:rPr>
      </w:pPr>
      <w:r w:rsidRPr="00C02D1F">
        <w:rPr>
          <w:lang w:val="cs-CZ"/>
        </w:rPr>
        <w:t>Závěr</w:t>
      </w:r>
    </w:p>
    <w:p w:rsidR="00897BA1" w:rsidRDefault="002148C3" w:rsidP="005275ED">
      <w:pPr>
        <w:autoSpaceDE w:val="0"/>
        <w:autoSpaceDN w:val="0"/>
        <w:ind w:firstLine="284"/>
        <w:jc w:val="both"/>
        <w:rPr>
          <w:szCs w:val="20"/>
        </w:rPr>
      </w:pPr>
      <w:r w:rsidRPr="00C02D1F">
        <w:rPr>
          <w:szCs w:val="20"/>
        </w:rPr>
        <w:t xml:space="preserve">Odstranění asymetrie informací </w:t>
      </w:r>
      <w:r w:rsidR="00E86F51" w:rsidRPr="00C02D1F">
        <w:rPr>
          <w:szCs w:val="20"/>
        </w:rPr>
        <w:t xml:space="preserve">pozitivně ovlivňuje názor </w:t>
      </w:r>
      <w:proofErr w:type="spellStart"/>
      <w:r w:rsidR="00E86F51" w:rsidRPr="00C02D1F">
        <w:rPr>
          <w:szCs w:val="20"/>
        </w:rPr>
        <w:t>stakeholderů</w:t>
      </w:r>
      <w:proofErr w:type="spellEnd"/>
      <w:r w:rsidR="00E86F51" w:rsidRPr="00C02D1F">
        <w:rPr>
          <w:szCs w:val="20"/>
        </w:rPr>
        <w:t xml:space="preserve"> na posuzovanou společnost, protože čím více informací </w:t>
      </w:r>
      <w:r w:rsidR="00614343" w:rsidRPr="00C02D1F">
        <w:rPr>
          <w:szCs w:val="20"/>
        </w:rPr>
        <w:t xml:space="preserve">jim </w:t>
      </w:r>
      <w:r w:rsidR="00E86F51" w:rsidRPr="00C02D1F">
        <w:rPr>
          <w:szCs w:val="20"/>
        </w:rPr>
        <w:t>s</w:t>
      </w:r>
      <w:r w:rsidR="00614343" w:rsidRPr="00C02D1F">
        <w:rPr>
          <w:szCs w:val="20"/>
        </w:rPr>
        <w:t>polečnost s</w:t>
      </w:r>
      <w:r w:rsidR="00E86F51" w:rsidRPr="00C02D1F">
        <w:rPr>
          <w:szCs w:val="20"/>
        </w:rPr>
        <w:t>děluje</w:t>
      </w:r>
      <w:r w:rsidR="00614343" w:rsidRPr="00C02D1F">
        <w:rPr>
          <w:szCs w:val="20"/>
        </w:rPr>
        <w:t>,</w:t>
      </w:r>
      <w:r w:rsidR="00E86F51" w:rsidRPr="00C02D1F">
        <w:rPr>
          <w:szCs w:val="20"/>
        </w:rPr>
        <w:t xml:space="preserve"> tím více je utvrzuje v názoru, že neskrývá vnitřní negativní jevy. Každá skupina </w:t>
      </w:r>
      <w:proofErr w:type="spellStart"/>
      <w:r w:rsidRPr="00C02D1F">
        <w:rPr>
          <w:szCs w:val="20"/>
        </w:rPr>
        <w:t>stakeholder</w:t>
      </w:r>
      <w:r w:rsidR="00E86F51" w:rsidRPr="00C02D1F">
        <w:rPr>
          <w:szCs w:val="20"/>
        </w:rPr>
        <w:t>ů</w:t>
      </w:r>
      <w:proofErr w:type="spellEnd"/>
      <w:r w:rsidR="00E86F51" w:rsidRPr="00C02D1F">
        <w:rPr>
          <w:szCs w:val="20"/>
        </w:rPr>
        <w:t xml:space="preserve"> </w:t>
      </w:r>
      <w:r w:rsidR="00614343" w:rsidRPr="00C02D1F">
        <w:rPr>
          <w:szCs w:val="20"/>
        </w:rPr>
        <w:t xml:space="preserve">sice zkoumá </w:t>
      </w:r>
      <w:r w:rsidR="00E86F51" w:rsidRPr="00C02D1F">
        <w:rPr>
          <w:szCs w:val="20"/>
        </w:rPr>
        <w:t xml:space="preserve">text výročních zpráv </w:t>
      </w:r>
      <w:r w:rsidR="00614343" w:rsidRPr="00C02D1F">
        <w:rPr>
          <w:szCs w:val="20"/>
        </w:rPr>
        <w:t xml:space="preserve">prioritně z hlediska svých zájmů, ovšem komentáře k dosaženým ekonomickým výsledkům lze považovat za zásadní a neopominutelné  pro všechny vymezené skupiny. Nejvýznamnější jsou však pro skupiny </w:t>
      </w:r>
      <w:r w:rsidRPr="00C02D1F">
        <w:rPr>
          <w:szCs w:val="20"/>
        </w:rPr>
        <w:t>stávajících a potencionálních vlastníků.</w:t>
      </w:r>
    </w:p>
    <w:p w:rsidR="002148C3" w:rsidRPr="00C02D1F" w:rsidRDefault="00614343" w:rsidP="005275ED">
      <w:pPr>
        <w:autoSpaceDE w:val="0"/>
        <w:autoSpaceDN w:val="0"/>
        <w:ind w:firstLine="284"/>
        <w:jc w:val="both"/>
        <w:rPr>
          <w:szCs w:val="20"/>
        </w:rPr>
      </w:pPr>
      <w:r w:rsidRPr="00C02D1F">
        <w:rPr>
          <w:szCs w:val="20"/>
        </w:rPr>
        <w:t>Z</w:t>
      </w:r>
      <w:r w:rsidR="00C224C7" w:rsidRPr="00C02D1F">
        <w:rPr>
          <w:szCs w:val="20"/>
        </w:rPr>
        <w:t> </w:t>
      </w:r>
      <w:r w:rsidRPr="00C02D1F">
        <w:rPr>
          <w:szCs w:val="20"/>
        </w:rPr>
        <w:t>provedeného výzkumu vyplynulo, že hodnocení tónu textu výročních zpráv pomocí uvedených slovníků snižuje asymetrii informací zejména u finančně zdravých společností. Dalším z faktorů, které ovlivňují rozsah dodatečných komentářů k finančním výsledkům ve výročních zprávách, je přístup managementu k riziku. Lze předpokládat, že čím vyšší je sklon k riziku, tím se bude vedení společností prezentovat pozitivněji.</w:t>
      </w:r>
    </w:p>
    <w:p w:rsidR="00876604" w:rsidRPr="00C02D1F" w:rsidRDefault="00614343" w:rsidP="005275ED">
      <w:pPr>
        <w:autoSpaceDE w:val="0"/>
        <w:autoSpaceDN w:val="0"/>
        <w:ind w:firstLine="284"/>
        <w:jc w:val="both"/>
        <w:rPr>
          <w:szCs w:val="20"/>
        </w:rPr>
      </w:pPr>
      <w:r w:rsidRPr="00C02D1F">
        <w:rPr>
          <w:szCs w:val="20"/>
        </w:rPr>
        <w:t>Autoř</w:t>
      </w:r>
      <w:r w:rsidR="00C02D1F">
        <w:rPr>
          <w:szCs w:val="20"/>
        </w:rPr>
        <w:t>i</w:t>
      </w:r>
      <w:r w:rsidRPr="00C02D1F">
        <w:rPr>
          <w:szCs w:val="20"/>
        </w:rPr>
        <w:t xml:space="preserve"> si jsou vědomi určitých omezení tohoto výzkumu, který bude dále pokračovat posuzováním vybraných společností </w:t>
      </w:r>
      <w:r w:rsidR="00841CB3" w:rsidRPr="00C02D1F">
        <w:rPr>
          <w:szCs w:val="20"/>
        </w:rPr>
        <w:t xml:space="preserve">v kontextu dalších informací, které mohou čerpat </w:t>
      </w:r>
      <w:proofErr w:type="spellStart"/>
      <w:r w:rsidR="00841CB3" w:rsidRPr="00C02D1F">
        <w:rPr>
          <w:szCs w:val="20"/>
        </w:rPr>
        <w:t>stakeholdeři</w:t>
      </w:r>
      <w:proofErr w:type="spellEnd"/>
      <w:r w:rsidR="00841CB3" w:rsidRPr="00C02D1F">
        <w:rPr>
          <w:szCs w:val="20"/>
        </w:rPr>
        <w:t xml:space="preserve"> např. z tiskových zpráv, statistických rozborů </w:t>
      </w:r>
      <w:r w:rsidR="00C02D1F">
        <w:rPr>
          <w:szCs w:val="20"/>
        </w:rPr>
        <w:t>jednotlivých odvětví a podobně.</w:t>
      </w:r>
    </w:p>
    <w:p w:rsidR="00876604" w:rsidRPr="00C02D1F" w:rsidRDefault="00E86F51" w:rsidP="005275ED">
      <w:pPr>
        <w:autoSpaceDE w:val="0"/>
        <w:autoSpaceDN w:val="0"/>
        <w:ind w:firstLine="284"/>
        <w:jc w:val="both"/>
        <w:rPr>
          <w:szCs w:val="20"/>
        </w:rPr>
      </w:pPr>
      <w:r w:rsidRPr="00C02D1F">
        <w:rPr>
          <w:szCs w:val="20"/>
        </w:rPr>
        <w:t xml:space="preserve">Dalším z faktorů, které ovlivňují rozsah dodatečných komentářů k finančním výsledkům ve výročních zprávách, je přístup managementu k riziku. </w:t>
      </w:r>
      <w:r w:rsidR="00614343" w:rsidRPr="00C02D1F">
        <w:rPr>
          <w:szCs w:val="20"/>
        </w:rPr>
        <w:t xml:space="preserve">Také se nabízí možnost sledovat komentáře související </w:t>
      </w:r>
      <w:r w:rsidR="008C2314" w:rsidRPr="00C02D1F">
        <w:rPr>
          <w:szCs w:val="20"/>
        </w:rPr>
        <w:t xml:space="preserve">např. </w:t>
      </w:r>
      <w:r w:rsidR="00614343" w:rsidRPr="00C02D1F">
        <w:rPr>
          <w:szCs w:val="20"/>
        </w:rPr>
        <w:t>s</w:t>
      </w:r>
      <w:r w:rsidR="008C2314" w:rsidRPr="00C02D1F">
        <w:rPr>
          <w:szCs w:val="20"/>
        </w:rPr>
        <w:t xml:space="preserve"> pracovně-právními vztahy nebo s </w:t>
      </w:r>
      <w:r w:rsidR="00614343" w:rsidRPr="00C02D1F">
        <w:rPr>
          <w:szCs w:val="20"/>
        </w:rPr>
        <w:t xml:space="preserve"> </w:t>
      </w:r>
      <w:r w:rsidR="00876604" w:rsidRPr="00C02D1F">
        <w:rPr>
          <w:szCs w:val="20"/>
        </w:rPr>
        <w:t>aktivit</w:t>
      </w:r>
      <w:r w:rsidR="00614343" w:rsidRPr="00C02D1F">
        <w:rPr>
          <w:szCs w:val="20"/>
        </w:rPr>
        <w:t>ami</w:t>
      </w:r>
      <w:r w:rsidR="00876604" w:rsidRPr="00C02D1F">
        <w:rPr>
          <w:szCs w:val="20"/>
        </w:rPr>
        <w:t xml:space="preserve"> v oblasti ochrany životního prostředí</w:t>
      </w:r>
      <w:r w:rsidR="008C2314" w:rsidRPr="00C02D1F">
        <w:rPr>
          <w:szCs w:val="20"/>
        </w:rPr>
        <w:t>.</w:t>
      </w:r>
    </w:p>
    <w:p w:rsidR="00ED3EE4" w:rsidRPr="00C02D1F" w:rsidRDefault="00744172" w:rsidP="00F47D36">
      <w:pPr>
        <w:pStyle w:val="Acknowledgement"/>
        <w:spacing w:before="480"/>
        <w:rPr>
          <w:lang w:val="cs-CZ"/>
        </w:rPr>
      </w:pPr>
      <w:r>
        <w:rPr>
          <w:lang w:val="cs-CZ"/>
        </w:rPr>
        <w:t>Pod</w:t>
      </w:r>
      <w:r w:rsidR="008A0B7E">
        <w:rPr>
          <w:lang w:val="cs-CZ"/>
        </w:rPr>
        <w:t>ě</w:t>
      </w:r>
      <w:r>
        <w:rPr>
          <w:lang w:val="cs-CZ"/>
        </w:rPr>
        <w:t>kování</w:t>
      </w:r>
    </w:p>
    <w:p w:rsidR="00ED3EE4" w:rsidRPr="00C02D1F" w:rsidRDefault="00241DC7" w:rsidP="00241DC7">
      <w:pPr>
        <w:autoSpaceDE w:val="0"/>
        <w:autoSpaceDN w:val="0"/>
        <w:ind w:firstLine="284"/>
        <w:jc w:val="both"/>
        <w:rPr>
          <w:szCs w:val="20"/>
        </w:rPr>
      </w:pPr>
      <w:r w:rsidRPr="00C02D1F">
        <w:rPr>
          <w:szCs w:val="20"/>
        </w:rPr>
        <w:t xml:space="preserve">Tento článek byl podpořen z vědeckého výzkumného projektu Grantové agentury České republiky č. </w:t>
      </w:r>
      <w:r w:rsidR="009624D1" w:rsidRPr="00C02D1F">
        <w:rPr>
          <w:szCs w:val="20"/>
        </w:rPr>
        <w:t>GA16-19590S</w:t>
      </w:r>
      <w:r w:rsidRPr="00C02D1F">
        <w:rPr>
          <w:szCs w:val="20"/>
        </w:rPr>
        <w:t xml:space="preserve"> – „Analýza témat a sentimentu vícenásobných textových zdrojů pro finanční rozhodování“.</w:t>
      </w:r>
    </w:p>
    <w:p w:rsidR="007E164C" w:rsidRPr="00DA66DA" w:rsidRDefault="00744172" w:rsidP="00F47D36">
      <w:pPr>
        <w:pStyle w:val="References"/>
        <w:spacing w:before="480"/>
      </w:pPr>
      <w:r>
        <w:t>Literatura</w:t>
      </w:r>
    </w:p>
    <w:p w:rsidR="001C78A6" w:rsidRPr="00EA52D7" w:rsidRDefault="001C78A6" w:rsidP="00E02AC2">
      <w:pPr>
        <w:pStyle w:val="Odstavecseseznamem"/>
        <w:numPr>
          <w:ilvl w:val="0"/>
          <w:numId w:val="21"/>
        </w:numPr>
        <w:spacing w:before="120"/>
        <w:ind w:left="454" w:hanging="454"/>
        <w:contextualSpacing w:val="0"/>
        <w:rPr>
          <w:noProof/>
        </w:rPr>
      </w:pPr>
      <w:r w:rsidRPr="00EA52D7">
        <w:rPr>
          <w:noProof/>
        </w:rPr>
        <w:t>Altman, E. I.</w:t>
      </w:r>
      <w:r>
        <w:rPr>
          <w:noProof/>
        </w:rPr>
        <w:t>,</w:t>
      </w:r>
      <w:r w:rsidRPr="00EA52D7">
        <w:rPr>
          <w:noProof/>
        </w:rPr>
        <w:t xml:space="preserve"> 1968. Financial ratios, discriminant analysis and the prediction of corporate bankruptcy</w:t>
      </w:r>
      <w:r>
        <w:rPr>
          <w:noProof/>
        </w:rPr>
        <w:t>.</w:t>
      </w:r>
      <w:r w:rsidRPr="00EA52D7">
        <w:rPr>
          <w:noProof/>
        </w:rPr>
        <w:t xml:space="preserve"> </w:t>
      </w:r>
      <w:r w:rsidRPr="001C78A6">
        <w:rPr>
          <w:i/>
          <w:noProof/>
        </w:rPr>
        <w:t>Journal of Finance</w:t>
      </w:r>
      <w:r>
        <w:rPr>
          <w:noProof/>
        </w:rPr>
        <w:t>. Vol.</w:t>
      </w:r>
      <w:r w:rsidRPr="001C78A6">
        <w:rPr>
          <w:noProof/>
        </w:rPr>
        <w:t xml:space="preserve"> </w:t>
      </w:r>
      <w:r w:rsidRPr="00EA52D7">
        <w:rPr>
          <w:noProof/>
        </w:rPr>
        <w:t>23</w:t>
      </w:r>
      <w:r>
        <w:rPr>
          <w:noProof/>
        </w:rPr>
        <w:t xml:space="preserve">, Issue </w:t>
      </w:r>
      <w:r w:rsidRPr="00EA52D7">
        <w:rPr>
          <w:noProof/>
        </w:rPr>
        <w:t>4</w:t>
      </w:r>
      <w:r>
        <w:rPr>
          <w:noProof/>
        </w:rPr>
        <w:t>, pp.</w:t>
      </w:r>
      <w:r w:rsidRPr="00EA52D7">
        <w:rPr>
          <w:noProof/>
        </w:rPr>
        <w:t xml:space="preserve"> 589–609. </w:t>
      </w:r>
      <w:r>
        <w:rPr>
          <w:noProof/>
        </w:rPr>
        <w:t xml:space="preserve">ISSN </w:t>
      </w:r>
      <w:r>
        <w:rPr>
          <w:lang w:val="en"/>
        </w:rPr>
        <w:t>1540-6261.</w:t>
      </w:r>
      <w:r w:rsidRPr="00EA52D7">
        <w:rPr>
          <w:rFonts w:hint="eastAsia"/>
          <w:noProof/>
        </w:rPr>
        <w:t xml:space="preserve"> http://dx.</w:t>
      </w:r>
      <w:r w:rsidRPr="00EA52D7">
        <w:rPr>
          <w:noProof/>
        </w:rPr>
        <w:t>doi/10.1111/j.1540-6261</w:t>
      </w:r>
    </w:p>
    <w:p w:rsidR="001C78A6" w:rsidRPr="00C055BF" w:rsidRDefault="001C78A6" w:rsidP="00E02AC2">
      <w:pPr>
        <w:pStyle w:val="Odstavecseseznamem"/>
        <w:numPr>
          <w:ilvl w:val="0"/>
          <w:numId w:val="21"/>
        </w:numPr>
        <w:spacing w:before="120"/>
        <w:ind w:left="454" w:hanging="454"/>
        <w:contextualSpacing w:val="0"/>
        <w:rPr>
          <w:noProof/>
        </w:rPr>
      </w:pPr>
      <w:r w:rsidRPr="00C055BF">
        <w:rPr>
          <w:noProof/>
        </w:rPr>
        <w:t>C</w:t>
      </w:r>
      <w:r>
        <w:rPr>
          <w:noProof/>
        </w:rPr>
        <w:t>zillingová, J.</w:t>
      </w:r>
      <w:r w:rsidRPr="00C055BF">
        <w:rPr>
          <w:noProof/>
        </w:rPr>
        <w:t xml:space="preserve"> – P</w:t>
      </w:r>
      <w:r>
        <w:rPr>
          <w:noProof/>
        </w:rPr>
        <w:t>etruška, I.</w:t>
      </w:r>
      <w:r w:rsidRPr="00C055BF">
        <w:rPr>
          <w:noProof/>
        </w:rPr>
        <w:t xml:space="preserve"> – T</w:t>
      </w:r>
      <w:r>
        <w:rPr>
          <w:noProof/>
        </w:rPr>
        <w:t>káč, M., 2012.</w:t>
      </w:r>
      <w:r w:rsidRPr="00C055BF">
        <w:rPr>
          <w:noProof/>
        </w:rPr>
        <w:t xml:space="preserve"> Financial and Economic Analysis of Steel Industry by Multivariate Analysis. </w:t>
      </w:r>
      <w:r w:rsidRPr="006625C1">
        <w:rPr>
          <w:i/>
          <w:noProof/>
        </w:rPr>
        <w:t>Ekonomický časopis</w:t>
      </w:r>
      <w:r w:rsidRPr="00C055BF">
        <w:rPr>
          <w:noProof/>
        </w:rPr>
        <w:t xml:space="preserve">, </w:t>
      </w:r>
      <w:r w:rsidR="007052F9">
        <w:rPr>
          <w:noProof/>
        </w:rPr>
        <w:t>Vol</w:t>
      </w:r>
      <w:r>
        <w:rPr>
          <w:noProof/>
        </w:rPr>
        <w:t xml:space="preserve">. </w:t>
      </w:r>
      <w:r w:rsidRPr="00C055BF">
        <w:rPr>
          <w:noProof/>
        </w:rPr>
        <w:t xml:space="preserve">60, </w:t>
      </w:r>
      <w:r w:rsidR="007052F9">
        <w:rPr>
          <w:noProof/>
        </w:rPr>
        <w:t>Issue</w:t>
      </w:r>
      <w:r w:rsidRPr="00C055BF">
        <w:rPr>
          <w:noProof/>
        </w:rPr>
        <w:t xml:space="preserve"> 4, </w:t>
      </w:r>
      <w:r w:rsidR="007052F9">
        <w:rPr>
          <w:noProof/>
        </w:rPr>
        <w:t>pp</w:t>
      </w:r>
      <w:r w:rsidRPr="00C055BF">
        <w:rPr>
          <w:noProof/>
        </w:rPr>
        <w:t>. 388 – 405</w:t>
      </w:r>
      <w:r>
        <w:rPr>
          <w:noProof/>
        </w:rPr>
        <w:t xml:space="preserve">. ISSN </w:t>
      </w:r>
      <w:r w:rsidRPr="001C78A6">
        <w:rPr>
          <w:noProof/>
        </w:rPr>
        <w:t>0013-3035</w:t>
      </w:r>
    </w:p>
    <w:p w:rsidR="001C78A6" w:rsidRPr="00AF5A37" w:rsidRDefault="001C78A6" w:rsidP="00E02AC2">
      <w:pPr>
        <w:pStyle w:val="Odstavecseseznamem"/>
        <w:numPr>
          <w:ilvl w:val="0"/>
          <w:numId w:val="21"/>
        </w:numPr>
        <w:spacing w:before="120"/>
        <w:ind w:left="454" w:hanging="454"/>
        <w:contextualSpacing w:val="0"/>
        <w:rPr>
          <w:noProof/>
        </w:rPr>
      </w:pPr>
      <w:r w:rsidRPr="00E11745">
        <w:rPr>
          <w:noProof/>
          <w:lang w:val="en-GB"/>
        </w:rPr>
        <w:t>Davis, A. K.</w:t>
      </w:r>
      <w:r>
        <w:rPr>
          <w:noProof/>
          <w:lang w:val="en-GB"/>
        </w:rPr>
        <w:t xml:space="preserve"> </w:t>
      </w:r>
      <w:r w:rsidRPr="00C055BF">
        <w:rPr>
          <w:noProof/>
        </w:rPr>
        <w:t>–</w:t>
      </w:r>
      <w:r w:rsidRPr="00E11745">
        <w:rPr>
          <w:noProof/>
          <w:lang w:val="en-GB"/>
        </w:rPr>
        <w:t xml:space="preserve"> Piger, J. M.</w:t>
      </w:r>
      <w:r>
        <w:rPr>
          <w:noProof/>
          <w:lang w:val="en-GB"/>
        </w:rPr>
        <w:t xml:space="preserve"> </w:t>
      </w:r>
      <w:r w:rsidRPr="00C055BF">
        <w:rPr>
          <w:noProof/>
        </w:rPr>
        <w:t>–</w:t>
      </w:r>
      <w:r w:rsidRPr="00E11745">
        <w:rPr>
          <w:noProof/>
          <w:lang w:val="en-GB"/>
        </w:rPr>
        <w:t xml:space="preserve"> Sedor, L. M.</w:t>
      </w:r>
      <w:r>
        <w:rPr>
          <w:noProof/>
          <w:lang w:val="en-GB"/>
        </w:rPr>
        <w:t xml:space="preserve">, </w:t>
      </w:r>
      <w:r w:rsidRPr="00E11745">
        <w:rPr>
          <w:noProof/>
          <w:lang w:val="en-GB"/>
        </w:rPr>
        <w:t>2012</w:t>
      </w:r>
      <w:r>
        <w:rPr>
          <w:noProof/>
          <w:lang w:val="en-GB"/>
        </w:rPr>
        <w:t>.</w:t>
      </w:r>
      <w:r w:rsidRPr="00E11745">
        <w:rPr>
          <w:noProof/>
          <w:lang w:val="en-GB"/>
        </w:rPr>
        <w:t xml:space="preserve"> Beyond the numbers: M</w:t>
      </w:r>
      <w:r w:rsidRPr="00AF5A37">
        <w:rPr>
          <w:noProof/>
        </w:rPr>
        <w:t xml:space="preserve">easuring the information content of earnings press release language. </w:t>
      </w:r>
      <w:r w:rsidRPr="00E11745">
        <w:rPr>
          <w:i/>
          <w:noProof/>
        </w:rPr>
        <w:t>Contemporary Accounting Research</w:t>
      </w:r>
      <w:r w:rsidRPr="00AF5A37">
        <w:rPr>
          <w:noProof/>
        </w:rPr>
        <w:t xml:space="preserve">, Vol. 29, </w:t>
      </w:r>
      <w:r>
        <w:rPr>
          <w:noProof/>
        </w:rPr>
        <w:t>Issue</w:t>
      </w:r>
      <w:r w:rsidRPr="00AF5A37">
        <w:rPr>
          <w:noProof/>
        </w:rPr>
        <w:t xml:space="preserve"> 3, pp. 845–868.</w:t>
      </w:r>
      <w:r>
        <w:rPr>
          <w:noProof/>
        </w:rPr>
        <w:t xml:space="preserve"> ISSN 1911-3846.</w:t>
      </w:r>
    </w:p>
    <w:p w:rsidR="001C78A6" w:rsidRDefault="001C78A6" w:rsidP="00E02AC2">
      <w:pPr>
        <w:pStyle w:val="suggested-citation"/>
        <w:numPr>
          <w:ilvl w:val="0"/>
          <w:numId w:val="21"/>
        </w:numPr>
        <w:spacing w:before="120" w:beforeAutospacing="0" w:after="0" w:afterAutospacing="0"/>
        <w:ind w:left="454" w:hanging="454"/>
      </w:pPr>
      <w:proofErr w:type="spellStart"/>
      <w:r>
        <w:t>Demers</w:t>
      </w:r>
      <w:proofErr w:type="spellEnd"/>
      <w:r>
        <w:t xml:space="preserve">, E. A. </w:t>
      </w:r>
      <w:r w:rsidRPr="000E7A5E">
        <w:t>–</w:t>
      </w:r>
      <w:r>
        <w:t xml:space="preserve"> Vega, C., 2014</w:t>
      </w:r>
      <w:r w:rsidR="00651FCA">
        <w:t>.</w:t>
      </w:r>
      <w:r>
        <w:t xml:space="preserve"> </w:t>
      </w:r>
      <w:proofErr w:type="spellStart"/>
      <w:r>
        <w:t>Understanding</w:t>
      </w:r>
      <w:proofErr w:type="spellEnd"/>
      <w:r>
        <w:t xml:space="preserve"> </w:t>
      </w:r>
      <w:proofErr w:type="spellStart"/>
      <w:r>
        <w:t>The</w:t>
      </w:r>
      <w:proofErr w:type="spellEnd"/>
      <w:r>
        <w:t xml:space="preserve"> Role </w:t>
      </w:r>
      <w:proofErr w:type="spellStart"/>
      <w:r>
        <w:t>of</w:t>
      </w:r>
      <w:proofErr w:type="spellEnd"/>
      <w:r>
        <w:t xml:space="preserve"> </w:t>
      </w:r>
      <w:proofErr w:type="spellStart"/>
      <w:r>
        <w:t>Managerial</w:t>
      </w:r>
      <w:proofErr w:type="spellEnd"/>
      <w:r>
        <w:t xml:space="preserve"> </w:t>
      </w:r>
      <w:proofErr w:type="spellStart"/>
      <w:r>
        <w:t>Optimism</w:t>
      </w:r>
      <w:proofErr w:type="spellEnd"/>
      <w:r>
        <w:t xml:space="preserve"> and </w:t>
      </w:r>
      <w:proofErr w:type="spellStart"/>
      <w:r>
        <w:t>Uncertainty</w:t>
      </w:r>
      <w:proofErr w:type="spellEnd"/>
      <w:r>
        <w:t xml:space="preserve"> in </w:t>
      </w:r>
      <w:proofErr w:type="spellStart"/>
      <w:r>
        <w:t>the</w:t>
      </w:r>
      <w:proofErr w:type="spellEnd"/>
      <w:r>
        <w:t xml:space="preserve"> </w:t>
      </w:r>
      <w:proofErr w:type="spellStart"/>
      <w:r>
        <w:t>Price</w:t>
      </w:r>
      <w:proofErr w:type="spellEnd"/>
      <w:r>
        <w:t xml:space="preserve"> </w:t>
      </w:r>
      <w:proofErr w:type="spellStart"/>
      <w:r>
        <w:t>Formation</w:t>
      </w:r>
      <w:proofErr w:type="spellEnd"/>
      <w:r>
        <w:t xml:space="preserve"> </w:t>
      </w:r>
      <w:proofErr w:type="spellStart"/>
      <w:r>
        <w:t>Process</w:t>
      </w:r>
      <w:proofErr w:type="spellEnd"/>
      <w:r>
        <w:t xml:space="preserve">: Evidence </w:t>
      </w:r>
      <w:proofErr w:type="spellStart"/>
      <w:r>
        <w:t>from</w:t>
      </w:r>
      <w:proofErr w:type="spellEnd"/>
      <w:r>
        <w:t xml:space="preserve"> </w:t>
      </w:r>
      <w:proofErr w:type="spellStart"/>
      <w:r>
        <w:t>the</w:t>
      </w:r>
      <w:proofErr w:type="spellEnd"/>
      <w:r>
        <w:t xml:space="preserve"> </w:t>
      </w:r>
      <w:proofErr w:type="spellStart"/>
      <w:r>
        <w:t>Textual</w:t>
      </w:r>
      <w:proofErr w:type="spellEnd"/>
      <w:r>
        <w:t xml:space="preserve"> </w:t>
      </w:r>
      <w:proofErr w:type="spellStart"/>
      <w:r>
        <w:t>Content</w:t>
      </w:r>
      <w:proofErr w:type="spellEnd"/>
      <w:r>
        <w:t xml:space="preserve"> </w:t>
      </w:r>
      <w:proofErr w:type="spellStart"/>
      <w:r>
        <w:t>of</w:t>
      </w:r>
      <w:proofErr w:type="spellEnd"/>
      <w:r>
        <w:t xml:space="preserve"> </w:t>
      </w:r>
      <w:proofErr w:type="spellStart"/>
      <w:r>
        <w:t>Earnings</w:t>
      </w:r>
      <w:proofErr w:type="spellEnd"/>
      <w:r>
        <w:t xml:space="preserve"> </w:t>
      </w:r>
      <w:proofErr w:type="spellStart"/>
      <w:r w:rsidRPr="001C78A6">
        <w:t>Announcements</w:t>
      </w:r>
      <w:proofErr w:type="spellEnd"/>
      <w:r w:rsidRPr="001C78A6">
        <w:t xml:space="preserve">. </w:t>
      </w:r>
      <w:hyperlink r:id="rId8" w:history="1">
        <w:r w:rsidRPr="001C78A6">
          <w:rPr>
            <w:rStyle w:val="Hypertextovodkaz"/>
            <w:color w:val="auto"/>
            <w:u w:val="none"/>
          </w:rPr>
          <w:t xml:space="preserve">http://dx.doi.org/10.2139/ssrn.1152326 </w:t>
        </w:r>
      </w:hyperlink>
      <w:r w:rsidRPr="001C78A6">
        <w:rPr>
          <w:lang w:val="sk-SK"/>
        </w:rPr>
        <w:t>[</w:t>
      </w:r>
      <w:proofErr w:type="spellStart"/>
      <w:r>
        <w:rPr>
          <w:lang w:val="sk-SK"/>
        </w:rPr>
        <w:t>accessed</w:t>
      </w:r>
      <w:proofErr w:type="spellEnd"/>
      <w:r>
        <w:rPr>
          <w:lang w:val="sk-SK"/>
        </w:rPr>
        <w:t xml:space="preserve"> </w:t>
      </w:r>
      <w:proofErr w:type="gramStart"/>
      <w:r>
        <w:rPr>
          <w:lang w:val="sk-SK"/>
        </w:rPr>
        <w:t>14.2.2017</w:t>
      </w:r>
      <w:proofErr w:type="gramEnd"/>
      <w:r w:rsidRPr="000E7A5E">
        <w:rPr>
          <w:lang w:val="sk-SK"/>
        </w:rPr>
        <w:t>].</w:t>
      </w:r>
    </w:p>
    <w:p w:rsidR="001C78A6" w:rsidRDefault="001C78A6" w:rsidP="00E02AC2">
      <w:pPr>
        <w:pStyle w:val="Odstavecseseznamem"/>
        <w:numPr>
          <w:ilvl w:val="0"/>
          <w:numId w:val="21"/>
        </w:numPr>
        <w:spacing w:before="120"/>
        <w:ind w:left="454" w:hanging="454"/>
        <w:contextualSpacing w:val="0"/>
        <w:rPr>
          <w:noProof/>
        </w:rPr>
      </w:pPr>
      <w:r w:rsidRPr="0042600E">
        <w:rPr>
          <w:noProof/>
        </w:rPr>
        <w:t>Fama</w:t>
      </w:r>
      <w:r>
        <w:rPr>
          <w:noProof/>
        </w:rPr>
        <w:t>,</w:t>
      </w:r>
      <w:r w:rsidRPr="0042600E">
        <w:rPr>
          <w:noProof/>
        </w:rPr>
        <w:t xml:space="preserve"> E</w:t>
      </w:r>
      <w:r>
        <w:rPr>
          <w:noProof/>
        </w:rPr>
        <w:t xml:space="preserve">. </w:t>
      </w:r>
      <w:r w:rsidRPr="0042600E">
        <w:rPr>
          <w:noProof/>
        </w:rPr>
        <w:t>F</w:t>
      </w:r>
      <w:r>
        <w:rPr>
          <w:noProof/>
        </w:rPr>
        <w:t xml:space="preserve">. </w:t>
      </w:r>
      <w:r w:rsidRPr="000E7A5E">
        <w:t>–</w:t>
      </w:r>
      <w:r w:rsidRPr="0042600E">
        <w:rPr>
          <w:noProof/>
        </w:rPr>
        <w:t xml:space="preserve"> French</w:t>
      </w:r>
      <w:r>
        <w:rPr>
          <w:noProof/>
        </w:rPr>
        <w:t>,</w:t>
      </w:r>
      <w:r w:rsidRPr="0042600E">
        <w:rPr>
          <w:noProof/>
        </w:rPr>
        <w:t xml:space="preserve"> K</w:t>
      </w:r>
      <w:r>
        <w:rPr>
          <w:noProof/>
        </w:rPr>
        <w:t xml:space="preserve">. </w:t>
      </w:r>
      <w:r w:rsidRPr="0042600E">
        <w:rPr>
          <w:noProof/>
        </w:rPr>
        <w:t>R</w:t>
      </w:r>
      <w:r>
        <w:rPr>
          <w:noProof/>
        </w:rPr>
        <w:t xml:space="preserve">., </w:t>
      </w:r>
      <w:r w:rsidRPr="0042600E">
        <w:rPr>
          <w:noProof/>
        </w:rPr>
        <w:t>1993</w:t>
      </w:r>
      <w:r>
        <w:rPr>
          <w:noProof/>
        </w:rPr>
        <w:t>.</w:t>
      </w:r>
      <w:r w:rsidRPr="0042600E">
        <w:rPr>
          <w:noProof/>
        </w:rPr>
        <w:t xml:space="preserve"> Common </w:t>
      </w:r>
      <w:r>
        <w:rPr>
          <w:noProof/>
        </w:rPr>
        <w:t>R</w:t>
      </w:r>
      <w:r w:rsidRPr="0042600E">
        <w:rPr>
          <w:noProof/>
        </w:rPr>
        <w:t xml:space="preserve">isk </w:t>
      </w:r>
      <w:r>
        <w:rPr>
          <w:noProof/>
        </w:rPr>
        <w:t>F</w:t>
      </w:r>
      <w:r w:rsidRPr="0042600E">
        <w:rPr>
          <w:noProof/>
        </w:rPr>
        <w:t xml:space="preserve">actors in the </w:t>
      </w:r>
      <w:r>
        <w:rPr>
          <w:noProof/>
        </w:rPr>
        <w:t>R</w:t>
      </w:r>
      <w:r w:rsidRPr="0042600E">
        <w:rPr>
          <w:noProof/>
        </w:rPr>
        <w:t xml:space="preserve">eturns on </w:t>
      </w:r>
      <w:r>
        <w:rPr>
          <w:noProof/>
        </w:rPr>
        <w:t>S</w:t>
      </w:r>
      <w:r w:rsidRPr="0042600E">
        <w:rPr>
          <w:noProof/>
        </w:rPr>
        <w:t xml:space="preserve">tocks and </w:t>
      </w:r>
      <w:r>
        <w:rPr>
          <w:noProof/>
        </w:rPr>
        <w:t>B</w:t>
      </w:r>
      <w:r w:rsidRPr="0042600E">
        <w:rPr>
          <w:noProof/>
        </w:rPr>
        <w:t xml:space="preserve">onds. </w:t>
      </w:r>
      <w:r w:rsidRPr="00AA6F7B">
        <w:rPr>
          <w:i/>
          <w:noProof/>
        </w:rPr>
        <w:t>Journal of Financial Economics</w:t>
      </w:r>
      <w:r>
        <w:rPr>
          <w:noProof/>
        </w:rPr>
        <w:t xml:space="preserve">, Vol. 33, pp. </w:t>
      </w:r>
      <w:r w:rsidRPr="0042600E">
        <w:rPr>
          <w:noProof/>
        </w:rPr>
        <w:t>3–56.</w:t>
      </w:r>
      <w:r w:rsidR="00C635D5">
        <w:rPr>
          <w:noProof/>
        </w:rPr>
        <w:t xml:space="preserve"> ISSN 0304-405X.</w:t>
      </w:r>
    </w:p>
    <w:p w:rsidR="001C78A6" w:rsidRPr="00EA52D7" w:rsidRDefault="001C78A6" w:rsidP="00E02AC2">
      <w:pPr>
        <w:pStyle w:val="Odstavecseseznamem"/>
        <w:numPr>
          <w:ilvl w:val="0"/>
          <w:numId w:val="21"/>
        </w:numPr>
        <w:spacing w:before="120"/>
        <w:ind w:left="454" w:hanging="454"/>
        <w:contextualSpacing w:val="0"/>
        <w:rPr>
          <w:noProof/>
        </w:rPr>
      </w:pPr>
      <w:r w:rsidRPr="00EA52D7">
        <w:rPr>
          <w:noProof/>
        </w:rPr>
        <w:t>Feldman, R.</w:t>
      </w:r>
      <w:r>
        <w:rPr>
          <w:noProof/>
        </w:rPr>
        <w:t xml:space="preserve"> </w:t>
      </w:r>
      <w:r w:rsidRPr="000E7A5E">
        <w:t>–</w:t>
      </w:r>
      <w:r>
        <w:t xml:space="preserve"> </w:t>
      </w:r>
      <w:r w:rsidRPr="00EA52D7">
        <w:rPr>
          <w:noProof/>
        </w:rPr>
        <w:t>Govindaraj, S.</w:t>
      </w:r>
      <w:r>
        <w:rPr>
          <w:noProof/>
        </w:rPr>
        <w:t xml:space="preserve"> V. </w:t>
      </w:r>
      <w:r w:rsidRPr="000E7A5E">
        <w:t>–</w:t>
      </w:r>
      <w:r w:rsidRPr="00EA52D7">
        <w:rPr>
          <w:noProof/>
        </w:rPr>
        <w:t xml:space="preserve"> Livnat, J.</w:t>
      </w:r>
      <w:r>
        <w:rPr>
          <w:noProof/>
        </w:rPr>
        <w:t xml:space="preserve"> </w:t>
      </w:r>
      <w:r w:rsidRPr="000E7A5E">
        <w:t xml:space="preserve">– </w:t>
      </w:r>
      <w:r w:rsidRPr="00EA52D7">
        <w:rPr>
          <w:noProof/>
        </w:rPr>
        <w:t xml:space="preserve"> Segal, B.</w:t>
      </w:r>
      <w:r>
        <w:rPr>
          <w:noProof/>
        </w:rPr>
        <w:t>,</w:t>
      </w:r>
      <w:r w:rsidRPr="00EA52D7">
        <w:rPr>
          <w:noProof/>
        </w:rPr>
        <w:t xml:space="preserve"> 2010. Management's tone change, post earnings announcement drift and accruals, </w:t>
      </w:r>
      <w:r w:rsidRPr="00EA07BD">
        <w:rPr>
          <w:i/>
          <w:noProof/>
        </w:rPr>
        <w:t>Review of Accounting Studies</w:t>
      </w:r>
      <w:r w:rsidR="00EA07BD">
        <w:rPr>
          <w:i/>
          <w:noProof/>
        </w:rPr>
        <w:t>,</w:t>
      </w:r>
      <w:r w:rsidRPr="00EA07BD">
        <w:rPr>
          <w:i/>
          <w:noProof/>
        </w:rPr>
        <w:t xml:space="preserve"> </w:t>
      </w:r>
      <w:r w:rsidR="00EA07BD">
        <w:rPr>
          <w:noProof/>
        </w:rPr>
        <w:t xml:space="preserve">Vol. </w:t>
      </w:r>
      <w:r w:rsidRPr="00EA52D7">
        <w:rPr>
          <w:noProof/>
        </w:rPr>
        <w:t>15</w:t>
      </w:r>
      <w:r w:rsidR="00EA07BD">
        <w:rPr>
          <w:noProof/>
        </w:rPr>
        <w:t>, pp.</w:t>
      </w:r>
      <w:r w:rsidRPr="00EA52D7">
        <w:rPr>
          <w:noProof/>
        </w:rPr>
        <w:t xml:space="preserve"> 915–953. </w:t>
      </w:r>
      <w:hyperlink r:id="rId9" w:history="1">
        <w:r w:rsidRPr="00EA52D7">
          <w:rPr>
            <w:noProof/>
          </w:rPr>
          <w:t>http://dx</w:t>
        </w:r>
      </w:hyperlink>
      <w:r w:rsidRPr="00EA52D7">
        <w:rPr>
          <w:noProof/>
        </w:rPr>
        <w:t>. doi.10.1007/s11142-009-9111-x</w:t>
      </w:r>
      <w:r w:rsidR="00EA07BD">
        <w:rPr>
          <w:noProof/>
        </w:rPr>
        <w:t xml:space="preserve">. </w:t>
      </w:r>
      <w:r w:rsidR="00EA07BD" w:rsidRPr="001C78A6">
        <w:rPr>
          <w:lang w:val="sk-SK"/>
        </w:rPr>
        <w:t>[</w:t>
      </w:r>
      <w:proofErr w:type="spellStart"/>
      <w:r w:rsidR="00EA07BD">
        <w:rPr>
          <w:lang w:val="sk-SK"/>
        </w:rPr>
        <w:t>accessed</w:t>
      </w:r>
      <w:proofErr w:type="spellEnd"/>
      <w:r w:rsidR="00EA07BD">
        <w:rPr>
          <w:lang w:val="sk-SK"/>
        </w:rPr>
        <w:t xml:space="preserve"> </w:t>
      </w:r>
      <w:proofErr w:type="gramStart"/>
      <w:r w:rsidR="00EA07BD">
        <w:rPr>
          <w:lang w:val="sk-SK"/>
        </w:rPr>
        <w:t>21.11.2016</w:t>
      </w:r>
      <w:proofErr w:type="gramEnd"/>
      <w:r w:rsidR="00EA07BD" w:rsidRPr="000E7A5E">
        <w:rPr>
          <w:lang w:val="sk-SK"/>
        </w:rPr>
        <w:t>].</w:t>
      </w:r>
    </w:p>
    <w:p w:rsidR="001C78A6" w:rsidRPr="004E0C43" w:rsidRDefault="001C78A6" w:rsidP="00E02AC2">
      <w:pPr>
        <w:pStyle w:val="Odstavecseseznamem"/>
        <w:numPr>
          <w:ilvl w:val="0"/>
          <w:numId w:val="21"/>
        </w:numPr>
        <w:spacing w:before="120"/>
        <w:ind w:left="454" w:hanging="454"/>
        <w:contextualSpacing w:val="0"/>
        <w:rPr>
          <w:noProof/>
        </w:rPr>
      </w:pPr>
      <w:r w:rsidRPr="0042600E">
        <w:rPr>
          <w:noProof/>
        </w:rPr>
        <w:t>García</w:t>
      </w:r>
      <w:r>
        <w:rPr>
          <w:noProof/>
        </w:rPr>
        <w:t>,</w:t>
      </w:r>
      <w:r w:rsidRPr="0042600E">
        <w:rPr>
          <w:noProof/>
        </w:rPr>
        <w:t xml:space="preserve"> D</w:t>
      </w:r>
      <w:r>
        <w:rPr>
          <w:noProof/>
        </w:rPr>
        <w:t xml:space="preserve">., </w:t>
      </w:r>
      <w:r w:rsidRPr="0042600E">
        <w:rPr>
          <w:noProof/>
        </w:rPr>
        <w:t>2013</w:t>
      </w:r>
      <w:r>
        <w:rPr>
          <w:noProof/>
        </w:rPr>
        <w:t>.</w:t>
      </w:r>
      <w:r w:rsidRPr="0042600E">
        <w:rPr>
          <w:noProof/>
        </w:rPr>
        <w:t xml:space="preserve"> Sentiment during Recessions. </w:t>
      </w:r>
      <w:r w:rsidRPr="00AA6F7B">
        <w:rPr>
          <w:i/>
          <w:noProof/>
        </w:rPr>
        <w:t>Journal of Finance</w:t>
      </w:r>
      <w:r>
        <w:rPr>
          <w:noProof/>
        </w:rPr>
        <w:t xml:space="preserve">, Vol. </w:t>
      </w:r>
      <w:r w:rsidRPr="0042600E">
        <w:rPr>
          <w:noProof/>
        </w:rPr>
        <w:t>68</w:t>
      </w:r>
      <w:r>
        <w:rPr>
          <w:noProof/>
        </w:rPr>
        <w:t xml:space="preserve">, pp. </w:t>
      </w:r>
      <w:r w:rsidRPr="0042600E">
        <w:rPr>
          <w:noProof/>
        </w:rPr>
        <w:t>1267–1300</w:t>
      </w:r>
      <w:r>
        <w:rPr>
          <w:noProof/>
        </w:rPr>
        <w:t>.</w:t>
      </w:r>
      <w:r w:rsidR="00026D54">
        <w:rPr>
          <w:noProof/>
        </w:rPr>
        <w:t xml:space="preserve"> ISSN </w:t>
      </w:r>
      <w:r w:rsidR="00026D54">
        <w:rPr>
          <w:lang w:val="en"/>
        </w:rPr>
        <w:t>1540-6261</w:t>
      </w:r>
      <w:r w:rsidR="007052F9">
        <w:rPr>
          <w:lang w:val="en"/>
        </w:rPr>
        <w:t>.</w:t>
      </w:r>
    </w:p>
    <w:p w:rsidR="004E0C43" w:rsidRPr="004E0C43" w:rsidRDefault="004E0C43" w:rsidP="004E0C43">
      <w:pPr>
        <w:pStyle w:val="Odstavecseseznamem"/>
        <w:numPr>
          <w:ilvl w:val="0"/>
          <w:numId w:val="21"/>
        </w:numPr>
        <w:spacing w:before="120"/>
        <w:ind w:left="454" w:hanging="454"/>
        <w:contextualSpacing w:val="0"/>
        <w:rPr>
          <w:noProof/>
        </w:rPr>
      </w:pPr>
      <w:r w:rsidRPr="004E0C43">
        <w:rPr>
          <w:noProof/>
        </w:rPr>
        <w:t xml:space="preserve">Hájek, P. </w:t>
      </w:r>
      <w:r w:rsidRPr="000E7A5E">
        <w:t>–</w:t>
      </w:r>
      <w:r>
        <w:t xml:space="preserve"> </w:t>
      </w:r>
      <w:r w:rsidRPr="004E0C43">
        <w:rPr>
          <w:noProof/>
        </w:rPr>
        <w:t>Olej, V.</w:t>
      </w:r>
      <w:r>
        <w:rPr>
          <w:noProof/>
        </w:rPr>
        <w:t xml:space="preserve"> </w:t>
      </w:r>
      <w:r w:rsidRPr="000E7A5E">
        <w:t>–</w:t>
      </w:r>
      <w:r w:rsidRPr="004E0C43">
        <w:rPr>
          <w:noProof/>
        </w:rPr>
        <w:t xml:space="preserve"> Myšková, R.</w:t>
      </w:r>
      <w:r>
        <w:rPr>
          <w:noProof/>
        </w:rPr>
        <w:t>, 2013.</w:t>
      </w:r>
      <w:r w:rsidRPr="004E0C43">
        <w:rPr>
          <w:noProof/>
        </w:rPr>
        <w:t xml:space="preserve"> Forecasting Stock Proces using Sentiment Information in Annual Reports – A Neural Network and Support Vector Regression Approach. In </w:t>
      </w:r>
      <w:r w:rsidRPr="004E0C43">
        <w:rPr>
          <w:i/>
          <w:noProof/>
        </w:rPr>
        <w:t>WSEAS Transaction on Environment and Development</w:t>
      </w:r>
      <w:r w:rsidRPr="004E0C43">
        <w:rPr>
          <w:noProof/>
        </w:rPr>
        <w:t>. Vol</w:t>
      </w:r>
      <w:r w:rsidR="007052F9">
        <w:rPr>
          <w:noProof/>
        </w:rPr>
        <w:t>.</w:t>
      </w:r>
      <w:r w:rsidRPr="004E0C43">
        <w:rPr>
          <w:noProof/>
        </w:rPr>
        <w:t xml:space="preserve"> 10, </w:t>
      </w:r>
      <w:r w:rsidR="007052F9">
        <w:rPr>
          <w:noProof/>
        </w:rPr>
        <w:t xml:space="preserve">Issue 4, </w:t>
      </w:r>
      <w:r w:rsidRPr="004E0C43">
        <w:rPr>
          <w:noProof/>
        </w:rPr>
        <w:t>p</w:t>
      </w:r>
      <w:r w:rsidR="003F6D45">
        <w:rPr>
          <w:noProof/>
        </w:rPr>
        <w:t>p</w:t>
      </w:r>
      <w:r w:rsidRPr="004E0C43">
        <w:rPr>
          <w:noProof/>
        </w:rPr>
        <w:t>. 293-305. E-ISSN: 2224-2899</w:t>
      </w:r>
    </w:p>
    <w:p w:rsidR="004E0C43" w:rsidRPr="004E0C43" w:rsidRDefault="004E0C43" w:rsidP="00677EEE">
      <w:pPr>
        <w:pStyle w:val="Odstavecseseznamem"/>
        <w:numPr>
          <w:ilvl w:val="0"/>
          <w:numId w:val="21"/>
        </w:numPr>
        <w:spacing w:before="120"/>
        <w:ind w:left="454" w:hanging="454"/>
        <w:contextualSpacing w:val="0"/>
        <w:rPr>
          <w:noProof/>
        </w:rPr>
      </w:pPr>
      <w:r w:rsidRPr="009040CE">
        <w:rPr>
          <w:noProof/>
        </w:rPr>
        <w:t>Hájek</w:t>
      </w:r>
      <w:r>
        <w:rPr>
          <w:noProof/>
        </w:rPr>
        <w:t>,</w:t>
      </w:r>
      <w:r w:rsidRPr="009040CE">
        <w:rPr>
          <w:noProof/>
        </w:rPr>
        <w:t> P</w:t>
      </w:r>
      <w:r>
        <w:rPr>
          <w:noProof/>
        </w:rPr>
        <w:t xml:space="preserve">. </w:t>
      </w:r>
      <w:r w:rsidRPr="000E7A5E">
        <w:t>–</w:t>
      </w:r>
      <w:r>
        <w:t xml:space="preserve"> </w:t>
      </w:r>
      <w:r w:rsidRPr="009040CE">
        <w:rPr>
          <w:noProof/>
        </w:rPr>
        <w:t>Olej</w:t>
      </w:r>
      <w:r>
        <w:rPr>
          <w:noProof/>
        </w:rPr>
        <w:t>,</w:t>
      </w:r>
      <w:r w:rsidRPr="009040CE">
        <w:rPr>
          <w:noProof/>
        </w:rPr>
        <w:t> V</w:t>
      </w:r>
      <w:r>
        <w:rPr>
          <w:noProof/>
        </w:rPr>
        <w:t xml:space="preserve">. </w:t>
      </w:r>
      <w:r w:rsidRPr="000E7A5E">
        <w:t>–</w:t>
      </w:r>
      <w:r w:rsidRPr="009040CE">
        <w:rPr>
          <w:noProof/>
        </w:rPr>
        <w:t xml:space="preserve"> </w:t>
      </w:r>
      <w:r>
        <w:rPr>
          <w:noProof/>
        </w:rPr>
        <w:t>M</w:t>
      </w:r>
      <w:r w:rsidRPr="009040CE">
        <w:rPr>
          <w:noProof/>
        </w:rPr>
        <w:t>yšková</w:t>
      </w:r>
      <w:r>
        <w:rPr>
          <w:noProof/>
        </w:rPr>
        <w:t>,</w:t>
      </w:r>
      <w:r w:rsidRPr="009040CE">
        <w:rPr>
          <w:noProof/>
        </w:rPr>
        <w:t> R</w:t>
      </w:r>
      <w:r>
        <w:rPr>
          <w:noProof/>
        </w:rPr>
        <w:t xml:space="preserve">., 2014. </w:t>
      </w:r>
      <w:r w:rsidRPr="004E0C43">
        <w:rPr>
          <w:noProof/>
        </w:rPr>
        <w:t xml:space="preserve">Forecasting corporate financial performance using sentiment in annual reports for stakeholders’ decision-making. </w:t>
      </w:r>
      <w:r w:rsidRPr="004E0C43">
        <w:rPr>
          <w:i/>
          <w:noProof/>
        </w:rPr>
        <w:t>Technological and Economic Development of Economy</w:t>
      </w:r>
      <w:r>
        <w:rPr>
          <w:i/>
          <w:noProof/>
        </w:rPr>
        <w:t>.</w:t>
      </w:r>
      <w:r>
        <w:rPr>
          <w:noProof/>
        </w:rPr>
        <w:t xml:space="preserve"> Vol. </w:t>
      </w:r>
      <w:r w:rsidRPr="009040CE">
        <w:rPr>
          <w:noProof/>
        </w:rPr>
        <w:t>20,</w:t>
      </w:r>
      <w:r>
        <w:rPr>
          <w:noProof/>
        </w:rPr>
        <w:t xml:space="preserve"> </w:t>
      </w:r>
      <w:r w:rsidR="007052F9">
        <w:rPr>
          <w:noProof/>
        </w:rPr>
        <w:t>I</w:t>
      </w:r>
      <w:r>
        <w:rPr>
          <w:noProof/>
        </w:rPr>
        <w:t xml:space="preserve">ssue </w:t>
      </w:r>
      <w:r w:rsidRPr="009040CE">
        <w:rPr>
          <w:noProof/>
        </w:rPr>
        <w:t>4,</w:t>
      </w:r>
      <w:r>
        <w:rPr>
          <w:noProof/>
        </w:rPr>
        <w:t xml:space="preserve"> p</w:t>
      </w:r>
      <w:r w:rsidR="003F6D45">
        <w:rPr>
          <w:noProof/>
        </w:rPr>
        <w:t>p</w:t>
      </w:r>
      <w:r>
        <w:rPr>
          <w:noProof/>
        </w:rPr>
        <w:t xml:space="preserve">. </w:t>
      </w:r>
      <w:r w:rsidRPr="009040CE">
        <w:rPr>
          <w:noProof/>
        </w:rPr>
        <w:t>721-738</w:t>
      </w:r>
      <w:r>
        <w:rPr>
          <w:noProof/>
        </w:rPr>
        <w:t xml:space="preserve">. </w:t>
      </w:r>
      <w:r w:rsidRPr="009040CE">
        <w:rPr>
          <w:noProof/>
        </w:rPr>
        <w:t> </w:t>
      </w:r>
      <w:r>
        <w:rPr>
          <w:noProof/>
        </w:rPr>
        <w:t xml:space="preserve">ISSN </w:t>
      </w:r>
      <w:r w:rsidRPr="004E0C43">
        <w:rPr>
          <w:noProof/>
        </w:rPr>
        <w:t>2029-4913. DOI:</w:t>
      </w:r>
      <w:r>
        <w:rPr>
          <w:noProof/>
        </w:rPr>
        <w:t xml:space="preserve"> </w:t>
      </w:r>
      <w:r w:rsidRPr="004E0C43">
        <w:rPr>
          <w:noProof/>
        </w:rPr>
        <w:t>10.3846/20294913.2014.979456</w:t>
      </w:r>
    </w:p>
    <w:p w:rsidR="004E0C43" w:rsidRDefault="003F6D45" w:rsidP="003F6D45">
      <w:pPr>
        <w:pStyle w:val="Odstavecseseznamem"/>
        <w:numPr>
          <w:ilvl w:val="0"/>
          <w:numId w:val="21"/>
        </w:numPr>
        <w:spacing w:before="120"/>
        <w:ind w:left="454" w:hanging="454"/>
        <w:contextualSpacing w:val="0"/>
        <w:rPr>
          <w:noProof/>
        </w:rPr>
      </w:pPr>
      <w:r>
        <w:t>H</w:t>
      </w:r>
      <w:r w:rsidR="00E970C6">
        <w:t>ájek</w:t>
      </w:r>
      <w:r>
        <w:t xml:space="preserve">, P. </w:t>
      </w:r>
      <w:r w:rsidR="00E970C6" w:rsidRPr="000E7A5E">
        <w:t>–</w:t>
      </w:r>
      <w:r>
        <w:t xml:space="preserve"> O</w:t>
      </w:r>
      <w:r w:rsidR="00E970C6">
        <w:t>lej</w:t>
      </w:r>
      <w:r>
        <w:t xml:space="preserve">, V., 2015. </w:t>
      </w:r>
      <w:hyperlink r:id="rId10" w:history="1">
        <w:proofErr w:type="spellStart"/>
        <w:r w:rsidRPr="003F6D45">
          <w:rPr>
            <w:rStyle w:val="Hypertextovodkaz"/>
            <w:color w:val="auto"/>
            <w:u w:val="none"/>
          </w:rPr>
          <w:t>Visualizing</w:t>
        </w:r>
        <w:proofErr w:type="spellEnd"/>
        <w:r w:rsidRPr="003F6D45">
          <w:rPr>
            <w:rStyle w:val="Hypertextovodkaz"/>
            <w:color w:val="auto"/>
            <w:u w:val="none"/>
          </w:rPr>
          <w:t xml:space="preserve"> Word </w:t>
        </w:r>
        <w:proofErr w:type="spellStart"/>
        <w:r w:rsidRPr="003F6D45">
          <w:rPr>
            <w:rStyle w:val="Hypertextovodkaz"/>
            <w:color w:val="auto"/>
            <w:u w:val="none"/>
          </w:rPr>
          <w:t>Categorization</w:t>
        </w:r>
        <w:proofErr w:type="spellEnd"/>
        <w:r w:rsidRPr="003F6D45">
          <w:rPr>
            <w:rStyle w:val="Hypertextovodkaz"/>
            <w:color w:val="auto"/>
            <w:u w:val="none"/>
          </w:rPr>
          <w:t xml:space="preserve"> </w:t>
        </w:r>
        <w:proofErr w:type="spellStart"/>
        <w:r w:rsidRPr="003F6D45">
          <w:rPr>
            <w:rStyle w:val="Hypertextovodkaz"/>
            <w:color w:val="auto"/>
            <w:u w:val="none"/>
          </w:rPr>
          <w:t>of</w:t>
        </w:r>
        <w:proofErr w:type="spellEnd"/>
        <w:r w:rsidRPr="003F6D45">
          <w:rPr>
            <w:rStyle w:val="Hypertextovodkaz"/>
            <w:color w:val="auto"/>
            <w:u w:val="none"/>
          </w:rPr>
          <w:t xml:space="preserve"> </w:t>
        </w:r>
        <w:proofErr w:type="spellStart"/>
        <w:r w:rsidRPr="003F6D45">
          <w:rPr>
            <w:rStyle w:val="Hypertextovodkaz"/>
            <w:color w:val="auto"/>
            <w:u w:val="none"/>
          </w:rPr>
          <w:t>Corporate</w:t>
        </w:r>
        <w:proofErr w:type="spellEnd"/>
        <w:r w:rsidRPr="003F6D45">
          <w:rPr>
            <w:rStyle w:val="Hypertextovodkaz"/>
            <w:color w:val="auto"/>
            <w:u w:val="none"/>
          </w:rPr>
          <w:t xml:space="preserve"> </w:t>
        </w:r>
        <w:proofErr w:type="spellStart"/>
        <w:r w:rsidRPr="003F6D45">
          <w:rPr>
            <w:rStyle w:val="Hypertextovodkaz"/>
            <w:color w:val="auto"/>
            <w:u w:val="none"/>
          </w:rPr>
          <w:t>Annual</w:t>
        </w:r>
        <w:proofErr w:type="spellEnd"/>
        <w:r w:rsidRPr="003F6D45">
          <w:rPr>
            <w:rStyle w:val="Hypertextovodkaz"/>
            <w:color w:val="auto"/>
            <w:u w:val="none"/>
          </w:rPr>
          <w:t xml:space="preserve"> </w:t>
        </w:r>
        <w:proofErr w:type="spellStart"/>
        <w:r w:rsidRPr="003F6D45">
          <w:rPr>
            <w:rStyle w:val="Hypertextovodkaz"/>
            <w:color w:val="auto"/>
            <w:u w:val="none"/>
          </w:rPr>
          <w:t>Reports</w:t>
        </w:r>
        <w:proofErr w:type="spellEnd"/>
        <w:r w:rsidRPr="003F6D45">
          <w:rPr>
            <w:rStyle w:val="Hypertextovodkaz"/>
            <w:color w:val="auto"/>
            <w:u w:val="none"/>
          </w:rPr>
          <w:t xml:space="preserve"> </w:t>
        </w:r>
        <w:proofErr w:type="spellStart"/>
        <w:r w:rsidRPr="003F6D45">
          <w:rPr>
            <w:rStyle w:val="Hypertextovodkaz"/>
            <w:color w:val="auto"/>
            <w:u w:val="none"/>
          </w:rPr>
          <w:t>Using</w:t>
        </w:r>
        <w:proofErr w:type="spellEnd"/>
        <w:r w:rsidRPr="003F6D45">
          <w:rPr>
            <w:rStyle w:val="Hypertextovodkaz"/>
            <w:color w:val="auto"/>
            <w:u w:val="none"/>
          </w:rPr>
          <w:t xml:space="preserve"> </w:t>
        </w:r>
        <w:proofErr w:type="spellStart"/>
        <w:r w:rsidRPr="003F6D45">
          <w:rPr>
            <w:rStyle w:val="Hypertextovodkaz"/>
            <w:color w:val="auto"/>
            <w:u w:val="none"/>
          </w:rPr>
          <w:t>Self-Organizing</w:t>
        </w:r>
        <w:proofErr w:type="spellEnd"/>
        <w:r w:rsidRPr="003F6D45">
          <w:rPr>
            <w:rStyle w:val="Hypertextovodkaz"/>
            <w:color w:val="auto"/>
            <w:u w:val="none"/>
          </w:rPr>
          <w:t xml:space="preserve"> </w:t>
        </w:r>
        <w:proofErr w:type="spellStart"/>
        <w:r w:rsidRPr="003F6D45">
          <w:rPr>
            <w:rStyle w:val="Hypertextovodkaz"/>
            <w:color w:val="auto"/>
            <w:u w:val="none"/>
          </w:rPr>
          <w:t>Maps</w:t>
        </w:r>
        <w:proofErr w:type="spellEnd"/>
      </w:hyperlink>
      <w:r w:rsidRPr="003F6D45">
        <w:t>.</w:t>
      </w:r>
      <w:r>
        <w:t xml:space="preserve"> In </w:t>
      </w:r>
      <w:r>
        <w:rPr>
          <w:i/>
          <w:iCs/>
        </w:rPr>
        <w:t xml:space="preserve">6th International </w:t>
      </w:r>
      <w:proofErr w:type="spellStart"/>
      <w:r>
        <w:rPr>
          <w:i/>
          <w:iCs/>
        </w:rPr>
        <w:t>Multi-Conference</w:t>
      </w:r>
      <w:proofErr w:type="spellEnd"/>
      <w:r>
        <w:rPr>
          <w:i/>
          <w:iCs/>
        </w:rPr>
        <w:t xml:space="preserve"> on </w:t>
      </w:r>
      <w:proofErr w:type="spellStart"/>
      <w:r>
        <w:rPr>
          <w:i/>
          <w:iCs/>
        </w:rPr>
        <w:t>Complexity</w:t>
      </w:r>
      <w:proofErr w:type="spellEnd"/>
      <w:r>
        <w:rPr>
          <w:i/>
          <w:iCs/>
        </w:rPr>
        <w:t xml:space="preserve">, </w:t>
      </w:r>
      <w:proofErr w:type="spellStart"/>
      <w:r>
        <w:rPr>
          <w:i/>
          <w:iCs/>
        </w:rPr>
        <w:t>Informatics</w:t>
      </w:r>
      <w:proofErr w:type="spellEnd"/>
      <w:r>
        <w:rPr>
          <w:i/>
          <w:iCs/>
        </w:rPr>
        <w:t xml:space="preserve"> and </w:t>
      </w:r>
      <w:proofErr w:type="spellStart"/>
      <w:r>
        <w:rPr>
          <w:i/>
          <w:iCs/>
        </w:rPr>
        <w:t>Cybernetics</w:t>
      </w:r>
      <w:proofErr w:type="spellEnd"/>
      <w:r>
        <w:rPr>
          <w:i/>
          <w:iCs/>
        </w:rPr>
        <w:t xml:space="preserve">, IMCIC 2015: </w:t>
      </w:r>
      <w:proofErr w:type="spellStart"/>
      <w:r>
        <w:rPr>
          <w:i/>
          <w:iCs/>
        </w:rPr>
        <w:t>Proceedings</w:t>
      </w:r>
      <w:proofErr w:type="spellEnd"/>
      <w:r>
        <w:rPr>
          <w:i/>
          <w:iCs/>
        </w:rPr>
        <w:t xml:space="preserve"> Vol. II</w:t>
      </w:r>
      <w:r>
        <w:t xml:space="preserve">. Winter Garden: International Institute </w:t>
      </w:r>
      <w:proofErr w:type="spellStart"/>
      <w:r>
        <w:t>of</w:t>
      </w:r>
      <w:proofErr w:type="spellEnd"/>
      <w:r>
        <w:t xml:space="preserve"> </w:t>
      </w:r>
      <w:proofErr w:type="spellStart"/>
      <w:r>
        <w:t>Informatics</w:t>
      </w:r>
      <w:proofErr w:type="spellEnd"/>
      <w:r>
        <w:t xml:space="preserve"> and </w:t>
      </w:r>
      <w:proofErr w:type="spellStart"/>
      <w:r>
        <w:t>Systemics</w:t>
      </w:r>
      <w:proofErr w:type="spellEnd"/>
      <w:r>
        <w:t>. pp. 51-56. ISBN 978-1-941763-20-9.</w:t>
      </w:r>
    </w:p>
    <w:p w:rsidR="001C78A6" w:rsidRDefault="001C78A6" w:rsidP="00E02AC2">
      <w:pPr>
        <w:pStyle w:val="Odstavecseseznamem"/>
        <w:numPr>
          <w:ilvl w:val="0"/>
          <w:numId w:val="21"/>
        </w:numPr>
        <w:spacing w:before="120"/>
        <w:ind w:left="454" w:hanging="454"/>
        <w:contextualSpacing w:val="0"/>
        <w:rPr>
          <w:noProof/>
        </w:rPr>
      </w:pPr>
      <w:r w:rsidRPr="0042600E">
        <w:rPr>
          <w:noProof/>
        </w:rPr>
        <w:t>Hart</w:t>
      </w:r>
      <w:r w:rsidR="007052F9">
        <w:rPr>
          <w:noProof/>
        </w:rPr>
        <w:t>,</w:t>
      </w:r>
      <w:r w:rsidRPr="0042600E">
        <w:rPr>
          <w:noProof/>
        </w:rPr>
        <w:t xml:space="preserve"> R</w:t>
      </w:r>
      <w:r>
        <w:rPr>
          <w:noProof/>
        </w:rPr>
        <w:t xml:space="preserve">. </w:t>
      </w:r>
      <w:r w:rsidRPr="0042600E">
        <w:rPr>
          <w:noProof/>
        </w:rPr>
        <w:t>P</w:t>
      </w:r>
      <w:r>
        <w:rPr>
          <w:noProof/>
        </w:rPr>
        <w:t>.,</w:t>
      </w:r>
      <w:r w:rsidRPr="0042600E">
        <w:rPr>
          <w:noProof/>
        </w:rPr>
        <w:t xml:space="preserve"> 2001</w:t>
      </w:r>
      <w:r>
        <w:rPr>
          <w:noProof/>
        </w:rPr>
        <w:t>.</w:t>
      </w:r>
      <w:r w:rsidRPr="0042600E">
        <w:rPr>
          <w:noProof/>
        </w:rPr>
        <w:t xml:space="preserve"> Redeveloping DICTION: Theor</w:t>
      </w:r>
      <w:r>
        <w:rPr>
          <w:noProof/>
        </w:rPr>
        <w:t>etical considerations (new). In</w:t>
      </w:r>
      <w:r w:rsidRPr="0042600E">
        <w:rPr>
          <w:noProof/>
        </w:rPr>
        <w:t xml:space="preserve"> </w:t>
      </w:r>
      <w:r w:rsidRPr="00AA6F7B">
        <w:rPr>
          <w:i/>
          <w:noProof/>
        </w:rPr>
        <w:t>Theory, Method, and Practice in Computational Content Analysis.</w:t>
      </w:r>
      <w:r>
        <w:rPr>
          <w:noProof/>
        </w:rPr>
        <w:t xml:space="preserve"> Westport: CT Ablex,</w:t>
      </w:r>
      <w:r w:rsidRPr="0042600E">
        <w:rPr>
          <w:noProof/>
        </w:rPr>
        <w:t xml:space="preserve"> pp</w:t>
      </w:r>
      <w:r>
        <w:rPr>
          <w:noProof/>
        </w:rPr>
        <w:t>.</w:t>
      </w:r>
      <w:r w:rsidRPr="0042600E">
        <w:rPr>
          <w:noProof/>
        </w:rPr>
        <w:t xml:space="preserve"> 43–60</w:t>
      </w:r>
      <w:r>
        <w:rPr>
          <w:noProof/>
        </w:rPr>
        <w:t>.</w:t>
      </w:r>
      <w:r w:rsidR="00026D54">
        <w:rPr>
          <w:noProof/>
        </w:rPr>
        <w:t xml:space="preserve"> ISSN 0163-5689.</w:t>
      </w:r>
    </w:p>
    <w:p w:rsidR="001C78A6" w:rsidRPr="00AA6F7B" w:rsidRDefault="001C78A6" w:rsidP="00E02AC2">
      <w:pPr>
        <w:pStyle w:val="Odstavecseseznamem"/>
        <w:numPr>
          <w:ilvl w:val="0"/>
          <w:numId w:val="21"/>
        </w:numPr>
        <w:spacing w:before="120"/>
        <w:ind w:left="454" w:hanging="454"/>
        <w:contextualSpacing w:val="0"/>
        <w:rPr>
          <w:lang w:val="en-GB"/>
        </w:rPr>
      </w:pPr>
      <w:r w:rsidRPr="00422C55">
        <w:t>H</w:t>
      </w:r>
      <w:r>
        <w:t>enry</w:t>
      </w:r>
      <w:r w:rsidRPr="00422C55">
        <w:t>, E.</w:t>
      </w:r>
      <w:r>
        <w:t>, 2008.</w:t>
      </w:r>
      <w:r w:rsidRPr="00422C55">
        <w:t xml:space="preserve"> Are </w:t>
      </w:r>
      <w:proofErr w:type="spellStart"/>
      <w:r w:rsidRPr="00422C55">
        <w:t>Investors</w:t>
      </w:r>
      <w:proofErr w:type="spellEnd"/>
      <w:r w:rsidRPr="00422C55">
        <w:t xml:space="preserve"> </w:t>
      </w:r>
      <w:proofErr w:type="spellStart"/>
      <w:r w:rsidRPr="00422C55">
        <w:t>Influenced</w:t>
      </w:r>
      <w:proofErr w:type="spellEnd"/>
      <w:r w:rsidRPr="00422C55">
        <w:t xml:space="preserve"> </w:t>
      </w:r>
      <w:r>
        <w:t>b</w:t>
      </w:r>
      <w:r w:rsidRPr="00422C55">
        <w:t xml:space="preserve">y </w:t>
      </w:r>
      <w:proofErr w:type="spellStart"/>
      <w:r w:rsidRPr="00422C55">
        <w:t>How</w:t>
      </w:r>
      <w:proofErr w:type="spellEnd"/>
      <w:r w:rsidRPr="00422C55">
        <w:t xml:space="preserve"> </w:t>
      </w:r>
      <w:proofErr w:type="spellStart"/>
      <w:r w:rsidRPr="00422C55">
        <w:t>Earnings</w:t>
      </w:r>
      <w:proofErr w:type="spellEnd"/>
      <w:r w:rsidRPr="00422C55">
        <w:t xml:space="preserve"> </w:t>
      </w:r>
      <w:proofErr w:type="spellStart"/>
      <w:r w:rsidRPr="00422C55">
        <w:t>Press</w:t>
      </w:r>
      <w:proofErr w:type="spellEnd"/>
      <w:r w:rsidRPr="00422C55">
        <w:t xml:space="preserve"> </w:t>
      </w:r>
      <w:proofErr w:type="spellStart"/>
      <w:r w:rsidRPr="00422C55">
        <w:t>Releases</w:t>
      </w:r>
      <w:proofErr w:type="spellEnd"/>
      <w:r w:rsidRPr="00422C55">
        <w:t xml:space="preserve"> Are </w:t>
      </w:r>
      <w:proofErr w:type="spellStart"/>
      <w:r w:rsidRPr="00422C55">
        <w:t>Written</w:t>
      </w:r>
      <w:proofErr w:type="spellEnd"/>
      <w:r w:rsidRPr="00422C55">
        <w:t xml:space="preserve">? </w:t>
      </w:r>
      <w:proofErr w:type="spellStart"/>
      <w:r w:rsidRPr="00AA6F7B">
        <w:rPr>
          <w:i/>
        </w:rPr>
        <w:t>Journal</w:t>
      </w:r>
      <w:proofErr w:type="spellEnd"/>
      <w:r w:rsidRPr="00AA6F7B">
        <w:rPr>
          <w:i/>
        </w:rPr>
        <w:t xml:space="preserve"> </w:t>
      </w:r>
      <w:proofErr w:type="spellStart"/>
      <w:r w:rsidRPr="00AA6F7B">
        <w:rPr>
          <w:i/>
        </w:rPr>
        <w:t>of</w:t>
      </w:r>
      <w:proofErr w:type="spellEnd"/>
      <w:r w:rsidRPr="00AA6F7B">
        <w:rPr>
          <w:i/>
        </w:rPr>
        <w:t xml:space="preserve"> Business </w:t>
      </w:r>
      <w:proofErr w:type="spellStart"/>
      <w:r w:rsidRPr="00AA6F7B">
        <w:rPr>
          <w:i/>
        </w:rPr>
        <w:t>Communication</w:t>
      </w:r>
      <w:proofErr w:type="spellEnd"/>
      <w:r>
        <w:t xml:space="preserve">, Vol. 45, </w:t>
      </w:r>
      <w:proofErr w:type="spellStart"/>
      <w:r>
        <w:t>Issue</w:t>
      </w:r>
      <w:proofErr w:type="spellEnd"/>
      <w:r>
        <w:t xml:space="preserve"> 4, pp. 363</w:t>
      </w:r>
      <w:r w:rsidRPr="00AA6F7B">
        <w:rPr>
          <w:szCs w:val="18"/>
          <w:lang w:val="en-GB"/>
        </w:rPr>
        <w:t>–</w:t>
      </w:r>
      <w:r>
        <w:t>407.</w:t>
      </w:r>
      <w:r w:rsidR="00026D54">
        <w:t xml:space="preserve"> ISSN 00219436.</w:t>
      </w:r>
    </w:p>
    <w:p w:rsidR="001C78A6" w:rsidRDefault="001C78A6" w:rsidP="00E02AC2">
      <w:pPr>
        <w:pStyle w:val="suggested-citation"/>
        <w:numPr>
          <w:ilvl w:val="0"/>
          <w:numId w:val="21"/>
        </w:numPr>
        <w:spacing w:before="120" w:beforeAutospacing="0" w:after="0" w:afterAutospacing="0"/>
        <w:ind w:left="454" w:hanging="454"/>
      </w:pPr>
      <w:proofErr w:type="spellStart"/>
      <w:r w:rsidRPr="003F0176">
        <w:t>Kothari</w:t>
      </w:r>
      <w:proofErr w:type="spellEnd"/>
      <w:r w:rsidRPr="003F0176">
        <w:t>, S. P.</w:t>
      </w:r>
      <w:r>
        <w:t xml:space="preserve"> </w:t>
      </w:r>
      <w:r w:rsidRPr="000E7A5E">
        <w:t>–</w:t>
      </w:r>
      <w:r w:rsidRPr="003F0176">
        <w:t xml:space="preserve"> </w:t>
      </w:r>
      <w:proofErr w:type="spellStart"/>
      <w:r w:rsidRPr="003F0176">
        <w:t>Li</w:t>
      </w:r>
      <w:proofErr w:type="spellEnd"/>
      <w:r w:rsidRPr="003F0176">
        <w:t>, X.</w:t>
      </w:r>
      <w:r>
        <w:t xml:space="preserve"> </w:t>
      </w:r>
      <w:r w:rsidRPr="000E7A5E">
        <w:t xml:space="preserve">– </w:t>
      </w:r>
      <w:proofErr w:type="spellStart"/>
      <w:r w:rsidRPr="003F0176">
        <w:t>Short</w:t>
      </w:r>
      <w:proofErr w:type="spellEnd"/>
      <w:r w:rsidRPr="003F0176">
        <w:t>, J. E.</w:t>
      </w:r>
      <w:r>
        <w:t xml:space="preserve">, 2009. </w:t>
      </w:r>
      <w:proofErr w:type="spellStart"/>
      <w:r w:rsidRPr="003F0176">
        <w:t>The</w:t>
      </w:r>
      <w:proofErr w:type="spellEnd"/>
      <w:r w:rsidRPr="003F0176">
        <w:t xml:space="preserve"> </w:t>
      </w:r>
      <w:proofErr w:type="spellStart"/>
      <w:r w:rsidRPr="003F0176">
        <w:t>Effect</w:t>
      </w:r>
      <w:proofErr w:type="spellEnd"/>
      <w:r w:rsidRPr="003F0176">
        <w:t xml:space="preserve"> </w:t>
      </w:r>
      <w:proofErr w:type="spellStart"/>
      <w:r w:rsidRPr="003F0176">
        <w:t>of</w:t>
      </w:r>
      <w:proofErr w:type="spellEnd"/>
      <w:r w:rsidRPr="003F0176">
        <w:t xml:space="preserve"> </w:t>
      </w:r>
      <w:proofErr w:type="spellStart"/>
      <w:r w:rsidRPr="003F0176">
        <w:t>Disclosures</w:t>
      </w:r>
      <w:proofErr w:type="spellEnd"/>
      <w:r w:rsidRPr="003F0176">
        <w:t xml:space="preserve"> by Management,</w:t>
      </w:r>
      <w:r>
        <w:t xml:space="preserve"> </w:t>
      </w:r>
      <w:proofErr w:type="spellStart"/>
      <w:r w:rsidRPr="003F0176">
        <w:t>Analysts</w:t>
      </w:r>
      <w:proofErr w:type="spellEnd"/>
      <w:r w:rsidRPr="003F0176">
        <w:t xml:space="preserve">, and Business </w:t>
      </w:r>
      <w:proofErr w:type="spellStart"/>
      <w:r w:rsidRPr="003F0176">
        <w:t>Press</w:t>
      </w:r>
      <w:proofErr w:type="spellEnd"/>
      <w:r w:rsidRPr="003F0176">
        <w:t xml:space="preserve"> on </w:t>
      </w:r>
      <w:proofErr w:type="spellStart"/>
      <w:r w:rsidRPr="003F0176">
        <w:t>Cost</w:t>
      </w:r>
      <w:proofErr w:type="spellEnd"/>
      <w:r>
        <w:t xml:space="preserve"> </w:t>
      </w:r>
      <w:proofErr w:type="spellStart"/>
      <w:r w:rsidRPr="003F0176">
        <w:t>of</w:t>
      </w:r>
      <w:proofErr w:type="spellEnd"/>
      <w:r w:rsidRPr="003F0176">
        <w:t xml:space="preserve"> </w:t>
      </w:r>
      <w:proofErr w:type="spellStart"/>
      <w:r w:rsidRPr="003F0176">
        <w:t>Capital</w:t>
      </w:r>
      <w:proofErr w:type="spellEnd"/>
      <w:r w:rsidRPr="003F0176">
        <w:t>, Return Volatility, and</w:t>
      </w:r>
      <w:r>
        <w:t xml:space="preserve"> </w:t>
      </w:r>
      <w:proofErr w:type="spellStart"/>
      <w:r w:rsidRPr="003F0176">
        <w:t>Analyst</w:t>
      </w:r>
      <w:proofErr w:type="spellEnd"/>
      <w:r w:rsidRPr="003F0176">
        <w:t xml:space="preserve"> </w:t>
      </w:r>
      <w:proofErr w:type="spellStart"/>
      <w:r w:rsidRPr="003F0176">
        <w:t>Forecasts</w:t>
      </w:r>
      <w:proofErr w:type="spellEnd"/>
      <w:r w:rsidRPr="003F0176">
        <w:t xml:space="preserve">: A Study </w:t>
      </w:r>
      <w:proofErr w:type="spellStart"/>
      <w:r w:rsidRPr="003F0176">
        <w:t>Using</w:t>
      </w:r>
      <w:proofErr w:type="spellEnd"/>
      <w:r w:rsidRPr="003F0176">
        <w:t xml:space="preserve"> </w:t>
      </w:r>
      <w:proofErr w:type="spellStart"/>
      <w:r w:rsidRPr="003F0176">
        <w:t>Content</w:t>
      </w:r>
      <w:proofErr w:type="spellEnd"/>
      <w:r w:rsidRPr="003F0176">
        <w:t xml:space="preserve"> </w:t>
      </w:r>
      <w:proofErr w:type="spellStart"/>
      <w:r w:rsidRPr="003F0176">
        <w:t>Analysis</w:t>
      </w:r>
      <w:proofErr w:type="spellEnd"/>
      <w:r w:rsidRPr="003F0176">
        <w:t xml:space="preserve">. </w:t>
      </w:r>
      <w:proofErr w:type="spellStart"/>
      <w:r w:rsidRPr="006625C1">
        <w:rPr>
          <w:i/>
        </w:rPr>
        <w:t>The</w:t>
      </w:r>
      <w:proofErr w:type="spellEnd"/>
      <w:r w:rsidRPr="006625C1">
        <w:rPr>
          <w:i/>
        </w:rPr>
        <w:t xml:space="preserve"> </w:t>
      </w:r>
      <w:proofErr w:type="spellStart"/>
      <w:r w:rsidRPr="006625C1">
        <w:rPr>
          <w:i/>
        </w:rPr>
        <w:t>Accounting</w:t>
      </w:r>
      <w:proofErr w:type="spellEnd"/>
      <w:r w:rsidRPr="006625C1">
        <w:rPr>
          <w:i/>
        </w:rPr>
        <w:t xml:space="preserve"> </w:t>
      </w:r>
      <w:proofErr w:type="spellStart"/>
      <w:r w:rsidRPr="006625C1">
        <w:rPr>
          <w:i/>
        </w:rPr>
        <w:t>Review</w:t>
      </w:r>
      <w:proofErr w:type="spellEnd"/>
      <w:r w:rsidRPr="003F0176">
        <w:t>. Vol. 84, No. 5, pp. 1639-1970. DOI: 10.2308/accr.2009.84.5.1639</w:t>
      </w:r>
      <w:r w:rsidR="00A07D94">
        <w:t>. ISSN 1558-7967.</w:t>
      </w:r>
    </w:p>
    <w:p w:rsidR="001041E2" w:rsidRDefault="001041E2" w:rsidP="00CC4BDB">
      <w:pPr>
        <w:pStyle w:val="suggested-citation"/>
        <w:numPr>
          <w:ilvl w:val="0"/>
          <w:numId w:val="21"/>
        </w:numPr>
        <w:spacing w:before="120" w:beforeAutospacing="0" w:after="0" w:afterAutospacing="0"/>
        <w:ind w:left="454" w:hanging="454"/>
      </w:pPr>
      <w:r w:rsidRPr="001041E2">
        <w:t>K</w:t>
      </w:r>
      <w:r>
        <w:t xml:space="preserve">uběnka, </w:t>
      </w:r>
      <w:r w:rsidRPr="001041E2">
        <w:t>M.</w:t>
      </w:r>
      <w:r>
        <w:t>, 2014.</w:t>
      </w:r>
      <w:r w:rsidRPr="001041E2">
        <w:t xml:space="preserve"> The Factors Affecting the Accuracy of Business Failure Prediction Models. In: </w:t>
      </w:r>
      <w:r w:rsidRPr="00FB3654">
        <w:rPr>
          <w:i/>
        </w:rPr>
        <w:t>European Financial Systems 2014.</w:t>
      </w:r>
      <w:r w:rsidRPr="001041E2">
        <w:t xml:space="preserve"> </w:t>
      </w:r>
      <w:r w:rsidRPr="001041E2">
        <w:rPr>
          <w:i/>
          <w:iCs/>
        </w:rPr>
        <w:t>Proceedings of the 11th International Scientific Conference</w:t>
      </w:r>
      <w:r w:rsidRPr="001041E2">
        <w:t xml:space="preserve">, Brno: Masaryk University, pp. 364-371. ISBN 978-80-210-7153-7. </w:t>
      </w:r>
    </w:p>
    <w:p w:rsidR="001C78A6" w:rsidRDefault="001C78A6" w:rsidP="00E02AC2">
      <w:pPr>
        <w:pStyle w:val="Odstavecseseznamem"/>
        <w:numPr>
          <w:ilvl w:val="0"/>
          <w:numId w:val="21"/>
        </w:numPr>
        <w:spacing w:before="120"/>
        <w:ind w:left="454" w:hanging="454"/>
        <w:contextualSpacing w:val="0"/>
        <w:rPr>
          <w:noProof/>
        </w:rPr>
      </w:pPr>
      <w:r w:rsidRPr="000328DE">
        <w:rPr>
          <w:noProof/>
        </w:rPr>
        <w:t xml:space="preserve">Leidner, </w:t>
      </w:r>
      <w:r>
        <w:rPr>
          <w:noProof/>
        </w:rPr>
        <w:t>J. L.</w:t>
      </w:r>
      <w:r w:rsidR="008D1A90">
        <w:rPr>
          <w:noProof/>
        </w:rPr>
        <w:t xml:space="preserve"> </w:t>
      </w:r>
      <w:r w:rsidR="008D1A90" w:rsidRPr="000E7A5E">
        <w:t>–</w:t>
      </w:r>
      <w:r w:rsidRPr="000328DE">
        <w:rPr>
          <w:noProof/>
        </w:rPr>
        <w:t xml:space="preserve"> Schilder</w:t>
      </w:r>
      <w:r>
        <w:rPr>
          <w:noProof/>
        </w:rPr>
        <w:t>, F.</w:t>
      </w:r>
      <w:r w:rsidR="00651FCA">
        <w:rPr>
          <w:noProof/>
        </w:rPr>
        <w:t>,</w:t>
      </w:r>
      <w:r>
        <w:rPr>
          <w:noProof/>
        </w:rPr>
        <w:t xml:space="preserve"> 2010. </w:t>
      </w:r>
      <w:r w:rsidRPr="000328DE">
        <w:rPr>
          <w:noProof/>
        </w:rPr>
        <w:t>Hunting for the black swan: risk mining from text</w:t>
      </w:r>
      <w:r>
        <w:rPr>
          <w:noProof/>
        </w:rPr>
        <w:t xml:space="preserve">. </w:t>
      </w:r>
      <w:r w:rsidRPr="001C78A6">
        <w:rPr>
          <w:i/>
          <w:noProof/>
        </w:rPr>
        <w:t>ACLDemos '10 Proceedings of the ACL 2010 System Demonstrations.</w:t>
      </w:r>
      <w:r w:rsidRPr="000467E0">
        <w:rPr>
          <w:noProof/>
        </w:rPr>
        <w:t xml:space="preserve"> USA, PA: Association for Computational Linquistics, Stroudsburg. pp. 54-59 Bez ISBN.</w:t>
      </w:r>
    </w:p>
    <w:p w:rsidR="001C78A6" w:rsidRDefault="001C78A6" w:rsidP="00E02AC2">
      <w:pPr>
        <w:pStyle w:val="Odstavecseseznamem"/>
        <w:numPr>
          <w:ilvl w:val="0"/>
          <w:numId w:val="21"/>
        </w:numPr>
        <w:spacing w:before="120"/>
        <w:ind w:left="454" w:hanging="454"/>
        <w:contextualSpacing w:val="0"/>
        <w:rPr>
          <w:noProof/>
        </w:rPr>
      </w:pPr>
      <w:r w:rsidRPr="0042600E">
        <w:rPr>
          <w:noProof/>
        </w:rPr>
        <w:t>Li</w:t>
      </w:r>
      <w:r>
        <w:rPr>
          <w:noProof/>
        </w:rPr>
        <w:t>,</w:t>
      </w:r>
      <w:r w:rsidRPr="0042600E">
        <w:rPr>
          <w:noProof/>
        </w:rPr>
        <w:t xml:space="preserve"> F</w:t>
      </w:r>
      <w:r>
        <w:rPr>
          <w:noProof/>
        </w:rPr>
        <w:t xml:space="preserve">., </w:t>
      </w:r>
      <w:r w:rsidRPr="0042600E">
        <w:rPr>
          <w:noProof/>
        </w:rPr>
        <w:t>2010</w:t>
      </w:r>
      <w:r>
        <w:rPr>
          <w:noProof/>
        </w:rPr>
        <w:t>.</w:t>
      </w:r>
      <w:r w:rsidRPr="0042600E">
        <w:rPr>
          <w:noProof/>
        </w:rPr>
        <w:t xml:space="preserve"> The </w:t>
      </w:r>
      <w:r>
        <w:rPr>
          <w:noProof/>
        </w:rPr>
        <w:t>I</w:t>
      </w:r>
      <w:r w:rsidRPr="0042600E">
        <w:rPr>
          <w:noProof/>
        </w:rPr>
        <w:t xml:space="preserve">nformation </w:t>
      </w:r>
      <w:r>
        <w:rPr>
          <w:noProof/>
        </w:rPr>
        <w:t>C</w:t>
      </w:r>
      <w:r w:rsidRPr="0042600E">
        <w:rPr>
          <w:noProof/>
        </w:rPr>
        <w:t xml:space="preserve">ontent of </w:t>
      </w:r>
      <w:r>
        <w:rPr>
          <w:noProof/>
        </w:rPr>
        <w:t>F</w:t>
      </w:r>
      <w:r w:rsidRPr="0042600E">
        <w:rPr>
          <w:noProof/>
        </w:rPr>
        <w:t xml:space="preserve">orward-looking </w:t>
      </w:r>
      <w:r>
        <w:rPr>
          <w:noProof/>
        </w:rPr>
        <w:t>S</w:t>
      </w:r>
      <w:r w:rsidRPr="0042600E">
        <w:rPr>
          <w:noProof/>
        </w:rPr>
        <w:t xml:space="preserve">tatements in </w:t>
      </w:r>
      <w:r>
        <w:rPr>
          <w:noProof/>
        </w:rPr>
        <w:t>C</w:t>
      </w:r>
      <w:r w:rsidRPr="0042600E">
        <w:rPr>
          <w:noProof/>
        </w:rPr>
        <w:t xml:space="preserve">orporate </w:t>
      </w:r>
      <w:r>
        <w:rPr>
          <w:noProof/>
        </w:rPr>
        <w:t>F</w:t>
      </w:r>
      <w:r w:rsidRPr="0042600E">
        <w:rPr>
          <w:noProof/>
        </w:rPr>
        <w:t xml:space="preserve">ilings - A Naïve Bayesian </w:t>
      </w:r>
      <w:r>
        <w:rPr>
          <w:noProof/>
        </w:rPr>
        <w:t>M</w:t>
      </w:r>
      <w:r w:rsidRPr="0042600E">
        <w:rPr>
          <w:noProof/>
        </w:rPr>
        <w:t xml:space="preserve">achine </w:t>
      </w:r>
      <w:r>
        <w:rPr>
          <w:noProof/>
        </w:rPr>
        <w:t>L</w:t>
      </w:r>
      <w:r w:rsidRPr="0042600E">
        <w:rPr>
          <w:noProof/>
        </w:rPr>
        <w:t xml:space="preserve">earning </w:t>
      </w:r>
      <w:r>
        <w:rPr>
          <w:noProof/>
        </w:rPr>
        <w:t>A</w:t>
      </w:r>
      <w:r w:rsidRPr="0042600E">
        <w:rPr>
          <w:noProof/>
        </w:rPr>
        <w:t xml:space="preserve">pproach. </w:t>
      </w:r>
      <w:r w:rsidRPr="00AA6F7B">
        <w:rPr>
          <w:i/>
          <w:noProof/>
        </w:rPr>
        <w:t>Journal of Accounting Research</w:t>
      </w:r>
      <w:r>
        <w:rPr>
          <w:noProof/>
        </w:rPr>
        <w:t>, Vol.</w:t>
      </w:r>
      <w:r w:rsidRPr="0042600E">
        <w:rPr>
          <w:noProof/>
        </w:rPr>
        <w:t xml:space="preserve"> 48</w:t>
      </w:r>
      <w:r>
        <w:rPr>
          <w:noProof/>
        </w:rPr>
        <w:t xml:space="preserve">, pp. </w:t>
      </w:r>
      <w:r w:rsidRPr="0042600E">
        <w:rPr>
          <w:noProof/>
        </w:rPr>
        <w:t>1049–1102.</w:t>
      </w:r>
      <w:r w:rsidR="006C7DF0">
        <w:rPr>
          <w:noProof/>
        </w:rPr>
        <w:t xml:space="preserve"> ISSN 1475-679X.</w:t>
      </w:r>
    </w:p>
    <w:p w:rsidR="001C78A6" w:rsidRPr="007052F9" w:rsidRDefault="001C78A6" w:rsidP="00E02AC2">
      <w:pPr>
        <w:pStyle w:val="Odstavecseseznamem"/>
        <w:numPr>
          <w:ilvl w:val="0"/>
          <w:numId w:val="21"/>
        </w:numPr>
        <w:spacing w:before="120"/>
        <w:ind w:left="454" w:hanging="454"/>
        <w:contextualSpacing w:val="0"/>
        <w:rPr>
          <w:noProof/>
        </w:rPr>
      </w:pPr>
      <w:r w:rsidRPr="009624D1">
        <w:rPr>
          <w:noProof/>
        </w:rPr>
        <w:t>Myšková, R.</w:t>
      </w:r>
      <w:r>
        <w:rPr>
          <w:noProof/>
        </w:rPr>
        <w:t xml:space="preserve"> </w:t>
      </w:r>
      <w:r w:rsidRPr="000E7A5E">
        <w:t>–</w:t>
      </w:r>
      <w:r w:rsidRPr="009624D1">
        <w:rPr>
          <w:noProof/>
        </w:rPr>
        <w:t xml:space="preserve"> Hájek, P.</w:t>
      </w:r>
      <w:r>
        <w:rPr>
          <w:noProof/>
        </w:rPr>
        <w:t>,</w:t>
      </w:r>
      <w:r w:rsidRPr="009624D1">
        <w:rPr>
          <w:noProof/>
        </w:rPr>
        <w:t xml:space="preserve"> </w:t>
      </w:r>
      <w:r>
        <w:rPr>
          <w:noProof/>
        </w:rPr>
        <w:t>2015</w:t>
      </w:r>
      <w:r w:rsidRPr="009624D1">
        <w:rPr>
          <w:noProof/>
        </w:rPr>
        <w:t xml:space="preserve">. Novel Multi-word Lists for Investors’ Decision Making. In </w:t>
      </w:r>
      <w:r w:rsidRPr="00AA6F7B">
        <w:rPr>
          <w:i/>
          <w:noProof/>
        </w:rPr>
        <w:t>International Conference on Text, Speech, and Dialogue</w:t>
      </w:r>
      <w:r>
        <w:rPr>
          <w:noProof/>
        </w:rPr>
        <w:t xml:space="preserve">. Berlin: </w:t>
      </w:r>
      <w:r w:rsidRPr="009624D1">
        <w:rPr>
          <w:noProof/>
        </w:rPr>
        <w:t>Springer International Publishing</w:t>
      </w:r>
      <w:r>
        <w:rPr>
          <w:noProof/>
        </w:rPr>
        <w:t>,</w:t>
      </w:r>
      <w:r w:rsidRPr="009624D1">
        <w:rPr>
          <w:noProof/>
        </w:rPr>
        <w:t xml:space="preserve"> pp. 131</w:t>
      </w:r>
      <w:r w:rsidRPr="0042600E">
        <w:rPr>
          <w:noProof/>
        </w:rPr>
        <w:t>–</w:t>
      </w:r>
      <w:r w:rsidRPr="009624D1">
        <w:rPr>
          <w:noProof/>
        </w:rPr>
        <w:t>139</w:t>
      </w:r>
      <w:r w:rsidRPr="007052F9">
        <w:rPr>
          <w:noProof/>
        </w:rPr>
        <w:t>.</w:t>
      </w:r>
      <w:r w:rsidR="00AA121E" w:rsidRPr="007052F9">
        <w:rPr>
          <w:noProof/>
        </w:rPr>
        <w:t xml:space="preserve"> ISBN </w:t>
      </w:r>
      <w:r w:rsidR="00AA121E" w:rsidRPr="007052F9">
        <w:rPr>
          <w:szCs w:val="24"/>
          <w:lang w:val="en"/>
        </w:rPr>
        <w:t>978-3-319-24032-9.</w:t>
      </w:r>
    </w:p>
    <w:p w:rsidR="005A5DFB" w:rsidRPr="0085442F" w:rsidRDefault="005A5DFB" w:rsidP="00E74D8B">
      <w:pPr>
        <w:pStyle w:val="Odstavecseseznamem"/>
        <w:numPr>
          <w:ilvl w:val="0"/>
          <w:numId w:val="21"/>
        </w:numPr>
        <w:spacing w:before="120"/>
        <w:ind w:left="454" w:hanging="454"/>
        <w:contextualSpacing w:val="0"/>
        <w:rPr>
          <w:noProof/>
          <w:szCs w:val="24"/>
        </w:rPr>
      </w:pPr>
      <w:r>
        <w:rPr>
          <w:noProof/>
        </w:rPr>
        <w:t xml:space="preserve">Novotný, J. </w:t>
      </w:r>
      <w:r w:rsidRPr="000E7A5E">
        <w:rPr>
          <w:noProof/>
        </w:rPr>
        <w:t>–</w:t>
      </w:r>
      <w:r>
        <w:rPr>
          <w:noProof/>
        </w:rPr>
        <w:t xml:space="preserve"> Sejkora, F. </w:t>
      </w:r>
      <w:r w:rsidRPr="005A5DFB">
        <w:rPr>
          <w:noProof/>
        </w:rPr>
        <w:t>I</w:t>
      </w:r>
      <w:r w:rsidR="00804AA5">
        <w:rPr>
          <w:noProof/>
        </w:rPr>
        <w:t>nvestiční možnosti podniků v současném podnikatelském prostředí</w:t>
      </w:r>
      <w:r w:rsidR="0085442F">
        <w:rPr>
          <w:noProof/>
        </w:rPr>
        <w:t xml:space="preserve">.  Majtán, Š. (ed.), </w:t>
      </w:r>
      <w:r w:rsidR="0085442F" w:rsidRPr="0085442F">
        <w:rPr>
          <w:i/>
          <w:noProof/>
          <w:szCs w:val="24"/>
        </w:rPr>
        <w:t>Aktuálne problémy podnikovej sféry 2015</w:t>
      </w:r>
      <w:r w:rsidR="0085442F" w:rsidRPr="0085442F">
        <w:rPr>
          <w:noProof/>
          <w:szCs w:val="24"/>
        </w:rPr>
        <w:t>. Bratislava: Vydavatelství Ekonóm, s</w:t>
      </w:r>
      <w:r w:rsidR="0085442F">
        <w:rPr>
          <w:noProof/>
        </w:rPr>
        <w:t xml:space="preserve">. 512-18. ISBN </w:t>
      </w:r>
      <w:r w:rsidR="0085442F" w:rsidRPr="0085442F">
        <w:rPr>
          <w:bCs/>
          <w:szCs w:val="24"/>
        </w:rPr>
        <w:t xml:space="preserve">978-80-225-4077-3. </w:t>
      </w:r>
    </w:p>
    <w:p w:rsidR="001C78A6" w:rsidRPr="000467E0" w:rsidRDefault="001C78A6" w:rsidP="00E02AC2">
      <w:pPr>
        <w:pStyle w:val="Odstavecseseznamem"/>
        <w:numPr>
          <w:ilvl w:val="0"/>
          <w:numId w:val="21"/>
        </w:numPr>
        <w:spacing w:before="120"/>
        <w:ind w:left="454" w:hanging="454"/>
        <w:contextualSpacing w:val="0"/>
        <w:rPr>
          <w:noProof/>
        </w:rPr>
      </w:pPr>
      <w:r w:rsidRPr="000467E0">
        <w:rPr>
          <w:noProof/>
        </w:rPr>
        <w:t>Tsai, Ming-Feng</w:t>
      </w:r>
      <w:r w:rsidR="008D1A90">
        <w:rPr>
          <w:noProof/>
        </w:rPr>
        <w:t xml:space="preserve"> </w:t>
      </w:r>
      <w:r w:rsidR="008D1A90" w:rsidRPr="000E7A5E">
        <w:t>–</w:t>
      </w:r>
      <w:r w:rsidRPr="000467E0">
        <w:rPr>
          <w:noProof/>
        </w:rPr>
        <w:t xml:space="preserve"> Wang, Chuan-Ju</w:t>
      </w:r>
      <w:r w:rsidR="00651FCA">
        <w:rPr>
          <w:noProof/>
        </w:rPr>
        <w:t>,</w:t>
      </w:r>
      <w:r w:rsidRPr="000467E0">
        <w:rPr>
          <w:noProof/>
        </w:rPr>
        <w:t xml:space="preserve"> 2017</w:t>
      </w:r>
      <w:r w:rsidR="00651FCA">
        <w:rPr>
          <w:noProof/>
        </w:rPr>
        <w:t>.</w:t>
      </w:r>
      <w:r w:rsidRPr="000467E0">
        <w:rPr>
          <w:noProof/>
        </w:rPr>
        <w:t xml:space="preserve"> On the risk prediction and analysis of soft information in finance reports. </w:t>
      </w:r>
      <w:r w:rsidRPr="006625C1">
        <w:rPr>
          <w:i/>
          <w:noProof/>
        </w:rPr>
        <w:t>European Journal of Operational Research</w:t>
      </w:r>
      <w:r w:rsidRPr="000467E0">
        <w:rPr>
          <w:noProof/>
        </w:rPr>
        <w:t>, Vol</w:t>
      </w:r>
      <w:r w:rsidR="007052F9">
        <w:rPr>
          <w:noProof/>
        </w:rPr>
        <w:t>.</w:t>
      </w:r>
      <w:r w:rsidRPr="000467E0">
        <w:rPr>
          <w:noProof/>
        </w:rPr>
        <w:t xml:space="preserve"> 257, Issue</w:t>
      </w:r>
      <w:r w:rsidR="007052F9">
        <w:rPr>
          <w:noProof/>
        </w:rPr>
        <w:t> </w:t>
      </w:r>
      <w:r w:rsidRPr="000467E0">
        <w:rPr>
          <w:noProof/>
        </w:rPr>
        <w:t>1. p. 243-250. ISSN: 0377-2217</w:t>
      </w:r>
      <w:r w:rsidR="00AA121E">
        <w:rPr>
          <w:noProof/>
        </w:rPr>
        <w:t>.</w:t>
      </w:r>
    </w:p>
    <w:p w:rsidR="006625C1" w:rsidRPr="009624D1" w:rsidRDefault="006625C1" w:rsidP="006625C1">
      <w:pPr>
        <w:pStyle w:val="Odstavecseseznamem"/>
        <w:ind w:left="426" w:firstLine="0"/>
        <w:rPr>
          <w:noProof/>
        </w:rPr>
      </w:pPr>
    </w:p>
    <w:p w:rsidR="00897BA1" w:rsidRDefault="00897BA1">
      <w:pPr>
        <w:rPr>
          <w:b/>
          <w:caps/>
          <w:lang w:val="sk-SK" w:eastAsia="en-US"/>
        </w:rPr>
      </w:pPr>
      <w:r>
        <w:br w:type="page"/>
      </w:r>
    </w:p>
    <w:p w:rsidR="00ED3EE4" w:rsidRPr="00DA66DA" w:rsidRDefault="008A0B7E" w:rsidP="00F47D36">
      <w:pPr>
        <w:pStyle w:val="Contact"/>
        <w:spacing w:before="480"/>
      </w:pPr>
      <w:r>
        <w:t>Kontakt</w:t>
      </w:r>
    </w:p>
    <w:p w:rsidR="00A00360" w:rsidRDefault="00E25519" w:rsidP="00AD38B4">
      <w:pPr>
        <w:pStyle w:val="Contacttext"/>
      </w:pPr>
      <w:proofErr w:type="gramStart"/>
      <w:r>
        <w:t>doc</w:t>
      </w:r>
      <w:proofErr w:type="gramEnd"/>
      <w:r>
        <w:t xml:space="preserve">. Ing. </w:t>
      </w:r>
      <w:proofErr w:type="gramStart"/>
      <w:r w:rsidR="007052F9">
        <w:t>et</w:t>
      </w:r>
      <w:proofErr w:type="gramEnd"/>
      <w:r w:rsidR="007052F9">
        <w:t xml:space="preserve"> Ing. </w:t>
      </w:r>
      <w:r>
        <w:t>Renáta Myšková, Ph.D.</w:t>
      </w:r>
    </w:p>
    <w:p w:rsidR="00ED3EE4" w:rsidRDefault="00ED3EE4" w:rsidP="001753B9">
      <w:pPr>
        <w:pStyle w:val="Contacttext"/>
      </w:pPr>
      <w:proofErr w:type="spellStart"/>
      <w:r>
        <w:t>Univer</w:t>
      </w:r>
      <w:r w:rsidR="007052F9">
        <w:t>z</w:t>
      </w:r>
      <w:r>
        <w:t>i</w:t>
      </w:r>
      <w:r w:rsidR="00E25519">
        <w:t>ta</w:t>
      </w:r>
      <w:proofErr w:type="spellEnd"/>
      <w:r w:rsidR="00E25519">
        <w:t xml:space="preserve"> Pardubice, </w:t>
      </w:r>
      <w:proofErr w:type="spellStart"/>
      <w:r w:rsidR="00E25519">
        <w:t>Fakulta</w:t>
      </w:r>
      <w:proofErr w:type="spellEnd"/>
      <w:r w:rsidR="00E25519">
        <w:t xml:space="preserve"> </w:t>
      </w:r>
      <w:proofErr w:type="spellStart"/>
      <w:r w:rsidR="00E25519">
        <w:t>ekonomicko-správní</w:t>
      </w:r>
      <w:proofErr w:type="spellEnd"/>
    </w:p>
    <w:p w:rsidR="007052F9" w:rsidRDefault="007052F9" w:rsidP="001753B9">
      <w:pPr>
        <w:pStyle w:val="Contacttext"/>
      </w:pPr>
      <w:proofErr w:type="spellStart"/>
      <w:r>
        <w:t>Ústav</w:t>
      </w:r>
      <w:proofErr w:type="spellEnd"/>
      <w:r>
        <w:t xml:space="preserve"> </w:t>
      </w:r>
      <w:proofErr w:type="spellStart"/>
      <w:r>
        <w:t>podnikové</w:t>
      </w:r>
      <w:proofErr w:type="spellEnd"/>
      <w:r>
        <w:t xml:space="preserve"> </w:t>
      </w:r>
      <w:proofErr w:type="spellStart"/>
      <w:r>
        <w:t>ekonomiky</w:t>
      </w:r>
      <w:proofErr w:type="spellEnd"/>
      <w:r>
        <w:t xml:space="preserve"> a </w:t>
      </w:r>
      <w:proofErr w:type="spellStart"/>
      <w:r>
        <w:t>managementu</w:t>
      </w:r>
      <w:proofErr w:type="spellEnd"/>
    </w:p>
    <w:p w:rsidR="00ED3EE4" w:rsidRDefault="00E25519" w:rsidP="00AD38B4">
      <w:pPr>
        <w:pStyle w:val="Contacttext"/>
      </w:pPr>
      <w:proofErr w:type="spellStart"/>
      <w:r>
        <w:t>Studentská</w:t>
      </w:r>
      <w:proofErr w:type="spellEnd"/>
      <w:r>
        <w:t xml:space="preserve"> 95</w:t>
      </w:r>
      <w:r w:rsidR="00ED3EE4">
        <w:t xml:space="preserve">, </w:t>
      </w:r>
      <w:r>
        <w:t>532 10 Pardubice</w:t>
      </w:r>
      <w:r w:rsidR="00ED3EE4">
        <w:t xml:space="preserve">, </w:t>
      </w:r>
      <w:proofErr w:type="spellStart"/>
      <w:r>
        <w:t>Česká</w:t>
      </w:r>
      <w:proofErr w:type="spellEnd"/>
      <w:r>
        <w:t xml:space="preserve"> </w:t>
      </w:r>
      <w:proofErr w:type="spellStart"/>
      <w:r>
        <w:t>republika</w:t>
      </w:r>
      <w:proofErr w:type="spellEnd"/>
    </w:p>
    <w:p w:rsidR="00ED3EE4" w:rsidRPr="00E25519" w:rsidRDefault="00ED3EE4" w:rsidP="00AD38B4">
      <w:pPr>
        <w:pStyle w:val="Contacttext"/>
      </w:pPr>
      <w:r>
        <w:t xml:space="preserve">E-mail: </w:t>
      </w:r>
      <w:hyperlink r:id="rId11" w:history="1">
        <w:r w:rsidR="00E25519" w:rsidRPr="00E25519">
          <w:rPr>
            <w:rStyle w:val="Hypertextovodkaz"/>
            <w:color w:val="auto"/>
            <w:u w:val="none"/>
          </w:rPr>
          <w:t>renata.myskova@upce.cz</w:t>
        </w:r>
      </w:hyperlink>
    </w:p>
    <w:p w:rsidR="00E25519" w:rsidRDefault="00E25519" w:rsidP="00AD38B4">
      <w:pPr>
        <w:pStyle w:val="Contacttext"/>
      </w:pPr>
    </w:p>
    <w:p w:rsidR="00E25519" w:rsidRDefault="00E25519" w:rsidP="00E25519">
      <w:pPr>
        <w:pStyle w:val="Contacttext"/>
      </w:pPr>
      <w:proofErr w:type="gramStart"/>
      <w:r>
        <w:t>doc</w:t>
      </w:r>
      <w:proofErr w:type="gramEnd"/>
      <w:r>
        <w:t xml:space="preserve">. Ing. Petr </w:t>
      </w:r>
      <w:proofErr w:type="spellStart"/>
      <w:r>
        <w:t>Hájek</w:t>
      </w:r>
      <w:proofErr w:type="spellEnd"/>
      <w:r>
        <w:t>, Ph.D.</w:t>
      </w:r>
    </w:p>
    <w:p w:rsidR="00E25519" w:rsidRDefault="00E25519" w:rsidP="00E25519">
      <w:pPr>
        <w:pStyle w:val="Contacttext"/>
      </w:pPr>
      <w:proofErr w:type="spellStart"/>
      <w:r>
        <w:t>Univer</w:t>
      </w:r>
      <w:r w:rsidR="007052F9">
        <w:t>z</w:t>
      </w:r>
      <w:r>
        <w:t>ita</w:t>
      </w:r>
      <w:proofErr w:type="spellEnd"/>
      <w:r>
        <w:t xml:space="preserve"> Pardubice, </w:t>
      </w:r>
      <w:proofErr w:type="spellStart"/>
      <w:r>
        <w:t>Fakulta</w:t>
      </w:r>
      <w:proofErr w:type="spellEnd"/>
      <w:r>
        <w:t xml:space="preserve"> </w:t>
      </w:r>
      <w:proofErr w:type="spellStart"/>
      <w:r>
        <w:t>ekonomicko-správní</w:t>
      </w:r>
      <w:proofErr w:type="spellEnd"/>
    </w:p>
    <w:p w:rsidR="007052F9" w:rsidRDefault="007052F9" w:rsidP="00E25519">
      <w:pPr>
        <w:pStyle w:val="Contacttext"/>
      </w:pPr>
      <w:proofErr w:type="spellStart"/>
      <w:r>
        <w:t>Ústav</w:t>
      </w:r>
      <w:proofErr w:type="spellEnd"/>
      <w:r>
        <w:t xml:space="preserve"> </w:t>
      </w:r>
      <w:proofErr w:type="spellStart"/>
      <w:r>
        <w:t>systémového</w:t>
      </w:r>
      <w:proofErr w:type="spellEnd"/>
      <w:r>
        <w:t xml:space="preserve"> </w:t>
      </w:r>
      <w:proofErr w:type="spellStart"/>
      <w:r>
        <w:t>inženýrství</w:t>
      </w:r>
      <w:proofErr w:type="spellEnd"/>
      <w:r>
        <w:t xml:space="preserve"> </w:t>
      </w:r>
      <w:proofErr w:type="gramStart"/>
      <w:r>
        <w:t>a</w:t>
      </w:r>
      <w:proofErr w:type="gramEnd"/>
      <w:r>
        <w:t xml:space="preserve"> </w:t>
      </w:r>
      <w:proofErr w:type="spellStart"/>
      <w:r>
        <w:t>informatiky</w:t>
      </w:r>
      <w:proofErr w:type="spellEnd"/>
    </w:p>
    <w:p w:rsidR="00E25519" w:rsidRDefault="00E25519" w:rsidP="00E25519">
      <w:pPr>
        <w:pStyle w:val="Contacttext"/>
      </w:pPr>
      <w:proofErr w:type="spellStart"/>
      <w:r>
        <w:t>Studentská</w:t>
      </w:r>
      <w:proofErr w:type="spellEnd"/>
      <w:r>
        <w:t xml:space="preserve"> 95, 532 10 Pardubice, </w:t>
      </w:r>
      <w:proofErr w:type="spellStart"/>
      <w:r>
        <w:t>Česká</w:t>
      </w:r>
      <w:proofErr w:type="spellEnd"/>
      <w:r>
        <w:t xml:space="preserve"> </w:t>
      </w:r>
      <w:proofErr w:type="spellStart"/>
      <w:r>
        <w:t>republika</w:t>
      </w:r>
      <w:proofErr w:type="spellEnd"/>
    </w:p>
    <w:p w:rsidR="00E25519" w:rsidRDefault="00E25519" w:rsidP="00E25519">
      <w:pPr>
        <w:pStyle w:val="Contacttext"/>
      </w:pPr>
      <w:r>
        <w:t>E-mail: petr.hajek@upce.cz</w:t>
      </w:r>
    </w:p>
    <w:p w:rsidR="00E25519" w:rsidRDefault="00E25519" w:rsidP="00AD38B4">
      <w:pPr>
        <w:pStyle w:val="Contacttext"/>
      </w:pPr>
    </w:p>
    <w:p w:rsidR="00ED3EE4" w:rsidRDefault="00ED3EE4" w:rsidP="00805F8F">
      <w:pPr>
        <w:rPr>
          <w:lang w:val="en-GB"/>
        </w:rPr>
      </w:pPr>
    </w:p>
    <w:p w:rsidR="00ED3EE4" w:rsidRPr="00DA66DA" w:rsidRDefault="00ED3EE4" w:rsidP="00805F8F">
      <w:pPr>
        <w:rPr>
          <w:lang w:val="en-GB"/>
        </w:rPr>
      </w:pPr>
    </w:p>
    <w:sectPr w:rsidR="00ED3EE4" w:rsidRPr="00DA66DA" w:rsidSect="0096428B">
      <w:headerReference w:type="default" r:id="rId12"/>
      <w:footerReference w:type="default" r:id="rId13"/>
      <w:pgSz w:w="11907" w:h="16840" w:code="9"/>
      <w:pgMar w:top="1844" w:right="1418" w:bottom="1418" w:left="1418" w:header="709" w:footer="709" w:gutter="0"/>
      <w:pgNumType w:start="27"/>
      <w:cols w:space="70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5882" w:rsidRDefault="00025882">
      <w:r>
        <w:separator/>
      </w:r>
    </w:p>
  </w:endnote>
  <w:endnote w:type="continuationSeparator" w:id="0">
    <w:p w:rsidR="00025882" w:rsidRDefault="000258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05E5" w:rsidRDefault="008A05E5">
    <w:pPr>
      <w:framePr w:wrap="auto" w:vAnchor="text" w:hAnchor="margin" w:xAlign="center" w:y="1"/>
    </w:pPr>
  </w:p>
  <w:p w:rsidR="008A05E5" w:rsidRDefault="008A05E5"/>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5882" w:rsidRDefault="00025882">
      <w:r>
        <w:separator/>
      </w:r>
    </w:p>
  </w:footnote>
  <w:footnote w:type="continuationSeparator" w:id="0">
    <w:p w:rsidR="00025882" w:rsidRDefault="00025882">
      <w:r>
        <w:continuationSeparator/>
      </w:r>
    </w:p>
  </w:footnote>
  <w:footnote w:id="1">
    <w:p w:rsidR="008A05E5" w:rsidRPr="007052F9" w:rsidRDefault="008A05E5">
      <w:pPr>
        <w:pStyle w:val="Textpoznpodarou"/>
      </w:pPr>
      <w:r>
        <w:rPr>
          <w:rStyle w:val="Znakapoznpodarou"/>
        </w:rPr>
        <w:footnoteRef/>
      </w:r>
      <w:r>
        <w:t xml:space="preserve"> doc. Ing. </w:t>
      </w:r>
      <w:r w:rsidR="007052F9">
        <w:t xml:space="preserve">et Ing. </w:t>
      </w:r>
      <w:bookmarkStart w:id="0" w:name="_GoBack"/>
      <w:bookmarkEnd w:id="0"/>
      <w:r>
        <w:t xml:space="preserve">Renáta Myšková, Ph.D., Univerzita Pardubice, Fakulta ekonomicko-správní, Ústav podnikové ekonomiky a managementu, e-mail: </w:t>
      </w:r>
      <w:hyperlink r:id="rId1" w:history="1">
        <w:r w:rsidRPr="007052F9">
          <w:rPr>
            <w:rStyle w:val="Hypertextovodkaz"/>
            <w:color w:val="auto"/>
            <w:u w:val="none"/>
          </w:rPr>
          <w:t>renata.myskova</w:t>
        </w:r>
        <w:r w:rsidRPr="007052F9">
          <w:rPr>
            <w:rStyle w:val="Hypertextovodkaz"/>
            <w:color w:val="auto"/>
            <w:u w:val="none"/>
            <w:lang w:val="en-US"/>
          </w:rPr>
          <w:t>@upce.cz</w:t>
        </w:r>
      </w:hyperlink>
    </w:p>
  </w:footnote>
  <w:footnote w:id="2">
    <w:p w:rsidR="008A05E5" w:rsidRDefault="008A05E5" w:rsidP="00414396">
      <w:pPr>
        <w:pStyle w:val="Textpoznpodarou"/>
      </w:pPr>
      <w:r>
        <w:rPr>
          <w:rStyle w:val="Znakapoznpodarou"/>
        </w:rPr>
        <w:footnoteRef/>
      </w:r>
      <w:r>
        <w:t xml:space="preserve"> </w:t>
      </w:r>
      <w:r>
        <w:rPr>
          <w:lang w:val="en-US"/>
        </w:rPr>
        <w:t xml:space="preserve">doc. Ing. Petr Hájek, Ph.D., </w:t>
      </w:r>
      <w:r>
        <w:t xml:space="preserve">Univerzita Pardubice, Fakulta ekonomicko-správní, Univerzita Pardubice, Ústav systémového inženýrství a informatiky, e-mail: </w:t>
      </w:r>
      <w:hyperlink r:id="rId2" w:history="1">
        <w:r w:rsidRPr="007052F9">
          <w:rPr>
            <w:rStyle w:val="Hypertextovodkaz"/>
            <w:color w:val="auto"/>
            <w:u w:val="none"/>
          </w:rPr>
          <w:t>petr.hajek</w:t>
        </w:r>
        <w:r w:rsidRPr="007052F9">
          <w:rPr>
            <w:rStyle w:val="Hypertextovodkaz"/>
            <w:color w:val="auto"/>
            <w:u w:val="none"/>
            <w:lang w:val="en-US"/>
          </w:rPr>
          <w:t>@upce.cz</w:t>
        </w:r>
      </w:hyperlink>
      <w:r w:rsidRPr="007052F9">
        <w:rPr>
          <w:lang w:val="en-US"/>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05E5" w:rsidRDefault="008A05E5" w:rsidP="00687DB8">
    <w:pPr>
      <w:tabs>
        <w:tab w:val="right" w:pos="9072"/>
      </w:tabs>
      <w:spacing w:line="200" w:lineRule="exact"/>
      <w:rPr>
        <w:rFonts w:ascii="Arial" w:hAnsi="Arial" w:cs="Arial"/>
        <w:b/>
        <w:sz w:val="18"/>
        <w:szCs w:val="18"/>
        <w:lang w:val="en-GB"/>
      </w:rPr>
    </w:pPr>
    <w:r w:rsidRPr="002F6DE8">
      <w:rPr>
        <w:rFonts w:ascii="Arial" w:hAnsi="Arial" w:cs="Arial"/>
        <w:sz w:val="18"/>
        <w:szCs w:val="18"/>
        <w:lang w:val="en-GB"/>
      </w:rPr>
      <w:t xml:space="preserve">International Scientific Conference </w:t>
    </w:r>
    <w:r w:rsidRPr="00687DB8">
      <w:rPr>
        <w:rFonts w:ascii="Arial" w:hAnsi="Arial" w:cs="Arial"/>
        <w:b/>
        <w:i/>
        <w:sz w:val="18"/>
        <w:szCs w:val="18"/>
        <w:lang w:val="en-GB"/>
      </w:rPr>
      <w:t xml:space="preserve">Current Problems </w:t>
    </w:r>
    <w:r>
      <w:rPr>
        <w:rFonts w:ascii="Arial" w:hAnsi="Arial" w:cs="Arial"/>
        <w:b/>
        <w:i/>
        <w:sz w:val="18"/>
        <w:szCs w:val="18"/>
        <w:lang w:val="en-GB"/>
      </w:rPr>
      <w:t>o</w:t>
    </w:r>
    <w:r w:rsidRPr="00687DB8">
      <w:rPr>
        <w:rFonts w:ascii="Arial" w:hAnsi="Arial" w:cs="Arial"/>
        <w:b/>
        <w:i/>
        <w:sz w:val="18"/>
        <w:szCs w:val="18"/>
        <w:lang w:val="en-GB"/>
      </w:rPr>
      <w:t xml:space="preserve">f </w:t>
    </w:r>
    <w:r>
      <w:rPr>
        <w:rFonts w:ascii="Arial" w:hAnsi="Arial" w:cs="Arial"/>
        <w:b/>
        <w:i/>
        <w:sz w:val="18"/>
        <w:szCs w:val="18"/>
        <w:lang w:val="en-GB"/>
      </w:rPr>
      <w:t>t</w:t>
    </w:r>
    <w:r w:rsidRPr="00687DB8">
      <w:rPr>
        <w:rFonts w:ascii="Arial" w:hAnsi="Arial" w:cs="Arial"/>
        <w:b/>
        <w:i/>
        <w:sz w:val="18"/>
        <w:szCs w:val="18"/>
        <w:lang w:val="en-GB"/>
      </w:rPr>
      <w:t>he Corporate Sector 2017</w:t>
    </w:r>
  </w:p>
  <w:p w:rsidR="008A05E5" w:rsidRDefault="008A05E5" w:rsidP="00687DB8">
    <w:pPr>
      <w:tabs>
        <w:tab w:val="right" w:pos="9072"/>
      </w:tabs>
      <w:spacing w:line="200" w:lineRule="exact"/>
      <w:rPr>
        <w:rFonts w:ascii="Arial" w:hAnsi="Arial" w:cs="Arial"/>
        <w:sz w:val="18"/>
        <w:szCs w:val="18"/>
        <w:lang w:val="en-GB"/>
      </w:rPr>
    </w:pPr>
    <w:r>
      <w:rPr>
        <w:rFonts w:ascii="Arial" w:hAnsi="Arial" w:cs="Arial"/>
        <w:sz w:val="18"/>
        <w:szCs w:val="18"/>
        <w:lang w:val="en-GB"/>
      </w:rPr>
      <w:t>18th – 19</w:t>
    </w:r>
    <w:r w:rsidRPr="00687DB8">
      <w:rPr>
        <w:rFonts w:ascii="Arial" w:hAnsi="Arial" w:cs="Arial"/>
        <w:sz w:val="18"/>
        <w:szCs w:val="18"/>
        <w:vertAlign w:val="superscript"/>
        <w:lang w:val="en-GB"/>
      </w:rPr>
      <w:t>th</w:t>
    </w:r>
    <w:r>
      <w:rPr>
        <w:rFonts w:ascii="Arial" w:hAnsi="Arial" w:cs="Arial"/>
        <w:sz w:val="18"/>
        <w:szCs w:val="18"/>
        <w:lang w:val="en-GB"/>
      </w:rPr>
      <w:t xml:space="preserve"> May 2017, </w:t>
    </w:r>
    <w:proofErr w:type="spellStart"/>
    <w:r>
      <w:rPr>
        <w:rFonts w:ascii="Arial" w:hAnsi="Arial" w:cs="Arial"/>
        <w:sz w:val="18"/>
        <w:szCs w:val="18"/>
        <w:lang w:val="en-GB"/>
      </w:rPr>
      <w:t>Ráztočno</w:t>
    </w:r>
    <w:proofErr w:type="spellEnd"/>
    <w:r>
      <w:rPr>
        <w:rFonts w:ascii="Arial" w:hAnsi="Arial" w:cs="Arial"/>
        <w:sz w:val="18"/>
        <w:szCs w:val="18"/>
        <w:lang w:val="en-GB"/>
      </w:rPr>
      <w:t xml:space="preserve"> (</w:t>
    </w:r>
    <w:proofErr w:type="spellStart"/>
    <w:r>
      <w:rPr>
        <w:rFonts w:ascii="Arial" w:hAnsi="Arial" w:cs="Arial"/>
        <w:sz w:val="18"/>
        <w:szCs w:val="18"/>
        <w:lang w:val="en-GB"/>
      </w:rPr>
      <w:t>Handlová</w:t>
    </w:r>
    <w:proofErr w:type="spellEnd"/>
    <w:r>
      <w:rPr>
        <w:rFonts w:ascii="Arial" w:hAnsi="Arial" w:cs="Arial"/>
        <w:sz w:val="18"/>
        <w:szCs w:val="18"/>
        <w:lang w:val="en-GB"/>
      </w:rPr>
      <w:t>)</w:t>
    </w:r>
  </w:p>
  <w:p w:rsidR="008A05E5" w:rsidRPr="002F6DE8" w:rsidRDefault="008A05E5" w:rsidP="00687DB8">
    <w:pPr>
      <w:tabs>
        <w:tab w:val="right" w:pos="9072"/>
      </w:tabs>
      <w:spacing w:line="200" w:lineRule="exact"/>
      <w:rPr>
        <w:rFonts w:ascii="Arial" w:hAnsi="Arial" w:cs="Arial"/>
        <w:sz w:val="18"/>
        <w:szCs w:val="18"/>
      </w:rPr>
    </w:pPr>
    <w:r w:rsidRPr="002F6DE8">
      <w:rPr>
        <w:rFonts w:ascii="Arial" w:hAnsi="Arial" w:cs="Arial"/>
        <w:sz w:val="18"/>
        <w:szCs w:val="18"/>
        <w:lang w:val="en-GB"/>
      </w:rPr>
      <w:t>U</w:t>
    </w:r>
    <w:r>
      <w:rPr>
        <w:rFonts w:ascii="Arial" w:hAnsi="Arial" w:cs="Arial"/>
        <w:sz w:val="18"/>
        <w:szCs w:val="18"/>
        <w:lang w:val="en-GB"/>
      </w:rPr>
      <w:t>niversity of Economics</w:t>
    </w:r>
    <w:r w:rsidRPr="002F6DE8">
      <w:rPr>
        <w:rFonts w:ascii="Arial" w:hAnsi="Arial" w:cs="Arial"/>
        <w:sz w:val="18"/>
        <w:szCs w:val="18"/>
        <w:lang w:val="en-GB"/>
      </w:rPr>
      <w:t xml:space="preserve"> in Bratislava</w:t>
    </w:r>
    <w:r>
      <w:rPr>
        <w:rFonts w:ascii="Arial" w:hAnsi="Arial" w:cs="Arial"/>
        <w:sz w:val="18"/>
        <w:szCs w:val="18"/>
        <w:lang w:val="en-GB"/>
      </w:rPr>
      <w:t xml:space="preserve">, Faculty of Business Management, </w:t>
    </w:r>
    <w:r w:rsidRPr="002F6DE8">
      <w:rPr>
        <w:rFonts w:ascii="Arial" w:hAnsi="Arial" w:cs="Arial"/>
        <w:sz w:val="18"/>
        <w:szCs w:val="18"/>
        <w:lang w:val="en-GB"/>
      </w:rPr>
      <w:t>Department of Business</w:t>
    </w:r>
    <w:r>
      <w:rPr>
        <w:rFonts w:ascii="Arial" w:hAnsi="Arial" w:cs="Arial"/>
        <w:sz w:val="18"/>
        <w:szCs w:val="18"/>
        <w:lang w:val="en-GB"/>
      </w:rPr>
      <w:t xml:space="preserve"> Administration</w:t>
    </w:r>
  </w:p>
  <w:p w:rsidR="008A05E5" w:rsidRDefault="008A05E5" w:rsidP="002F6DE8">
    <w:pPr>
      <w:pStyle w:val="Zhlav"/>
      <w:pBdr>
        <w:bottom w:val="single" w:sz="4" w:space="1" w:color="auto"/>
      </w:pBdr>
      <w:rPr>
        <w:sz w:val="2"/>
        <w:szCs w:val="2"/>
        <w:lang w:val="cs-CZ"/>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5216ACEE"/>
    <w:lvl w:ilvl="0">
      <w:start w:val="1"/>
      <w:numFmt w:val="decimal"/>
      <w:lvlText w:val="%1."/>
      <w:lvlJc w:val="left"/>
      <w:pPr>
        <w:tabs>
          <w:tab w:val="num" w:pos="360"/>
        </w:tabs>
      </w:pPr>
    </w:lvl>
    <w:lvl w:ilvl="1">
      <w:start w:val="1"/>
      <w:numFmt w:val="decimal"/>
      <w:lvlText w:val="%1.%2"/>
      <w:lvlJc w:val="left"/>
      <w:pPr>
        <w:tabs>
          <w:tab w:val="num" w:pos="360"/>
        </w:tabs>
      </w:pPr>
    </w:lvl>
    <w:lvl w:ilvl="2">
      <w:start w:val="1"/>
      <w:numFmt w:val="decimal"/>
      <w:lvlText w:val="%1.%2.%3"/>
      <w:lvlJc w:val="left"/>
      <w:pPr>
        <w:tabs>
          <w:tab w:val="num" w:pos="0"/>
        </w:tabs>
      </w:pPr>
    </w:lvl>
    <w:lvl w:ilvl="3">
      <w:start w:val="1"/>
      <w:numFmt w:val="decimal"/>
      <w:lvlText w:val="%1.%2.%3.%4"/>
      <w:lvlJc w:val="left"/>
      <w:pPr>
        <w:tabs>
          <w:tab w:val="num" w:pos="0"/>
        </w:tabs>
      </w:pPr>
    </w:lvl>
    <w:lvl w:ilvl="4">
      <w:start w:val="1"/>
      <w:numFmt w:val="decimal"/>
      <w:lvlText w:val="%1.%2.%3.%4.%5"/>
      <w:lvlJc w:val="left"/>
      <w:pPr>
        <w:tabs>
          <w:tab w:val="num" w:pos="0"/>
        </w:tabs>
      </w:pPr>
    </w:lvl>
    <w:lvl w:ilvl="5">
      <w:start w:val="1"/>
      <w:numFmt w:val="decimal"/>
      <w:lvlText w:val="%1.%2.%3.%4.%5.%6"/>
      <w:lvlJc w:val="left"/>
      <w:pPr>
        <w:tabs>
          <w:tab w:val="num" w:pos="0"/>
        </w:tabs>
      </w:pPr>
    </w:lvl>
    <w:lvl w:ilvl="6">
      <w:start w:val="1"/>
      <w:numFmt w:val="decimal"/>
      <w:lvlText w:val="%1.%2.%3.%4.%5.%6.%7"/>
      <w:lvlJc w:val="left"/>
      <w:pPr>
        <w:tabs>
          <w:tab w:val="num" w:pos="0"/>
        </w:tabs>
      </w:pPr>
    </w:lvl>
    <w:lvl w:ilvl="7">
      <w:start w:val="1"/>
      <w:numFmt w:val="decimal"/>
      <w:lvlText w:val="%1.%2.%3.%4.%5.%6.%7.%8"/>
      <w:lvlJc w:val="left"/>
      <w:pPr>
        <w:tabs>
          <w:tab w:val="num" w:pos="0"/>
        </w:tabs>
      </w:pPr>
    </w:lvl>
    <w:lvl w:ilvl="8">
      <w:start w:val="1"/>
      <w:numFmt w:val="decimal"/>
      <w:lvlText w:val="%1.%2.%3.%4.%5.%6.%7.%8.%9"/>
      <w:lvlJc w:val="left"/>
      <w:pPr>
        <w:tabs>
          <w:tab w:val="num" w:pos="0"/>
        </w:tabs>
      </w:pPr>
    </w:lvl>
  </w:abstractNum>
  <w:abstractNum w:abstractNumId="1" w15:restartNumberingAfterBreak="0">
    <w:nsid w:val="050130D0"/>
    <w:multiLevelType w:val="hybridMultilevel"/>
    <w:tmpl w:val="7F7AEC58"/>
    <w:lvl w:ilvl="0" w:tplc="8926EFF2">
      <w:start w:val="1"/>
      <w:numFmt w:val="bullet"/>
      <w:pStyle w:val="Seznamsodrkami"/>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79A1421"/>
    <w:multiLevelType w:val="hybridMultilevel"/>
    <w:tmpl w:val="E0641716"/>
    <w:lvl w:ilvl="0" w:tplc="6E02B7DE">
      <w:start w:val="1"/>
      <w:numFmt w:val="decimal"/>
      <w:pStyle w:val="BibItem"/>
      <w:lvlText w:val="[%1]"/>
      <w:lvlJc w:val="left"/>
      <w:pPr>
        <w:tabs>
          <w:tab w:val="num" w:pos="1222"/>
        </w:tabs>
        <w:ind w:left="862" w:hanging="360"/>
      </w:pPr>
      <w:rPr>
        <w:rFonts w:hint="default"/>
      </w:rPr>
    </w:lvl>
    <w:lvl w:ilvl="1" w:tplc="04050019" w:tentative="1">
      <w:start w:val="1"/>
      <w:numFmt w:val="lowerLetter"/>
      <w:lvlText w:val="%2."/>
      <w:lvlJc w:val="left"/>
      <w:pPr>
        <w:tabs>
          <w:tab w:val="num" w:pos="1582"/>
        </w:tabs>
        <w:ind w:left="1582" w:hanging="360"/>
      </w:pPr>
    </w:lvl>
    <w:lvl w:ilvl="2" w:tplc="0405001B" w:tentative="1">
      <w:start w:val="1"/>
      <w:numFmt w:val="lowerRoman"/>
      <w:lvlText w:val="%3."/>
      <w:lvlJc w:val="right"/>
      <w:pPr>
        <w:tabs>
          <w:tab w:val="num" w:pos="2302"/>
        </w:tabs>
        <w:ind w:left="2302" w:hanging="180"/>
      </w:pPr>
    </w:lvl>
    <w:lvl w:ilvl="3" w:tplc="0405000F" w:tentative="1">
      <w:start w:val="1"/>
      <w:numFmt w:val="decimal"/>
      <w:lvlText w:val="%4."/>
      <w:lvlJc w:val="left"/>
      <w:pPr>
        <w:tabs>
          <w:tab w:val="num" w:pos="3022"/>
        </w:tabs>
        <w:ind w:left="3022" w:hanging="360"/>
      </w:pPr>
    </w:lvl>
    <w:lvl w:ilvl="4" w:tplc="04050019" w:tentative="1">
      <w:start w:val="1"/>
      <w:numFmt w:val="lowerLetter"/>
      <w:lvlText w:val="%5."/>
      <w:lvlJc w:val="left"/>
      <w:pPr>
        <w:tabs>
          <w:tab w:val="num" w:pos="3742"/>
        </w:tabs>
        <w:ind w:left="3742" w:hanging="360"/>
      </w:pPr>
    </w:lvl>
    <w:lvl w:ilvl="5" w:tplc="0405001B" w:tentative="1">
      <w:start w:val="1"/>
      <w:numFmt w:val="lowerRoman"/>
      <w:lvlText w:val="%6."/>
      <w:lvlJc w:val="right"/>
      <w:pPr>
        <w:tabs>
          <w:tab w:val="num" w:pos="4462"/>
        </w:tabs>
        <w:ind w:left="4462" w:hanging="180"/>
      </w:pPr>
    </w:lvl>
    <w:lvl w:ilvl="6" w:tplc="0405000F" w:tentative="1">
      <w:start w:val="1"/>
      <w:numFmt w:val="decimal"/>
      <w:lvlText w:val="%7."/>
      <w:lvlJc w:val="left"/>
      <w:pPr>
        <w:tabs>
          <w:tab w:val="num" w:pos="5182"/>
        </w:tabs>
        <w:ind w:left="5182" w:hanging="360"/>
      </w:pPr>
    </w:lvl>
    <w:lvl w:ilvl="7" w:tplc="04050019" w:tentative="1">
      <w:start w:val="1"/>
      <w:numFmt w:val="lowerLetter"/>
      <w:lvlText w:val="%8."/>
      <w:lvlJc w:val="left"/>
      <w:pPr>
        <w:tabs>
          <w:tab w:val="num" w:pos="5902"/>
        </w:tabs>
        <w:ind w:left="5902" w:hanging="360"/>
      </w:pPr>
    </w:lvl>
    <w:lvl w:ilvl="8" w:tplc="0405001B" w:tentative="1">
      <w:start w:val="1"/>
      <w:numFmt w:val="lowerRoman"/>
      <w:lvlText w:val="%9."/>
      <w:lvlJc w:val="right"/>
      <w:pPr>
        <w:tabs>
          <w:tab w:val="num" w:pos="6622"/>
        </w:tabs>
        <w:ind w:left="6622" w:hanging="180"/>
      </w:pPr>
    </w:lvl>
  </w:abstractNum>
  <w:abstractNum w:abstractNumId="3" w15:restartNumberingAfterBreak="0">
    <w:nsid w:val="19DD58BC"/>
    <w:multiLevelType w:val="hybridMultilevel"/>
    <w:tmpl w:val="BD8E849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21F02FEC"/>
    <w:multiLevelType w:val="hybridMultilevel"/>
    <w:tmpl w:val="511C251A"/>
    <w:lvl w:ilvl="0" w:tplc="374AA45E">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34625153"/>
    <w:multiLevelType w:val="hybridMultilevel"/>
    <w:tmpl w:val="387697A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35C50512"/>
    <w:multiLevelType w:val="hybridMultilevel"/>
    <w:tmpl w:val="4B628744"/>
    <w:lvl w:ilvl="0" w:tplc="B2CA720A">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38A96383"/>
    <w:multiLevelType w:val="hybridMultilevel"/>
    <w:tmpl w:val="DDFED730"/>
    <w:lvl w:ilvl="0" w:tplc="041B0001">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8" w15:restartNumberingAfterBreak="0">
    <w:nsid w:val="3F3E7BCE"/>
    <w:multiLevelType w:val="hybridMultilevel"/>
    <w:tmpl w:val="4B628744"/>
    <w:lvl w:ilvl="0" w:tplc="B2CA720A">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15:restartNumberingAfterBreak="0">
    <w:nsid w:val="518E05DF"/>
    <w:multiLevelType w:val="hybridMultilevel"/>
    <w:tmpl w:val="B3680E58"/>
    <w:lvl w:ilvl="0" w:tplc="04050001">
      <w:start w:val="1"/>
      <w:numFmt w:val="bullet"/>
      <w:lvlText w:val=""/>
      <w:lvlJc w:val="left"/>
      <w:pPr>
        <w:ind w:left="1060" w:hanging="360"/>
      </w:pPr>
      <w:rPr>
        <w:rFonts w:ascii="Symbol" w:hAnsi="Symbol" w:hint="default"/>
      </w:rPr>
    </w:lvl>
    <w:lvl w:ilvl="1" w:tplc="04050003" w:tentative="1">
      <w:start w:val="1"/>
      <w:numFmt w:val="bullet"/>
      <w:lvlText w:val="o"/>
      <w:lvlJc w:val="left"/>
      <w:pPr>
        <w:ind w:left="1780" w:hanging="360"/>
      </w:pPr>
      <w:rPr>
        <w:rFonts w:ascii="Courier New" w:hAnsi="Courier New" w:cs="Courier New" w:hint="default"/>
      </w:rPr>
    </w:lvl>
    <w:lvl w:ilvl="2" w:tplc="04050005" w:tentative="1">
      <w:start w:val="1"/>
      <w:numFmt w:val="bullet"/>
      <w:lvlText w:val=""/>
      <w:lvlJc w:val="left"/>
      <w:pPr>
        <w:ind w:left="2500" w:hanging="360"/>
      </w:pPr>
      <w:rPr>
        <w:rFonts w:ascii="Wingdings" w:hAnsi="Wingdings" w:hint="default"/>
      </w:rPr>
    </w:lvl>
    <w:lvl w:ilvl="3" w:tplc="04050001" w:tentative="1">
      <w:start w:val="1"/>
      <w:numFmt w:val="bullet"/>
      <w:lvlText w:val=""/>
      <w:lvlJc w:val="left"/>
      <w:pPr>
        <w:ind w:left="3220" w:hanging="360"/>
      </w:pPr>
      <w:rPr>
        <w:rFonts w:ascii="Symbol" w:hAnsi="Symbol" w:hint="default"/>
      </w:rPr>
    </w:lvl>
    <w:lvl w:ilvl="4" w:tplc="04050003" w:tentative="1">
      <w:start w:val="1"/>
      <w:numFmt w:val="bullet"/>
      <w:lvlText w:val="o"/>
      <w:lvlJc w:val="left"/>
      <w:pPr>
        <w:ind w:left="3940" w:hanging="360"/>
      </w:pPr>
      <w:rPr>
        <w:rFonts w:ascii="Courier New" w:hAnsi="Courier New" w:cs="Courier New" w:hint="default"/>
      </w:rPr>
    </w:lvl>
    <w:lvl w:ilvl="5" w:tplc="04050005" w:tentative="1">
      <w:start w:val="1"/>
      <w:numFmt w:val="bullet"/>
      <w:lvlText w:val=""/>
      <w:lvlJc w:val="left"/>
      <w:pPr>
        <w:ind w:left="4660" w:hanging="360"/>
      </w:pPr>
      <w:rPr>
        <w:rFonts w:ascii="Wingdings" w:hAnsi="Wingdings" w:hint="default"/>
      </w:rPr>
    </w:lvl>
    <w:lvl w:ilvl="6" w:tplc="04050001" w:tentative="1">
      <w:start w:val="1"/>
      <w:numFmt w:val="bullet"/>
      <w:lvlText w:val=""/>
      <w:lvlJc w:val="left"/>
      <w:pPr>
        <w:ind w:left="5380" w:hanging="360"/>
      </w:pPr>
      <w:rPr>
        <w:rFonts w:ascii="Symbol" w:hAnsi="Symbol" w:hint="default"/>
      </w:rPr>
    </w:lvl>
    <w:lvl w:ilvl="7" w:tplc="04050003" w:tentative="1">
      <w:start w:val="1"/>
      <w:numFmt w:val="bullet"/>
      <w:lvlText w:val="o"/>
      <w:lvlJc w:val="left"/>
      <w:pPr>
        <w:ind w:left="6100" w:hanging="360"/>
      </w:pPr>
      <w:rPr>
        <w:rFonts w:ascii="Courier New" w:hAnsi="Courier New" w:cs="Courier New" w:hint="default"/>
      </w:rPr>
    </w:lvl>
    <w:lvl w:ilvl="8" w:tplc="04050005" w:tentative="1">
      <w:start w:val="1"/>
      <w:numFmt w:val="bullet"/>
      <w:lvlText w:val=""/>
      <w:lvlJc w:val="left"/>
      <w:pPr>
        <w:ind w:left="6820" w:hanging="360"/>
      </w:pPr>
      <w:rPr>
        <w:rFonts w:ascii="Wingdings" w:hAnsi="Wingdings" w:hint="default"/>
      </w:rPr>
    </w:lvl>
  </w:abstractNum>
  <w:abstractNum w:abstractNumId="10" w15:restartNumberingAfterBreak="0">
    <w:nsid w:val="569F5E38"/>
    <w:multiLevelType w:val="multilevel"/>
    <w:tmpl w:val="C5D032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65C225B"/>
    <w:multiLevelType w:val="hybridMultilevel"/>
    <w:tmpl w:val="4E1286CE"/>
    <w:lvl w:ilvl="0" w:tplc="13201952">
      <w:start w:val="1"/>
      <w:numFmt w:val="decimal"/>
      <w:lvlText w:val="%1."/>
      <w:lvlJc w:val="left"/>
      <w:pPr>
        <w:tabs>
          <w:tab w:val="num" w:pos="284"/>
        </w:tabs>
        <w:ind w:left="28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66AE777C"/>
    <w:multiLevelType w:val="hybridMultilevel"/>
    <w:tmpl w:val="629C61CE"/>
    <w:lvl w:ilvl="0" w:tplc="90F6CAEA">
      <w:start w:val="1"/>
      <w:numFmt w:val="decimal"/>
      <w:lvlText w:val="%1."/>
      <w:lvlJc w:val="left"/>
      <w:pPr>
        <w:ind w:left="124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E6FAB322">
      <w:start w:val="1"/>
      <w:numFmt w:val="lowerLetter"/>
      <w:lvlText w:val="%2"/>
      <w:lvlJc w:val="left"/>
      <w:pPr>
        <w:ind w:left="10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D23E10E6">
      <w:start w:val="1"/>
      <w:numFmt w:val="lowerRoman"/>
      <w:lvlText w:val="%3"/>
      <w:lvlJc w:val="left"/>
      <w:pPr>
        <w:ind w:left="18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8DAC861C">
      <w:start w:val="1"/>
      <w:numFmt w:val="decimal"/>
      <w:lvlText w:val="%4"/>
      <w:lvlJc w:val="left"/>
      <w:pPr>
        <w:ind w:left="25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50A88D46">
      <w:start w:val="1"/>
      <w:numFmt w:val="lowerLetter"/>
      <w:lvlText w:val="%5"/>
      <w:lvlJc w:val="left"/>
      <w:pPr>
        <w:ind w:left="32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1F4C22F2">
      <w:start w:val="1"/>
      <w:numFmt w:val="lowerRoman"/>
      <w:lvlText w:val="%6"/>
      <w:lvlJc w:val="left"/>
      <w:pPr>
        <w:ind w:left="39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E85CD414">
      <w:start w:val="1"/>
      <w:numFmt w:val="decimal"/>
      <w:lvlText w:val="%7"/>
      <w:lvlJc w:val="left"/>
      <w:pPr>
        <w:ind w:left="46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A94E8BC4">
      <w:start w:val="1"/>
      <w:numFmt w:val="lowerLetter"/>
      <w:lvlText w:val="%8"/>
      <w:lvlJc w:val="left"/>
      <w:pPr>
        <w:ind w:left="54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6910E62C">
      <w:start w:val="1"/>
      <w:numFmt w:val="lowerRoman"/>
      <w:lvlText w:val="%9"/>
      <w:lvlJc w:val="left"/>
      <w:pPr>
        <w:ind w:left="61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13" w15:restartNumberingAfterBreak="0">
    <w:nsid w:val="687F2D0C"/>
    <w:multiLevelType w:val="hybridMultilevel"/>
    <w:tmpl w:val="B0C05F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750B6694"/>
    <w:multiLevelType w:val="multilevel"/>
    <w:tmpl w:val="E8C2E028"/>
    <w:lvl w:ilvl="0">
      <w:start w:val="1"/>
      <w:numFmt w:val="decimal"/>
      <w:pStyle w:val="Nadpis1"/>
      <w:lvlText w:val="%1"/>
      <w:lvlJc w:val="left"/>
      <w:pPr>
        <w:tabs>
          <w:tab w:val="num" w:pos="432"/>
        </w:tabs>
        <w:ind w:left="432" w:hanging="432"/>
      </w:pPr>
    </w:lvl>
    <w:lvl w:ilvl="1">
      <w:start w:val="1"/>
      <w:numFmt w:val="decimal"/>
      <w:pStyle w:val="Nadpis2"/>
      <w:lvlText w:val="%1.%2"/>
      <w:lvlJc w:val="left"/>
      <w:pPr>
        <w:tabs>
          <w:tab w:val="num" w:pos="576"/>
        </w:tabs>
        <w:ind w:left="576" w:hanging="576"/>
      </w:pPr>
    </w:lvl>
    <w:lvl w:ilvl="2">
      <w:start w:val="1"/>
      <w:numFmt w:val="decimal"/>
      <w:pStyle w:val="Nadpis3"/>
      <w:lvlText w:val="%1.%2.%3"/>
      <w:lvlJc w:val="left"/>
      <w:pPr>
        <w:tabs>
          <w:tab w:val="num" w:pos="720"/>
        </w:tabs>
        <w:ind w:left="720" w:hanging="720"/>
      </w:pPr>
    </w:lvl>
    <w:lvl w:ilvl="3">
      <w:start w:val="1"/>
      <w:numFmt w:val="decimal"/>
      <w:pStyle w:val="Nadpis4"/>
      <w:lvlText w:val="%1.%2.%3.%4"/>
      <w:lvlJc w:val="left"/>
      <w:pPr>
        <w:tabs>
          <w:tab w:val="num" w:pos="864"/>
        </w:tabs>
        <w:ind w:left="864" w:hanging="864"/>
      </w:pPr>
    </w:lvl>
    <w:lvl w:ilvl="4">
      <w:start w:val="1"/>
      <w:numFmt w:val="decimal"/>
      <w:pStyle w:val="Nadpis5"/>
      <w:lvlText w:val="%1.%2.%3.%4.%5"/>
      <w:lvlJc w:val="left"/>
      <w:pPr>
        <w:tabs>
          <w:tab w:val="num" w:pos="1008"/>
        </w:tabs>
        <w:ind w:left="1008" w:hanging="1008"/>
      </w:pPr>
    </w:lvl>
    <w:lvl w:ilvl="5">
      <w:start w:val="1"/>
      <w:numFmt w:val="decimal"/>
      <w:pStyle w:val="Nadpis6"/>
      <w:lvlText w:val="%1.%2.%3.%4.%5.%6"/>
      <w:lvlJc w:val="left"/>
      <w:pPr>
        <w:tabs>
          <w:tab w:val="num" w:pos="1152"/>
        </w:tabs>
        <w:ind w:left="1152" w:hanging="1152"/>
      </w:pPr>
    </w:lvl>
    <w:lvl w:ilvl="6">
      <w:start w:val="1"/>
      <w:numFmt w:val="decimal"/>
      <w:pStyle w:val="Nadpis7"/>
      <w:lvlText w:val="%1.%2.%3.%4.%5.%6.%7"/>
      <w:lvlJc w:val="left"/>
      <w:pPr>
        <w:tabs>
          <w:tab w:val="num" w:pos="1296"/>
        </w:tabs>
        <w:ind w:left="1296" w:hanging="1296"/>
      </w:pPr>
    </w:lvl>
    <w:lvl w:ilvl="7">
      <w:start w:val="1"/>
      <w:numFmt w:val="decimal"/>
      <w:pStyle w:val="Nadpis8"/>
      <w:lvlText w:val="%1.%2.%3.%4.%5.%6.%7.%8"/>
      <w:lvlJc w:val="left"/>
      <w:pPr>
        <w:tabs>
          <w:tab w:val="num" w:pos="1440"/>
        </w:tabs>
        <w:ind w:left="1440" w:hanging="1440"/>
      </w:pPr>
    </w:lvl>
    <w:lvl w:ilvl="8">
      <w:start w:val="1"/>
      <w:numFmt w:val="decimal"/>
      <w:pStyle w:val="Nadpis9"/>
      <w:lvlText w:val="%1.%2.%3.%4.%5.%6.%7.%8.%9"/>
      <w:lvlJc w:val="left"/>
      <w:pPr>
        <w:tabs>
          <w:tab w:val="num" w:pos="1584"/>
        </w:tabs>
        <w:ind w:left="1584" w:hanging="1584"/>
      </w:pPr>
    </w:lvl>
  </w:abstractNum>
  <w:abstractNum w:abstractNumId="15" w15:restartNumberingAfterBreak="0">
    <w:nsid w:val="7D9521C8"/>
    <w:multiLevelType w:val="multilevel"/>
    <w:tmpl w:val="C734A2C2"/>
    <w:styleLink w:val="referencelist"/>
    <w:lvl w:ilvl="0">
      <w:start w:val="1"/>
      <w:numFmt w:val="decimal"/>
      <w:pStyle w:val="referenceitem"/>
      <w:lvlText w:val="%1."/>
      <w:lvlJc w:val="right"/>
      <w:pPr>
        <w:tabs>
          <w:tab w:val="num" w:pos="256"/>
        </w:tabs>
        <w:ind w:left="256" w:hanging="114"/>
      </w:pPr>
      <w:rPr>
        <w:rFonts w:hint="default"/>
      </w:rPr>
    </w:lvl>
    <w:lvl w:ilvl="1">
      <w:start w:val="1"/>
      <w:numFmt w:val="lowerLetter"/>
      <w:lvlText w:val="%2."/>
      <w:lvlJc w:val="left"/>
      <w:pPr>
        <w:tabs>
          <w:tab w:val="num" w:pos="2124"/>
        </w:tabs>
        <w:ind w:left="2124" w:hanging="360"/>
      </w:pPr>
      <w:rPr>
        <w:rFonts w:hint="default"/>
      </w:rPr>
    </w:lvl>
    <w:lvl w:ilvl="2">
      <w:start w:val="1"/>
      <w:numFmt w:val="lowerRoman"/>
      <w:lvlText w:val="%3."/>
      <w:lvlJc w:val="right"/>
      <w:pPr>
        <w:tabs>
          <w:tab w:val="num" w:pos="2844"/>
        </w:tabs>
        <w:ind w:left="2844" w:hanging="180"/>
      </w:pPr>
      <w:rPr>
        <w:rFonts w:hint="default"/>
      </w:rPr>
    </w:lvl>
    <w:lvl w:ilvl="3">
      <w:start w:val="1"/>
      <w:numFmt w:val="decimal"/>
      <w:lvlText w:val="%4."/>
      <w:lvlJc w:val="left"/>
      <w:pPr>
        <w:tabs>
          <w:tab w:val="num" w:pos="3564"/>
        </w:tabs>
        <w:ind w:left="3564" w:hanging="360"/>
      </w:pPr>
      <w:rPr>
        <w:rFonts w:hint="default"/>
      </w:rPr>
    </w:lvl>
    <w:lvl w:ilvl="4">
      <w:start w:val="1"/>
      <w:numFmt w:val="lowerLetter"/>
      <w:lvlText w:val="%5."/>
      <w:lvlJc w:val="left"/>
      <w:pPr>
        <w:tabs>
          <w:tab w:val="num" w:pos="4284"/>
        </w:tabs>
        <w:ind w:left="4284" w:hanging="360"/>
      </w:pPr>
      <w:rPr>
        <w:rFonts w:hint="default"/>
      </w:rPr>
    </w:lvl>
    <w:lvl w:ilvl="5">
      <w:start w:val="1"/>
      <w:numFmt w:val="lowerRoman"/>
      <w:lvlText w:val="%6."/>
      <w:lvlJc w:val="right"/>
      <w:pPr>
        <w:tabs>
          <w:tab w:val="num" w:pos="5004"/>
        </w:tabs>
        <w:ind w:left="5004" w:hanging="180"/>
      </w:pPr>
      <w:rPr>
        <w:rFonts w:hint="default"/>
      </w:rPr>
    </w:lvl>
    <w:lvl w:ilvl="6">
      <w:start w:val="1"/>
      <w:numFmt w:val="decimal"/>
      <w:lvlText w:val="%7."/>
      <w:lvlJc w:val="left"/>
      <w:pPr>
        <w:tabs>
          <w:tab w:val="num" w:pos="5724"/>
        </w:tabs>
        <w:ind w:left="5724" w:hanging="360"/>
      </w:pPr>
      <w:rPr>
        <w:rFonts w:hint="default"/>
      </w:rPr>
    </w:lvl>
    <w:lvl w:ilvl="7">
      <w:start w:val="1"/>
      <w:numFmt w:val="lowerLetter"/>
      <w:lvlText w:val="%8."/>
      <w:lvlJc w:val="left"/>
      <w:pPr>
        <w:tabs>
          <w:tab w:val="num" w:pos="6444"/>
        </w:tabs>
        <w:ind w:left="6444" w:hanging="360"/>
      </w:pPr>
      <w:rPr>
        <w:rFonts w:hint="default"/>
      </w:rPr>
    </w:lvl>
    <w:lvl w:ilvl="8">
      <w:start w:val="1"/>
      <w:numFmt w:val="lowerRoman"/>
      <w:lvlText w:val="%9."/>
      <w:lvlJc w:val="right"/>
      <w:pPr>
        <w:tabs>
          <w:tab w:val="num" w:pos="7164"/>
        </w:tabs>
        <w:ind w:left="7164" w:hanging="180"/>
      </w:pPr>
      <w:rPr>
        <w:rFonts w:hint="default"/>
      </w:rPr>
    </w:lvl>
  </w:abstractNum>
  <w:num w:numId="1">
    <w:abstractNumId w:val="14"/>
  </w:num>
  <w:num w:numId="2">
    <w:abstractNumId w:val="0"/>
  </w:num>
  <w:num w:numId="3">
    <w:abstractNumId w:val="2"/>
  </w:num>
  <w:num w:numId="4">
    <w:abstractNumId w:val="1"/>
  </w:num>
  <w:num w:numId="5">
    <w:abstractNumId w:val="4"/>
  </w:num>
  <w:num w:numId="6">
    <w:abstractNumId w:val="3"/>
  </w:num>
  <w:num w:numId="7">
    <w:abstractNumId w:val="14"/>
  </w:num>
  <w:num w:numId="8">
    <w:abstractNumId w:val="9"/>
  </w:num>
  <w:num w:numId="9">
    <w:abstractNumId w:val="14"/>
  </w:num>
  <w:num w:numId="10">
    <w:abstractNumId w:val="14"/>
  </w:num>
  <w:num w:numId="11">
    <w:abstractNumId w:val="14"/>
  </w:num>
  <w:num w:numId="12">
    <w:abstractNumId w:val="5"/>
  </w:num>
  <w:num w:numId="13">
    <w:abstractNumId w:val="13"/>
  </w:num>
  <w:num w:numId="14">
    <w:abstractNumId w:val="7"/>
  </w:num>
  <w:num w:numId="15">
    <w:abstractNumId w:val="14"/>
  </w:num>
  <w:num w:numId="16">
    <w:abstractNumId w:val="14"/>
  </w:num>
  <w:num w:numId="17">
    <w:abstractNumId w:val="14"/>
  </w:num>
  <w:num w:numId="18">
    <w:abstractNumId w:val="10"/>
  </w:num>
  <w:num w:numId="19">
    <w:abstractNumId w:val="14"/>
  </w:num>
  <w:num w:numId="20">
    <w:abstractNumId w:val="15"/>
  </w:num>
  <w:num w:numId="21">
    <w:abstractNumId w:val="6"/>
  </w:num>
  <w:num w:numId="22">
    <w:abstractNumId w:val="8"/>
  </w:num>
  <w:num w:numId="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num>
  <w:num w:numId="25">
    <w:abstractNumId w:val="14"/>
  </w:num>
  <w:num w:numId="26">
    <w:abstractNumId w:val="14"/>
  </w:num>
  <w:num w:numId="27">
    <w:abstractNumId w:val="14"/>
  </w:num>
  <w:num w:numId="28">
    <w:abstractNumId w:val="1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7DB8"/>
    <w:rsid w:val="000079DC"/>
    <w:rsid w:val="00013B08"/>
    <w:rsid w:val="00025882"/>
    <w:rsid w:val="00026D54"/>
    <w:rsid w:val="00031636"/>
    <w:rsid w:val="00032D6D"/>
    <w:rsid w:val="000467E0"/>
    <w:rsid w:val="00071C12"/>
    <w:rsid w:val="000B015E"/>
    <w:rsid w:val="000C2F47"/>
    <w:rsid w:val="000C664A"/>
    <w:rsid w:val="000D1E5A"/>
    <w:rsid w:val="000E1C81"/>
    <w:rsid w:val="00104022"/>
    <w:rsid w:val="001041E2"/>
    <w:rsid w:val="00116501"/>
    <w:rsid w:val="00116F84"/>
    <w:rsid w:val="0012210C"/>
    <w:rsid w:val="00156025"/>
    <w:rsid w:val="00160C84"/>
    <w:rsid w:val="00167103"/>
    <w:rsid w:val="00171F88"/>
    <w:rsid w:val="001753B9"/>
    <w:rsid w:val="00177D6B"/>
    <w:rsid w:val="0019440D"/>
    <w:rsid w:val="00194CC9"/>
    <w:rsid w:val="001A1026"/>
    <w:rsid w:val="001B1F82"/>
    <w:rsid w:val="001B74DE"/>
    <w:rsid w:val="001C78A6"/>
    <w:rsid w:val="001E2CFE"/>
    <w:rsid w:val="001F14C4"/>
    <w:rsid w:val="00203E5F"/>
    <w:rsid w:val="00213C4E"/>
    <w:rsid w:val="002148C3"/>
    <w:rsid w:val="00217F2B"/>
    <w:rsid w:val="002214B1"/>
    <w:rsid w:val="00241DC7"/>
    <w:rsid w:val="00243C12"/>
    <w:rsid w:val="0025310D"/>
    <w:rsid w:val="00283DBD"/>
    <w:rsid w:val="002D2435"/>
    <w:rsid w:val="002D397F"/>
    <w:rsid w:val="002D55EE"/>
    <w:rsid w:val="002F6DE8"/>
    <w:rsid w:val="00324027"/>
    <w:rsid w:val="00355D34"/>
    <w:rsid w:val="00363089"/>
    <w:rsid w:val="003A3216"/>
    <w:rsid w:val="003B12E8"/>
    <w:rsid w:val="003D1E1E"/>
    <w:rsid w:val="003F0176"/>
    <w:rsid w:val="003F100A"/>
    <w:rsid w:val="003F6D45"/>
    <w:rsid w:val="00414396"/>
    <w:rsid w:val="00415E53"/>
    <w:rsid w:val="00430DC1"/>
    <w:rsid w:val="004522C0"/>
    <w:rsid w:val="0047274C"/>
    <w:rsid w:val="004747FB"/>
    <w:rsid w:val="00484409"/>
    <w:rsid w:val="004913A3"/>
    <w:rsid w:val="00494B6E"/>
    <w:rsid w:val="004C0506"/>
    <w:rsid w:val="004C1F61"/>
    <w:rsid w:val="004C689C"/>
    <w:rsid w:val="004E0C43"/>
    <w:rsid w:val="004F130D"/>
    <w:rsid w:val="004F1640"/>
    <w:rsid w:val="004F48DC"/>
    <w:rsid w:val="005023C2"/>
    <w:rsid w:val="005135D3"/>
    <w:rsid w:val="00513896"/>
    <w:rsid w:val="005155D8"/>
    <w:rsid w:val="005275ED"/>
    <w:rsid w:val="00540AF0"/>
    <w:rsid w:val="0054660D"/>
    <w:rsid w:val="0055495D"/>
    <w:rsid w:val="00556747"/>
    <w:rsid w:val="00574AC9"/>
    <w:rsid w:val="00592560"/>
    <w:rsid w:val="005A5DFB"/>
    <w:rsid w:val="005B3C35"/>
    <w:rsid w:val="005C1F57"/>
    <w:rsid w:val="005F0A32"/>
    <w:rsid w:val="005F5913"/>
    <w:rsid w:val="00614343"/>
    <w:rsid w:val="00636C24"/>
    <w:rsid w:val="00645755"/>
    <w:rsid w:val="006464EF"/>
    <w:rsid w:val="00651FCA"/>
    <w:rsid w:val="00660FEC"/>
    <w:rsid w:val="00661B65"/>
    <w:rsid w:val="006625C1"/>
    <w:rsid w:val="00662735"/>
    <w:rsid w:val="00663779"/>
    <w:rsid w:val="00674C41"/>
    <w:rsid w:val="00676B7D"/>
    <w:rsid w:val="00677C1D"/>
    <w:rsid w:val="00680B33"/>
    <w:rsid w:val="00681958"/>
    <w:rsid w:val="00687DB8"/>
    <w:rsid w:val="00693E34"/>
    <w:rsid w:val="006A0DD6"/>
    <w:rsid w:val="006A23E8"/>
    <w:rsid w:val="006A4F65"/>
    <w:rsid w:val="006B738E"/>
    <w:rsid w:val="006C7DF0"/>
    <w:rsid w:val="006F0851"/>
    <w:rsid w:val="00700611"/>
    <w:rsid w:val="007052F9"/>
    <w:rsid w:val="00713880"/>
    <w:rsid w:val="0072633A"/>
    <w:rsid w:val="00744172"/>
    <w:rsid w:val="0075162B"/>
    <w:rsid w:val="007542C1"/>
    <w:rsid w:val="007B6557"/>
    <w:rsid w:val="007C28B4"/>
    <w:rsid w:val="007D0829"/>
    <w:rsid w:val="007E164C"/>
    <w:rsid w:val="007E2FDF"/>
    <w:rsid w:val="00804AA5"/>
    <w:rsid w:val="00805F8F"/>
    <w:rsid w:val="0084033B"/>
    <w:rsid w:val="0084058B"/>
    <w:rsid w:val="00841CB3"/>
    <w:rsid w:val="00843D78"/>
    <w:rsid w:val="0085442F"/>
    <w:rsid w:val="00876604"/>
    <w:rsid w:val="008914EC"/>
    <w:rsid w:val="00891CC8"/>
    <w:rsid w:val="00897BA1"/>
    <w:rsid w:val="008A05E5"/>
    <w:rsid w:val="008A0711"/>
    <w:rsid w:val="008A0B7E"/>
    <w:rsid w:val="008B39FB"/>
    <w:rsid w:val="008C2314"/>
    <w:rsid w:val="008C53CD"/>
    <w:rsid w:val="008C5646"/>
    <w:rsid w:val="008D1A90"/>
    <w:rsid w:val="008D3F19"/>
    <w:rsid w:val="008E04D6"/>
    <w:rsid w:val="008E59CE"/>
    <w:rsid w:val="00904136"/>
    <w:rsid w:val="0090428A"/>
    <w:rsid w:val="00907DDA"/>
    <w:rsid w:val="00911D46"/>
    <w:rsid w:val="009316C3"/>
    <w:rsid w:val="00931A2F"/>
    <w:rsid w:val="009372B1"/>
    <w:rsid w:val="00950987"/>
    <w:rsid w:val="009624D1"/>
    <w:rsid w:val="0096428B"/>
    <w:rsid w:val="009B696B"/>
    <w:rsid w:val="009C3C9E"/>
    <w:rsid w:val="009D76B7"/>
    <w:rsid w:val="00A00360"/>
    <w:rsid w:val="00A03CFE"/>
    <w:rsid w:val="00A05D17"/>
    <w:rsid w:val="00A07D94"/>
    <w:rsid w:val="00A10BAC"/>
    <w:rsid w:val="00A112EE"/>
    <w:rsid w:val="00A32A0D"/>
    <w:rsid w:val="00A50146"/>
    <w:rsid w:val="00A50490"/>
    <w:rsid w:val="00A50D9F"/>
    <w:rsid w:val="00A5671F"/>
    <w:rsid w:val="00A83512"/>
    <w:rsid w:val="00A951BE"/>
    <w:rsid w:val="00AA121E"/>
    <w:rsid w:val="00AA6F7B"/>
    <w:rsid w:val="00AB715C"/>
    <w:rsid w:val="00AC7AED"/>
    <w:rsid w:val="00AD38B4"/>
    <w:rsid w:val="00B37BA8"/>
    <w:rsid w:val="00B429BF"/>
    <w:rsid w:val="00B82CE3"/>
    <w:rsid w:val="00B9472A"/>
    <w:rsid w:val="00BC2A82"/>
    <w:rsid w:val="00BC51F2"/>
    <w:rsid w:val="00BC6021"/>
    <w:rsid w:val="00BD7777"/>
    <w:rsid w:val="00BE4656"/>
    <w:rsid w:val="00BE601E"/>
    <w:rsid w:val="00BF0BC7"/>
    <w:rsid w:val="00C02D1F"/>
    <w:rsid w:val="00C055BF"/>
    <w:rsid w:val="00C05D32"/>
    <w:rsid w:val="00C207DE"/>
    <w:rsid w:val="00C21E11"/>
    <w:rsid w:val="00C224C7"/>
    <w:rsid w:val="00C2395E"/>
    <w:rsid w:val="00C2784F"/>
    <w:rsid w:val="00C61D6B"/>
    <w:rsid w:val="00C635D5"/>
    <w:rsid w:val="00C740AC"/>
    <w:rsid w:val="00C957BE"/>
    <w:rsid w:val="00C97BF2"/>
    <w:rsid w:val="00CA0458"/>
    <w:rsid w:val="00CA0502"/>
    <w:rsid w:val="00CA1D94"/>
    <w:rsid w:val="00CA1EE5"/>
    <w:rsid w:val="00CD0161"/>
    <w:rsid w:val="00CD7925"/>
    <w:rsid w:val="00D0254B"/>
    <w:rsid w:val="00D108BD"/>
    <w:rsid w:val="00D15A0B"/>
    <w:rsid w:val="00D43284"/>
    <w:rsid w:val="00D46D4D"/>
    <w:rsid w:val="00D664E4"/>
    <w:rsid w:val="00DA66DA"/>
    <w:rsid w:val="00DA78E4"/>
    <w:rsid w:val="00DC4BBA"/>
    <w:rsid w:val="00DC4D70"/>
    <w:rsid w:val="00DC6971"/>
    <w:rsid w:val="00E01651"/>
    <w:rsid w:val="00E02AC2"/>
    <w:rsid w:val="00E02CD2"/>
    <w:rsid w:val="00E11745"/>
    <w:rsid w:val="00E1671E"/>
    <w:rsid w:val="00E16C3C"/>
    <w:rsid w:val="00E17691"/>
    <w:rsid w:val="00E25519"/>
    <w:rsid w:val="00E337AC"/>
    <w:rsid w:val="00E52410"/>
    <w:rsid w:val="00E83259"/>
    <w:rsid w:val="00E86F51"/>
    <w:rsid w:val="00E970C6"/>
    <w:rsid w:val="00EA07BD"/>
    <w:rsid w:val="00EA52D7"/>
    <w:rsid w:val="00EB5D63"/>
    <w:rsid w:val="00EC18BC"/>
    <w:rsid w:val="00ED3885"/>
    <w:rsid w:val="00ED3EE4"/>
    <w:rsid w:val="00ED73D9"/>
    <w:rsid w:val="00EE504E"/>
    <w:rsid w:val="00EF361D"/>
    <w:rsid w:val="00F02D66"/>
    <w:rsid w:val="00F0669C"/>
    <w:rsid w:val="00F0717E"/>
    <w:rsid w:val="00F320E9"/>
    <w:rsid w:val="00F35ED6"/>
    <w:rsid w:val="00F47D36"/>
    <w:rsid w:val="00F507B7"/>
    <w:rsid w:val="00F52730"/>
    <w:rsid w:val="00FA0328"/>
    <w:rsid w:val="00FB3654"/>
    <w:rsid w:val="00FE140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A0CD15A"/>
  <w15:docId w15:val="{A9B6C708-F305-44D0-8FFF-0836A2DA3C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aliases w:val="Text"/>
    <w:qFormat/>
    <w:rsid w:val="008914EC"/>
    <w:rPr>
      <w:sz w:val="24"/>
      <w:szCs w:val="24"/>
      <w:lang w:val="cs-CZ" w:eastAsia="cs-CZ"/>
    </w:rPr>
  </w:style>
  <w:style w:type="paragraph" w:styleId="Nadpis1">
    <w:name w:val="heading 1"/>
    <w:aliases w:val="Headline 1"/>
    <w:basedOn w:val="Normln"/>
    <w:next w:val="Normln"/>
    <w:qFormat/>
    <w:rsid w:val="00156025"/>
    <w:pPr>
      <w:keepNext/>
      <w:numPr>
        <w:numId w:val="1"/>
      </w:numPr>
      <w:autoSpaceDE w:val="0"/>
      <w:autoSpaceDN w:val="0"/>
      <w:spacing w:before="360" w:after="120"/>
      <w:jc w:val="both"/>
      <w:outlineLvl w:val="0"/>
    </w:pPr>
    <w:rPr>
      <w:b/>
      <w:bCs/>
      <w:kern w:val="28"/>
      <w:sz w:val="28"/>
      <w:szCs w:val="30"/>
      <w:lang w:val="en-US"/>
    </w:rPr>
  </w:style>
  <w:style w:type="paragraph" w:styleId="Nadpis2">
    <w:name w:val="heading 2"/>
    <w:aliases w:val="Headline2"/>
    <w:basedOn w:val="Normln"/>
    <w:next w:val="Normln"/>
    <w:qFormat/>
    <w:rsid w:val="00AB715C"/>
    <w:pPr>
      <w:keepNext/>
      <w:numPr>
        <w:ilvl w:val="1"/>
        <w:numId w:val="1"/>
      </w:numPr>
      <w:autoSpaceDE w:val="0"/>
      <w:autoSpaceDN w:val="0"/>
      <w:spacing w:before="240" w:after="120"/>
      <w:jc w:val="both"/>
      <w:outlineLvl w:val="1"/>
    </w:pPr>
    <w:rPr>
      <w:b/>
      <w:bCs/>
      <w:lang w:val="en-US"/>
    </w:rPr>
  </w:style>
  <w:style w:type="paragraph" w:styleId="Nadpis3">
    <w:name w:val="heading 3"/>
    <w:aliases w:val="Headline3"/>
    <w:basedOn w:val="Normln"/>
    <w:next w:val="Normln"/>
    <w:qFormat/>
    <w:rsid w:val="00AB715C"/>
    <w:pPr>
      <w:keepNext/>
      <w:numPr>
        <w:ilvl w:val="2"/>
        <w:numId w:val="1"/>
      </w:numPr>
      <w:autoSpaceDE w:val="0"/>
      <w:autoSpaceDN w:val="0"/>
      <w:spacing w:before="240" w:after="120"/>
      <w:jc w:val="both"/>
      <w:outlineLvl w:val="2"/>
    </w:pPr>
    <w:rPr>
      <w:b/>
      <w:bCs/>
      <w:sz w:val="22"/>
      <w:szCs w:val="22"/>
      <w:lang w:val="en-US"/>
    </w:rPr>
  </w:style>
  <w:style w:type="paragraph" w:styleId="Nadpis4">
    <w:name w:val="heading 4"/>
    <w:basedOn w:val="Normln"/>
    <w:next w:val="Normln"/>
    <w:pPr>
      <w:keepNext/>
      <w:numPr>
        <w:ilvl w:val="3"/>
        <w:numId w:val="1"/>
      </w:numPr>
      <w:tabs>
        <w:tab w:val="num" w:pos="0"/>
      </w:tabs>
      <w:autoSpaceDE w:val="0"/>
      <w:autoSpaceDN w:val="0"/>
      <w:spacing w:before="240" w:after="60"/>
      <w:ind w:left="340" w:hanging="340"/>
      <w:jc w:val="both"/>
      <w:outlineLvl w:val="3"/>
    </w:pPr>
    <w:rPr>
      <w:rFonts w:ascii="Arial" w:hAnsi="Arial" w:cs="Arial"/>
      <w:b/>
      <w:bCs/>
      <w:lang w:val="en-US"/>
    </w:rPr>
  </w:style>
  <w:style w:type="paragraph" w:styleId="Nadpis5">
    <w:name w:val="heading 5"/>
    <w:basedOn w:val="Normln"/>
    <w:next w:val="Normln"/>
    <w:pPr>
      <w:numPr>
        <w:ilvl w:val="4"/>
        <w:numId w:val="1"/>
      </w:numPr>
      <w:tabs>
        <w:tab w:val="num" w:pos="0"/>
      </w:tabs>
      <w:autoSpaceDE w:val="0"/>
      <w:autoSpaceDN w:val="0"/>
      <w:spacing w:before="240" w:after="60"/>
      <w:ind w:left="340" w:hanging="340"/>
      <w:jc w:val="both"/>
      <w:outlineLvl w:val="4"/>
    </w:pPr>
    <w:rPr>
      <w:rFonts w:ascii="Arial" w:hAnsi="Arial" w:cs="Arial"/>
      <w:sz w:val="22"/>
      <w:szCs w:val="22"/>
      <w:lang w:val="en-US"/>
    </w:rPr>
  </w:style>
  <w:style w:type="paragraph" w:styleId="Nadpis6">
    <w:name w:val="heading 6"/>
    <w:basedOn w:val="Normln"/>
    <w:next w:val="Normln"/>
    <w:pPr>
      <w:numPr>
        <w:ilvl w:val="5"/>
        <w:numId w:val="1"/>
      </w:numPr>
      <w:tabs>
        <w:tab w:val="num" w:pos="0"/>
      </w:tabs>
      <w:autoSpaceDE w:val="0"/>
      <w:autoSpaceDN w:val="0"/>
      <w:spacing w:before="240" w:after="60"/>
      <w:ind w:left="340" w:hanging="340"/>
      <w:jc w:val="both"/>
      <w:outlineLvl w:val="5"/>
    </w:pPr>
    <w:rPr>
      <w:i/>
      <w:iCs/>
      <w:sz w:val="22"/>
      <w:szCs w:val="22"/>
      <w:lang w:val="en-US"/>
    </w:rPr>
  </w:style>
  <w:style w:type="paragraph" w:styleId="Nadpis7">
    <w:name w:val="heading 7"/>
    <w:basedOn w:val="Normln"/>
    <w:next w:val="Normln"/>
    <w:pPr>
      <w:numPr>
        <w:ilvl w:val="6"/>
        <w:numId w:val="1"/>
      </w:numPr>
      <w:tabs>
        <w:tab w:val="num" w:pos="0"/>
      </w:tabs>
      <w:autoSpaceDE w:val="0"/>
      <w:autoSpaceDN w:val="0"/>
      <w:spacing w:before="240" w:after="60"/>
      <w:ind w:left="340" w:hanging="340"/>
      <w:jc w:val="both"/>
      <w:outlineLvl w:val="6"/>
    </w:pPr>
    <w:rPr>
      <w:rFonts w:ascii="Arial" w:hAnsi="Arial" w:cs="Arial"/>
      <w:sz w:val="22"/>
      <w:szCs w:val="22"/>
      <w:lang w:val="en-US"/>
    </w:rPr>
  </w:style>
  <w:style w:type="paragraph" w:styleId="Nadpis8">
    <w:name w:val="heading 8"/>
    <w:basedOn w:val="Normln"/>
    <w:next w:val="Normln"/>
    <w:pPr>
      <w:numPr>
        <w:ilvl w:val="7"/>
        <w:numId w:val="1"/>
      </w:numPr>
      <w:tabs>
        <w:tab w:val="num" w:pos="0"/>
      </w:tabs>
      <w:autoSpaceDE w:val="0"/>
      <w:autoSpaceDN w:val="0"/>
      <w:spacing w:before="240" w:after="60"/>
      <w:ind w:left="340" w:hanging="340"/>
      <w:jc w:val="both"/>
      <w:outlineLvl w:val="7"/>
    </w:pPr>
    <w:rPr>
      <w:rFonts w:ascii="Arial" w:hAnsi="Arial" w:cs="Arial"/>
      <w:i/>
      <w:iCs/>
      <w:sz w:val="22"/>
      <w:szCs w:val="22"/>
      <w:lang w:val="en-US"/>
    </w:rPr>
  </w:style>
  <w:style w:type="paragraph" w:styleId="Nadpis9">
    <w:name w:val="heading 9"/>
    <w:basedOn w:val="Normln"/>
    <w:next w:val="Normln"/>
    <w:pPr>
      <w:numPr>
        <w:ilvl w:val="8"/>
        <w:numId w:val="1"/>
      </w:numPr>
      <w:tabs>
        <w:tab w:val="num" w:pos="0"/>
      </w:tabs>
      <w:autoSpaceDE w:val="0"/>
      <w:autoSpaceDN w:val="0"/>
      <w:spacing w:before="240" w:after="60"/>
      <w:ind w:left="340" w:hanging="340"/>
      <w:jc w:val="both"/>
      <w:outlineLvl w:val="8"/>
    </w:pPr>
    <w:rPr>
      <w:rFonts w:ascii="Arial" w:hAnsi="Arial" w:cs="Arial"/>
      <w:b/>
      <w:bCs/>
      <w:i/>
      <w:iCs/>
      <w:sz w:val="18"/>
      <w:szCs w:val="18"/>
      <w:lang w:val="en-US"/>
    </w:rPr>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link w:val="ZkladntextChar"/>
    <w:pPr>
      <w:autoSpaceDE w:val="0"/>
      <w:autoSpaceDN w:val="0"/>
      <w:ind w:firstLine="284"/>
      <w:jc w:val="both"/>
    </w:pPr>
    <w:rPr>
      <w:lang w:val="en-US"/>
    </w:rPr>
  </w:style>
  <w:style w:type="paragraph" w:customStyle="1" w:styleId="Abstract">
    <w:name w:val="Abstract"/>
    <w:basedOn w:val="Normln"/>
    <w:link w:val="AbstractChar"/>
    <w:qFormat/>
    <w:rsid w:val="00D46D4D"/>
    <w:pPr>
      <w:spacing w:before="240" w:after="120"/>
      <w:ind w:firstLine="284"/>
      <w:jc w:val="both"/>
      <w:outlineLvl w:val="1"/>
    </w:pPr>
    <w:rPr>
      <w:b/>
      <w:caps/>
      <w:lang w:val="en-GB" w:eastAsia="en-US"/>
    </w:rPr>
  </w:style>
  <w:style w:type="paragraph" w:customStyle="1" w:styleId="References">
    <w:name w:val="References"/>
    <w:basedOn w:val="Normln"/>
    <w:link w:val="ReferencesChar"/>
    <w:qFormat/>
    <w:rsid w:val="00D46D4D"/>
    <w:pPr>
      <w:spacing w:before="240" w:after="120"/>
      <w:ind w:firstLine="284"/>
      <w:jc w:val="both"/>
      <w:outlineLvl w:val="1"/>
    </w:pPr>
    <w:rPr>
      <w:b/>
      <w:caps/>
      <w:lang w:val="sk-SK" w:eastAsia="en-US"/>
    </w:rPr>
  </w:style>
  <w:style w:type="paragraph" w:customStyle="1" w:styleId="Acknowledgement">
    <w:name w:val="Acknowledgement"/>
    <w:basedOn w:val="Normln"/>
    <w:link w:val="AcknowledgementChar"/>
    <w:qFormat/>
    <w:rsid w:val="00D46D4D"/>
    <w:pPr>
      <w:spacing w:before="240" w:after="120"/>
      <w:ind w:firstLine="284"/>
      <w:jc w:val="both"/>
      <w:outlineLvl w:val="1"/>
    </w:pPr>
    <w:rPr>
      <w:b/>
      <w:caps/>
      <w:lang w:val="sk-SK" w:eastAsia="en-US"/>
    </w:rPr>
  </w:style>
  <w:style w:type="paragraph" w:customStyle="1" w:styleId="KeyWords">
    <w:name w:val="KeyWords"/>
    <w:basedOn w:val="Normln"/>
    <w:link w:val="KeyWordsChar"/>
    <w:qFormat/>
    <w:rsid w:val="00D46D4D"/>
    <w:pPr>
      <w:spacing w:before="240" w:after="120"/>
      <w:ind w:firstLine="284"/>
      <w:jc w:val="both"/>
      <w:outlineLvl w:val="1"/>
    </w:pPr>
    <w:rPr>
      <w:b/>
      <w:caps/>
      <w:lang w:val="en-GB" w:eastAsia="en-US"/>
    </w:rPr>
  </w:style>
  <w:style w:type="character" w:customStyle="1" w:styleId="AbstractChar">
    <w:name w:val="Abstract Char"/>
    <w:basedOn w:val="Standardnpsmoodstavce"/>
    <w:link w:val="Abstract"/>
    <w:rsid w:val="00D46D4D"/>
    <w:rPr>
      <w:b/>
      <w:caps/>
      <w:sz w:val="24"/>
      <w:szCs w:val="24"/>
      <w:lang w:val="en-GB" w:eastAsia="en-US"/>
    </w:rPr>
  </w:style>
  <w:style w:type="paragraph" w:customStyle="1" w:styleId="BibItem">
    <w:name w:val="BibItem"/>
    <w:basedOn w:val="Zkladntext"/>
    <w:pPr>
      <w:keepLines/>
      <w:numPr>
        <w:numId w:val="3"/>
      </w:numPr>
      <w:tabs>
        <w:tab w:val="clear" w:pos="1222"/>
      </w:tabs>
      <w:spacing w:before="120"/>
      <w:ind w:left="454" w:hanging="454"/>
    </w:pPr>
  </w:style>
  <w:style w:type="paragraph" w:customStyle="1" w:styleId="KeyWordstext">
    <w:name w:val="KeyWords(text)"/>
    <w:basedOn w:val="Normln"/>
    <w:link w:val="KeyWordstextChar"/>
    <w:qFormat/>
    <w:rsid w:val="00805F8F"/>
    <w:pPr>
      <w:autoSpaceDE w:val="0"/>
      <w:autoSpaceDN w:val="0"/>
      <w:ind w:right="567"/>
      <w:jc w:val="both"/>
    </w:pPr>
    <w:rPr>
      <w:i/>
      <w:sz w:val="22"/>
      <w:szCs w:val="22"/>
      <w:lang w:val="en-GB"/>
    </w:rPr>
  </w:style>
  <w:style w:type="paragraph" w:customStyle="1" w:styleId="Equation">
    <w:name w:val="Equation"/>
    <w:pPr>
      <w:tabs>
        <w:tab w:val="center" w:pos="4536"/>
        <w:tab w:val="right" w:pos="9072"/>
      </w:tabs>
      <w:autoSpaceDE w:val="0"/>
      <w:autoSpaceDN w:val="0"/>
      <w:spacing w:before="160" w:after="120"/>
      <w:jc w:val="center"/>
    </w:pPr>
    <w:rPr>
      <w:sz w:val="22"/>
      <w:szCs w:val="22"/>
      <w:lang w:val="en-US" w:eastAsia="cs-CZ"/>
    </w:rPr>
  </w:style>
  <w:style w:type="character" w:customStyle="1" w:styleId="KeyWordsChar">
    <w:name w:val="KeyWords Char"/>
    <w:basedOn w:val="Standardnpsmoodstavce"/>
    <w:link w:val="KeyWords"/>
    <w:rsid w:val="00D46D4D"/>
    <w:rPr>
      <w:b/>
      <w:caps/>
      <w:sz w:val="24"/>
      <w:szCs w:val="24"/>
      <w:lang w:val="en-GB" w:eastAsia="en-US"/>
    </w:rPr>
  </w:style>
  <w:style w:type="paragraph" w:styleId="Seznamsodrkami">
    <w:name w:val="List Bullet"/>
    <w:basedOn w:val="Normln"/>
    <w:autoRedefine/>
    <w:pPr>
      <w:numPr>
        <w:numId w:val="4"/>
      </w:numPr>
      <w:autoSpaceDE w:val="0"/>
      <w:autoSpaceDN w:val="0"/>
      <w:spacing w:before="60" w:after="60"/>
      <w:jc w:val="both"/>
    </w:pPr>
    <w:rPr>
      <w:szCs w:val="22"/>
    </w:rPr>
  </w:style>
  <w:style w:type="paragraph" w:customStyle="1" w:styleId="Contact">
    <w:name w:val="Contact"/>
    <w:basedOn w:val="Normln"/>
    <w:link w:val="ContactChar"/>
    <w:qFormat/>
    <w:rsid w:val="00D46D4D"/>
    <w:pPr>
      <w:spacing w:before="240" w:after="120"/>
      <w:ind w:firstLine="284"/>
      <w:jc w:val="both"/>
      <w:outlineLvl w:val="1"/>
    </w:pPr>
    <w:rPr>
      <w:b/>
      <w:caps/>
      <w:lang w:val="sk-SK" w:eastAsia="en-US"/>
    </w:rPr>
  </w:style>
  <w:style w:type="paragraph" w:styleId="Textpoznpodarou">
    <w:name w:val="footnote text"/>
    <w:basedOn w:val="Normln"/>
    <w:link w:val="TextpoznpodarouChar"/>
    <w:semiHidden/>
    <w:pPr>
      <w:autoSpaceDE w:val="0"/>
      <w:autoSpaceDN w:val="0"/>
      <w:ind w:firstLine="284"/>
      <w:jc w:val="both"/>
    </w:pPr>
    <w:rPr>
      <w:sz w:val="22"/>
      <w:szCs w:val="22"/>
    </w:rPr>
  </w:style>
  <w:style w:type="paragraph" w:styleId="Textbubliny">
    <w:name w:val="Balloon Text"/>
    <w:basedOn w:val="Normln"/>
    <w:link w:val="TextbublinyChar"/>
    <w:rsid w:val="00D46D4D"/>
    <w:pPr>
      <w:autoSpaceDE w:val="0"/>
      <w:autoSpaceDN w:val="0"/>
      <w:ind w:firstLine="284"/>
      <w:jc w:val="both"/>
    </w:pPr>
    <w:rPr>
      <w:rFonts w:ascii="Tahoma" w:hAnsi="Tahoma" w:cs="Tahoma"/>
      <w:sz w:val="16"/>
      <w:szCs w:val="16"/>
    </w:rPr>
  </w:style>
  <w:style w:type="character" w:customStyle="1" w:styleId="ContactChar">
    <w:name w:val="Contact Char"/>
    <w:basedOn w:val="Standardnpsmoodstavce"/>
    <w:link w:val="Contact"/>
    <w:rsid w:val="00D46D4D"/>
    <w:rPr>
      <w:b/>
      <w:caps/>
      <w:sz w:val="24"/>
      <w:szCs w:val="24"/>
      <w:lang w:eastAsia="en-US"/>
    </w:rPr>
  </w:style>
  <w:style w:type="character" w:styleId="Znakapoznpodarou">
    <w:name w:val="footnote reference"/>
    <w:semiHidden/>
    <w:rPr>
      <w:vertAlign w:val="superscript"/>
    </w:rPr>
  </w:style>
  <w:style w:type="paragraph" w:styleId="Zhlav">
    <w:name w:val="header"/>
    <w:basedOn w:val="Normln"/>
    <w:link w:val="ZhlavChar"/>
    <w:uiPriority w:val="99"/>
    <w:pPr>
      <w:tabs>
        <w:tab w:val="center" w:pos="4536"/>
        <w:tab w:val="right" w:pos="9072"/>
      </w:tabs>
      <w:autoSpaceDE w:val="0"/>
      <w:autoSpaceDN w:val="0"/>
      <w:ind w:firstLine="284"/>
      <w:jc w:val="both"/>
    </w:pPr>
    <w:rPr>
      <w:sz w:val="22"/>
      <w:szCs w:val="22"/>
      <w:lang w:val="en-US"/>
    </w:rPr>
  </w:style>
  <w:style w:type="paragraph" w:customStyle="1" w:styleId="JEL">
    <w:name w:val="JEL"/>
    <w:basedOn w:val="Normln"/>
    <w:link w:val="JELChar"/>
    <w:qFormat/>
    <w:rsid w:val="00D46D4D"/>
    <w:pPr>
      <w:spacing w:before="240" w:after="120"/>
      <w:ind w:firstLine="284"/>
      <w:jc w:val="both"/>
      <w:outlineLvl w:val="1"/>
    </w:pPr>
    <w:rPr>
      <w:b/>
      <w:caps/>
      <w:lang w:val="en-GB" w:eastAsia="en-US"/>
    </w:rPr>
  </w:style>
  <w:style w:type="character" w:customStyle="1" w:styleId="TextbublinyChar">
    <w:name w:val="Text bubliny Char"/>
    <w:basedOn w:val="Standardnpsmoodstavce"/>
    <w:link w:val="Textbubliny"/>
    <w:rsid w:val="00D46D4D"/>
    <w:rPr>
      <w:rFonts w:ascii="Tahoma" w:hAnsi="Tahoma" w:cs="Tahoma"/>
      <w:sz w:val="16"/>
      <w:szCs w:val="16"/>
      <w:lang w:val="cs-CZ" w:eastAsia="cs-CZ"/>
    </w:rPr>
  </w:style>
  <w:style w:type="character" w:customStyle="1" w:styleId="ReferencesChar">
    <w:name w:val="References Char"/>
    <w:basedOn w:val="Standardnpsmoodstavce"/>
    <w:link w:val="References"/>
    <w:rsid w:val="00D46D4D"/>
    <w:rPr>
      <w:b/>
      <w:caps/>
      <w:sz w:val="24"/>
      <w:szCs w:val="24"/>
      <w:lang w:eastAsia="en-US"/>
    </w:rPr>
  </w:style>
  <w:style w:type="paragraph" w:styleId="Titulek">
    <w:name w:val="caption"/>
    <w:basedOn w:val="Normln"/>
    <w:next w:val="Normln"/>
    <w:rsid w:val="0075162B"/>
    <w:pPr>
      <w:autoSpaceDE w:val="0"/>
      <w:autoSpaceDN w:val="0"/>
      <w:spacing w:after="200"/>
      <w:ind w:firstLine="284"/>
      <w:jc w:val="both"/>
    </w:pPr>
    <w:rPr>
      <w:b/>
      <w:bCs/>
      <w:color w:val="4F81BD" w:themeColor="accent1"/>
      <w:sz w:val="18"/>
      <w:szCs w:val="18"/>
    </w:rPr>
  </w:style>
  <w:style w:type="character" w:styleId="Hypertextovodkaz">
    <w:name w:val="Hyperlink"/>
    <w:rPr>
      <w:color w:val="0000FF"/>
      <w:u w:val="single"/>
    </w:rPr>
  </w:style>
  <w:style w:type="paragraph" w:styleId="Odstavecseseznamem">
    <w:name w:val="List Paragraph"/>
    <w:basedOn w:val="Normln"/>
    <w:uiPriority w:val="34"/>
    <w:rsid w:val="009C3C9E"/>
    <w:pPr>
      <w:autoSpaceDE w:val="0"/>
      <w:autoSpaceDN w:val="0"/>
      <w:ind w:left="720" w:firstLine="284"/>
      <w:contextualSpacing/>
      <w:jc w:val="both"/>
    </w:pPr>
    <w:rPr>
      <w:szCs w:val="20"/>
    </w:rPr>
  </w:style>
  <w:style w:type="paragraph" w:styleId="Zkladntextodsazen3">
    <w:name w:val="Body Text Indent 3"/>
    <w:basedOn w:val="Normln"/>
    <w:pPr>
      <w:autoSpaceDE w:val="0"/>
      <w:autoSpaceDN w:val="0"/>
      <w:ind w:firstLine="567"/>
      <w:jc w:val="both"/>
    </w:pPr>
  </w:style>
  <w:style w:type="character" w:styleId="Zdraznn">
    <w:name w:val="Emphasis"/>
    <w:uiPriority w:val="20"/>
    <w:qFormat/>
    <w:rsid w:val="00A83512"/>
    <w:rPr>
      <w:i/>
      <w:iCs/>
    </w:rPr>
  </w:style>
  <w:style w:type="paragraph" w:customStyle="1" w:styleId="Tabulka">
    <w:name w:val="Tabulka"/>
    <w:basedOn w:val="Zkladntext"/>
    <w:pPr>
      <w:ind w:firstLine="0"/>
    </w:pPr>
    <w:rPr>
      <w:lang w:val="cs-CZ"/>
    </w:rPr>
  </w:style>
  <w:style w:type="paragraph" w:customStyle="1" w:styleId="Nadpistabulky">
    <w:name w:val="Nadpis tabulky"/>
    <w:basedOn w:val="Zkladntext"/>
    <w:link w:val="NadpistabulkyChar"/>
    <w:pPr>
      <w:ind w:firstLine="0"/>
    </w:pPr>
    <w:rPr>
      <w:i/>
      <w:iCs/>
      <w:sz w:val="20"/>
      <w:szCs w:val="20"/>
      <w:lang w:val="cs-CZ"/>
    </w:rPr>
  </w:style>
  <w:style w:type="paragraph" w:customStyle="1" w:styleId="Nadpisobrzku">
    <w:name w:val="Nadpis obrázku"/>
    <w:basedOn w:val="Nadpistabulky"/>
    <w:link w:val="NadpisobrzkuChar"/>
    <w:pPr>
      <w:jc w:val="center"/>
    </w:pPr>
  </w:style>
  <w:style w:type="character" w:customStyle="1" w:styleId="ZhlavChar">
    <w:name w:val="Záhlaví Char"/>
    <w:link w:val="Zhlav"/>
    <w:uiPriority w:val="99"/>
    <w:rsid w:val="005F5913"/>
    <w:rPr>
      <w:sz w:val="22"/>
      <w:szCs w:val="22"/>
      <w:lang w:val="en-US" w:eastAsia="cs-CZ"/>
    </w:rPr>
  </w:style>
  <w:style w:type="character" w:customStyle="1" w:styleId="KeyWordstextChar">
    <w:name w:val="KeyWords(text) Char"/>
    <w:basedOn w:val="Standardnpsmoodstavce"/>
    <w:link w:val="KeyWordstext"/>
    <w:rsid w:val="00805F8F"/>
    <w:rPr>
      <w:i/>
      <w:sz w:val="22"/>
      <w:szCs w:val="22"/>
      <w:lang w:val="en-GB" w:eastAsia="cs-CZ"/>
    </w:rPr>
  </w:style>
  <w:style w:type="paragraph" w:customStyle="1" w:styleId="TitleNazov">
    <w:name w:val="Title(Nazov)"/>
    <w:basedOn w:val="Normln"/>
    <w:link w:val="TitleNazovChar"/>
    <w:qFormat/>
    <w:rsid w:val="00805F8F"/>
    <w:pPr>
      <w:autoSpaceDE w:val="0"/>
      <w:autoSpaceDN w:val="0"/>
      <w:spacing w:before="240" w:after="120"/>
      <w:ind w:left="851" w:right="851" w:firstLine="284"/>
      <w:jc w:val="center"/>
    </w:pPr>
    <w:rPr>
      <w:rFonts w:ascii="Arial" w:hAnsi="Arial" w:cs="Arial"/>
      <w:b/>
      <w:caps/>
      <w:sz w:val="28"/>
      <w:szCs w:val="32"/>
    </w:rPr>
  </w:style>
  <w:style w:type="paragraph" w:customStyle="1" w:styleId="Nazov">
    <w:name w:val="Nazov"/>
    <w:basedOn w:val="Normln"/>
    <w:link w:val="NazovChar"/>
    <w:rsid w:val="00805F8F"/>
    <w:pPr>
      <w:autoSpaceDE w:val="0"/>
      <w:autoSpaceDN w:val="0"/>
      <w:spacing w:before="240" w:after="120"/>
      <w:ind w:left="851" w:right="851" w:firstLine="284"/>
      <w:jc w:val="center"/>
    </w:pPr>
    <w:rPr>
      <w:rFonts w:ascii="Arial" w:hAnsi="Arial" w:cs="Arial"/>
      <w:b/>
      <w:caps/>
      <w:sz w:val="28"/>
      <w:szCs w:val="32"/>
    </w:rPr>
  </w:style>
  <w:style w:type="character" w:customStyle="1" w:styleId="TitleNazovChar">
    <w:name w:val="Title(Nazov) Char"/>
    <w:basedOn w:val="Standardnpsmoodstavce"/>
    <w:link w:val="TitleNazov"/>
    <w:rsid w:val="00805F8F"/>
    <w:rPr>
      <w:rFonts w:ascii="Arial" w:hAnsi="Arial" w:cs="Arial"/>
      <w:b/>
      <w:caps/>
      <w:sz w:val="28"/>
      <w:szCs w:val="32"/>
      <w:lang w:val="cs-CZ" w:eastAsia="cs-CZ"/>
    </w:rPr>
  </w:style>
  <w:style w:type="paragraph" w:customStyle="1" w:styleId="Authors">
    <w:name w:val="Author(s)"/>
    <w:basedOn w:val="Normln"/>
    <w:link w:val="AuthorsChar"/>
    <w:qFormat/>
    <w:rsid w:val="001753B9"/>
    <w:pPr>
      <w:autoSpaceDE w:val="0"/>
      <w:autoSpaceDN w:val="0"/>
      <w:spacing w:before="240" w:after="120"/>
      <w:jc w:val="center"/>
    </w:pPr>
    <w:rPr>
      <w:b/>
    </w:rPr>
  </w:style>
  <w:style w:type="character" w:customStyle="1" w:styleId="NazovChar">
    <w:name w:val="Nazov Char"/>
    <w:basedOn w:val="Standardnpsmoodstavce"/>
    <w:link w:val="Nazov"/>
    <w:rsid w:val="00805F8F"/>
    <w:rPr>
      <w:rFonts w:ascii="Arial" w:hAnsi="Arial" w:cs="Arial"/>
      <w:b/>
      <w:caps/>
      <w:sz w:val="28"/>
      <w:szCs w:val="32"/>
      <w:lang w:val="cs-CZ" w:eastAsia="cs-CZ"/>
    </w:rPr>
  </w:style>
  <w:style w:type="paragraph" w:customStyle="1" w:styleId="Abstracttext">
    <w:name w:val="Abstract(text)"/>
    <w:basedOn w:val="Normln"/>
    <w:link w:val="AbstracttextChar"/>
    <w:qFormat/>
    <w:rsid w:val="00805F8F"/>
    <w:pPr>
      <w:autoSpaceDE w:val="0"/>
      <w:autoSpaceDN w:val="0"/>
      <w:ind w:right="567"/>
      <w:jc w:val="both"/>
    </w:pPr>
    <w:rPr>
      <w:i/>
      <w:sz w:val="22"/>
      <w:szCs w:val="22"/>
      <w:lang w:val="en-GB"/>
    </w:rPr>
  </w:style>
  <w:style w:type="paragraph" w:customStyle="1" w:styleId="JELtext">
    <w:name w:val="JEL(text)"/>
    <w:basedOn w:val="Normln"/>
    <w:link w:val="JELtextChar"/>
    <w:qFormat/>
    <w:rsid w:val="00805F8F"/>
    <w:pPr>
      <w:autoSpaceDE w:val="0"/>
      <w:autoSpaceDN w:val="0"/>
      <w:ind w:right="567"/>
    </w:pPr>
    <w:rPr>
      <w:bCs/>
      <w:i/>
      <w:sz w:val="22"/>
      <w:szCs w:val="22"/>
      <w:lang w:val="en-GB"/>
    </w:rPr>
  </w:style>
  <w:style w:type="character" w:customStyle="1" w:styleId="AuthorsChar">
    <w:name w:val="Author(s) Char"/>
    <w:basedOn w:val="Standardnpsmoodstavce"/>
    <w:link w:val="Authors"/>
    <w:rsid w:val="001753B9"/>
    <w:rPr>
      <w:b/>
      <w:sz w:val="24"/>
      <w:szCs w:val="24"/>
      <w:lang w:val="cs-CZ" w:eastAsia="cs-CZ"/>
    </w:rPr>
  </w:style>
  <w:style w:type="paragraph" w:customStyle="1" w:styleId="FigureSource">
    <w:name w:val="Figure (Source)"/>
    <w:basedOn w:val="Nadpisobrzku"/>
    <w:link w:val="FigureSourceChar"/>
    <w:qFormat/>
    <w:rsid w:val="006B738E"/>
    <w:pPr>
      <w:tabs>
        <w:tab w:val="left" w:pos="1560"/>
      </w:tabs>
    </w:pPr>
    <w:rPr>
      <w:lang w:val="en-GB"/>
    </w:rPr>
  </w:style>
  <w:style w:type="character" w:customStyle="1" w:styleId="AcknowledgementChar">
    <w:name w:val="Acknowledgement Char"/>
    <w:basedOn w:val="Standardnpsmoodstavce"/>
    <w:link w:val="Acknowledgement"/>
    <w:rsid w:val="00D46D4D"/>
    <w:rPr>
      <w:b/>
      <w:caps/>
      <w:sz w:val="24"/>
      <w:szCs w:val="24"/>
      <w:lang w:eastAsia="en-US"/>
    </w:rPr>
  </w:style>
  <w:style w:type="character" w:customStyle="1" w:styleId="AbstracttextChar">
    <w:name w:val="Abstract(text) Char"/>
    <w:basedOn w:val="Standardnpsmoodstavce"/>
    <w:link w:val="Abstracttext"/>
    <w:rsid w:val="00805F8F"/>
    <w:rPr>
      <w:i/>
      <w:sz w:val="22"/>
      <w:szCs w:val="22"/>
      <w:lang w:val="en-GB" w:eastAsia="cs-CZ"/>
    </w:rPr>
  </w:style>
  <w:style w:type="character" w:customStyle="1" w:styleId="ZkladntextChar">
    <w:name w:val="Základní text Char"/>
    <w:basedOn w:val="Standardnpsmoodstavce"/>
    <w:link w:val="Zkladntext"/>
    <w:rsid w:val="006B738E"/>
    <w:rPr>
      <w:sz w:val="24"/>
      <w:szCs w:val="24"/>
      <w:lang w:val="en-US" w:eastAsia="cs-CZ"/>
    </w:rPr>
  </w:style>
  <w:style w:type="character" w:customStyle="1" w:styleId="NadpistabulkyChar">
    <w:name w:val="Nadpis tabulky Char"/>
    <w:basedOn w:val="ZkladntextChar"/>
    <w:link w:val="Nadpistabulky"/>
    <w:rsid w:val="006B738E"/>
    <w:rPr>
      <w:i/>
      <w:iCs/>
      <w:sz w:val="24"/>
      <w:szCs w:val="24"/>
      <w:lang w:val="cs-CZ" w:eastAsia="cs-CZ"/>
    </w:rPr>
  </w:style>
  <w:style w:type="character" w:customStyle="1" w:styleId="NadpisobrzkuChar">
    <w:name w:val="Nadpis obrázku Char"/>
    <w:basedOn w:val="NadpistabulkyChar"/>
    <w:link w:val="Nadpisobrzku"/>
    <w:rsid w:val="006B738E"/>
    <w:rPr>
      <w:i/>
      <w:iCs/>
      <w:sz w:val="24"/>
      <w:szCs w:val="24"/>
      <w:lang w:val="cs-CZ" w:eastAsia="cs-CZ"/>
    </w:rPr>
  </w:style>
  <w:style w:type="character" w:customStyle="1" w:styleId="FigureSourceChar">
    <w:name w:val="Figure (Source) Char"/>
    <w:basedOn w:val="NadpisobrzkuChar"/>
    <w:link w:val="FigureSource"/>
    <w:rsid w:val="006B738E"/>
    <w:rPr>
      <w:i/>
      <w:iCs/>
      <w:sz w:val="24"/>
      <w:szCs w:val="24"/>
      <w:lang w:val="en-GB" w:eastAsia="cs-CZ"/>
    </w:rPr>
  </w:style>
  <w:style w:type="paragraph" w:customStyle="1" w:styleId="Footnote">
    <w:name w:val="Footnote"/>
    <w:basedOn w:val="Textpoznpodarou"/>
    <w:link w:val="FootnoteChar"/>
    <w:qFormat/>
    <w:rsid w:val="004747FB"/>
    <w:rPr>
      <w:lang w:val="en-GB"/>
    </w:rPr>
  </w:style>
  <w:style w:type="paragraph" w:customStyle="1" w:styleId="TableSource">
    <w:name w:val="Table (Source)"/>
    <w:basedOn w:val="Nadpistabulky"/>
    <w:link w:val="TableSourceChar"/>
    <w:qFormat/>
    <w:rsid w:val="00843D78"/>
    <w:pPr>
      <w:ind w:firstLine="142"/>
    </w:pPr>
    <w:rPr>
      <w:lang w:val="en-GB"/>
    </w:rPr>
  </w:style>
  <w:style w:type="character" w:customStyle="1" w:styleId="TextpoznpodarouChar">
    <w:name w:val="Text pozn. pod čarou Char"/>
    <w:basedOn w:val="Standardnpsmoodstavce"/>
    <w:link w:val="Textpoznpodarou"/>
    <w:semiHidden/>
    <w:rsid w:val="004747FB"/>
    <w:rPr>
      <w:sz w:val="22"/>
      <w:szCs w:val="22"/>
      <w:lang w:val="cs-CZ" w:eastAsia="cs-CZ"/>
    </w:rPr>
  </w:style>
  <w:style w:type="character" w:customStyle="1" w:styleId="FootnoteChar">
    <w:name w:val="Footnote Char"/>
    <w:basedOn w:val="TextpoznpodarouChar"/>
    <w:link w:val="Footnote"/>
    <w:rsid w:val="004747FB"/>
    <w:rPr>
      <w:sz w:val="22"/>
      <w:szCs w:val="22"/>
      <w:lang w:val="en-GB" w:eastAsia="cs-CZ"/>
    </w:rPr>
  </w:style>
  <w:style w:type="paragraph" w:customStyle="1" w:styleId="Contacttext">
    <w:name w:val="Contact(text)"/>
    <w:basedOn w:val="Normln"/>
    <w:link w:val="ContacttextChar"/>
    <w:qFormat/>
    <w:rsid w:val="00AD38B4"/>
    <w:pPr>
      <w:autoSpaceDE w:val="0"/>
      <w:autoSpaceDN w:val="0"/>
      <w:ind w:firstLine="284"/>
      <w:jc w:val="both"/>
    </w:pPr>
    <w:rPr>
      <w:szCs w:val="20"/>
      <w:lang w:val="en-GB"/>
    </w:rPr>
  </w:style>
  <w:style w:type="character" w:customStyle="1" w:styleId="TableSourceChar">
    <w:name w:val="Table (Source) Char"/>
    <w:basedOn w:val="NadpistabulkyChar"/>
    <w:link w:val="TableSource"/>
    <w:rsid w:val="00843D78"/>
    <w:rPr>
      <w:i/>
      <w:iCs/>
      <w:sz w:val="24"/>
      <w:szCs w:val="24"/>
      <w:lang w:val="en-GB" w:eastAsia="cs-CZ"/>
    </w:rPr>
  </w:style>
  <w:style w:type="character" w:customStyle="1" w:styleId="JELChar">
    <w:name w:val="JEL Char"/>
    <w:basedOn w:val="Standardnpsmoodstavce"/>
    <w:link w:val="JEL"/>
    <w:rsid w:val="00D46D4D"/>
    <w:rPr>
      <w:b/>
      <w:caps/>
      <w:sz w:val="24"/>
      <w:szCs w:val="24"/>
      <w:lang w:val="en-GB" w:eastAsia="en-US"/>
    </w:rPr>
  </w:style>
  <w:style w:type="character" w:customStyle="1" w:styleId="ContacttextChar">
    <w:name w:val="Contact(text) Char"/>
    <w:basedOn w:val="Standardnpsmoodstavce"/>
    <w:link w:val="Contacttext"/>
    <w:rsid w:val="00AD38B4"/>
    <w:rPr>
      <w:sz w:val="24"/>
      <w:lang w:val="en-GB" w:eastAsia="cs-CZ"/>
    </w:rPr>
  </w:style>
  <w:style w:type="character" w:customStyle="1" w:styleId="JELtextChar">
    <w:name w:val="JEL(text) Char"/>
    <w:basedOn w:val="Standardnpsmoodstavce"/>
    <w:link w:val="JELtext"/>
    <w:rsid w:val="00805F8F"/>
    <w:rPr>
      <w:b w:val="0"/>
      <w:bCs/>
      <w:i/>
      <w:sz w:val="22"/>
      <w:szCs w:val="22"/>
      <w:lang w:val="en-GB" w:eastAsia="cs-CZ"/>
    </w:rPr>
  </w:style>
  <w:style w:type="character" w:styleId="Zstupntext">
    <w:name w:val="Placeholder Text"/>
    <w:basedOn w:val="Standardnpsmoodstavce"/>
    <w:uiPriority w:val="99"/>
    <w:semiHidden/>
    <w:rsid w:val="00BE4656"/>
    <w:rPr>
      <w:color w:val="808080"/>
    </w:rPr>
  </w:style>
  <w:style w:type="paragraph" w:styleId="Zpat">
    <w:name w:val="footer"/>
    <w:basedOn w:val="Normln"/>
    <w:link w:val="ZpatChar"/>
    <w:rsid w:val="00C21E11"/>
    <w:pPr>
      <w:tabs>
        <w:tab w:val="center" w:pos="4536"/>
        <w:tab w:val="right" w:pos="9072"/>
      </w:tabs>
      <w:autoSpaceDE w:val="0"/>
      <w:autoSpaceDN w:val="0"/>
      <w:ind w:firstLine="284"/>
      <w:jc w:val="both"/>
    </w:pPr>
    <w:rPr>
      <w:szCs w:val="20"/>
    </w:rPr>
  </w:style>
  <w:style w:type="character" w:customStyle="1" w:styleId="ZpatChar">
    <w:name w:val="Zápatí Char"/>
    <w:basedOn w:val="Standardnpsmoodstavce"/>
    <w:link w:val="Zpat"/>
    <w:rsid w:val="00C21E11"/>
    <w:rPr>
      <w:sz w:val="24"/>
      <w:lang w:val="cs-CZ" w:eastAsia="cs-CZ"/>
    </w:rPr>
  </w:style>
  <w:style w:type="paragraph" w:customStyle="1" w:styleId="Paragraph">
    <w:name w:val="Paragraph"/>
    <w:basedOn w:val="Normln"/>
    <w:next w:val="Normln"/>
    <w:rsid w:val="005135D3"/>
    <w:pPr>
      <w:widowControl w:val="0"/>
      <w:suppressAutoHyphens/>
      <w:spacing w:before="240"/>
      <w:jc w:val="both"/>
    </w:pPr>
    <w:rPr>
      <w:sz w:val="20"/>
      <w:lang w:val="en-GB" w:eastAsia="ar-SA"/>
    </w:rPr>
  </w:style>
  <w:style w:type="paragraph" w:customStyle="1" w:styleId="Displayedequation">
    <w:name w:val="Displayed equation"/>
    <w:basedOn w:val="Normln"/>
    <w:next w:val="Paragraph"/>
    <w:rsid w:val="005135D3"/>
    <w:pPr>
      <w:tabs>
        <w:tab w:val="center" w:pos="3686"/>
        <w:tab w:val="right" w:pos="7371"/>
      </w:tabs>
      <w:suppressAutoHyphens/>
      <w:spacing w:before="240" w:after="120" w:line="360" w:lineRule="auto"/>
      <w:jc w:val="center"/>
    </w:pPr>
    <w:rPr>
      <w:sz w:val="20"/>
      <w:lang w:val="en-GB" w:eastAsia="ar-SA"/>
    </w:rPr>
  </w:style>
  <w:style w:type="paragraph" w:customStyle="1" w:styleId="PodporanormlnChar">
    <w:name w:val="Podpora normální Char"/>
    <w:basedOn w:val="Normln"/>
    <w:rsid w:val="005135D3"/>
    <w:pPr>
      <w:suppressAutoHyphens/>
      <w:jc w:val="both"/>
    </w:pPr>
    <w:rPr>
      <w:lang w:eastAsia="ar-SA"/>
    </w:rPr>
  </w:style>
  <w:style w:type="character" w:customStyle="1" w:styleId="summary">
    <w:name w:val="summary"/>
    <w:basedOn w:val="Standardnpsmoodstavce"/>
    <w:rsid w:val="005135D3"/>
  </w:style>
  <w:style w:type="paragraph" w:customStyle="1" w:styleId="referenceitem">
    <w:name w:val="referenceitem"/>
    <w:basedOn w:val="Normln"/>
    <w:rsid w:val="00F0717E"/>
    <w:pPr>
      <w:numPr>
        <w:numId w:val="20"/>
      </w:numPr>
      <w:overflowPunct w:val="0"/>
      <w:autoSpaceDE w:val="0"/>
      <w:autoSpaceDN w:val="0"/>
      <w:adjustRightInd w:val="0"/>
      <w:spacing w:line="220" w:lineRule="atLeast"/>
      <w:jc w:val="both"/>
      <w:textAlignment w:val="baseline"/>
    </w:pPr>
    <w:rPr>
      <w:sz w:val="18"/>
      <w:szCs w:val="20"/>
      <w:lang w:val="en-US" w:eastAsia="de-DE"/>
    </w:rPr>
  </w:style>
  <w:style w:type="numbering" w:customStyle="1" w:styleId="referencelist">
    <w:name w:val="referencelist"/>
    <w:basedOn w:val="Bezseznamu"/>
    <w:rsid w:val="00F0717E"/>
    <w:pPr>
      <w:numPr>
        <w:numId w:val="20"/>
      </w:numPr>
    </w:pPr>
  </w:style>
  <w:style w:type="character" w:styleId="CittHTML">
    <w:name w:val="HTML Cite"/>
    <w:basedOn w:val="Standardnpsmoodstavce"/>
    <w:rsid w:val="00EA52D7"/>
    <w:rPr>
      <w:i w:val="0"/>
      <w:iCs w:val="0"/>
      <w:color w:val="006621"/>
    </w:rPr>
  </w:style>
  <w:style w:type="paragraph" w:customStyle="1" w:styleId="suggested-citation">
    <w:name w:val="suggested-citation"/>
    <w:basedOn w:val="Normln"/>
    <w:rsid w:val="00013B08"/>
    <w:pPr>
      <w:spacing w:before="100" w:beforeAutospacing="1" w:after="100" w:afterAutospacing="1"/>
    </w:pPr>
  </w:style>
  <w:style w:type="character" w:customStyle="1" w:styleId="st1">
    <w:name w:val="st1"/>
    <w:basedOn w:val="Standardnpsmoodstavce"/>
    <w:rsid w:val="001C78A6"/>
  </w:style>
  <w:style w:type="character" w:customStyle="1" w:styleId="obdpole50">
    <w:name w:val="obd_pole_50"/>
    <w:basedOn w:val="Standardnpsmoodstavce"/>
    <w:rsid w:val="004E0C43"/>
  </w:style>
  <w:style w:type="paragraph" w:customStyle="1" w:styleId="Default">
    <w:name w:val="Default"/>
    <w:rsid w:val="0085442F"/>
    <w:pPr>
      <w:autoSpaceDE w:val="0"/>
      <w:autoSpaceDN w:val="0"/>
      <w:adjustRightInd w:val="0"/>
    </w:pPr>
    <w:rPr>
      <w:color w:val="000000"/>
      <w:sz w:val="24"/>
      <w:szCs w:val="24"/>
      <w:lang w:val="cs-CZ"/>
    </w:rPr>
  </w:style>
  <w:style w:type="paragraph" w:styleId="Normlnweb">
    <w:name w:val="Normal (Web)"/>
    <w:basedOn w:val="Normln"/>
    <w:uiPriority w:val="99"/>
    <w:semiHidden/>
    <w:unhideWhenUsed/>
    <w:rsid w:val="001041E2"/>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261314">
      <w:bodyDiv w:val="1"/>
      <w:marLeft w:val="0"/>
      <w:marRight w:val="0"/>
      <w:marTop w:val="0"/>
      <w:marBottom w:val="0"/>
      <w:divBdr>
        <w:top w:val="none" w:sz="0" w:space="0" w:color="auto"/>
        <w:left w:val="none" w:sz="0" w:space="0" w:color="auto"/>
        <w:bottom w:val="none" w:sz="0" w:space="0" w:color="auto"/>
        <w:right w:val="none" w:sz="0" w:space="0" w:color="auto"/>
      </w:divBdr>
      <w:divsChild>
        <w:div w:id="1752384657">
          <w:marLeft w:val="0"/>
          <w:marRight w:val="0"/>
          <w:marTop w:val="0"/>
          <w:marBottom w:val="0"/>
          <w:divBdr>
            <w:top w:val="none" w:sz="0" w:space="0" w:color="auto"/>
            <w:left w:val="none" w:sz="0" w:space="0" w:color="auto"/>
            <w:bottom w:val="none" w:sz="0" w:space="0" w:color="auto"/>
            <w:right w:val="none" w:sz="0" w:space="0" w:color="auto"/>
          </w:divBdr>
          <w:divsChild>
            <w:div w:id="1406025718">
              <w:marLeft w:val="0"/>
              <w:marRight w:val="0"/>
              <w:marTop w:val="0"/>
              <w:marBottom w:val="0"/>
              <w:divBdr>
                <w:top w:val="none" w:sz="0" w:space="0" w:color="auto"/>
                <w:left w:val="none" w:sz="0" w:space="0" w:color="auto"/>
                <w:bottom w:val="none" w:sz="0" w:space="0" w:color="auto"/>
                <w:right w:val="none" w:sz="0" w:space="0" w:color="auto"/>
              </w:divBdr>
              <w:divsChild>
                <w:div w:id="1435049932">
                  <w:marLeft w:val="0"/>
                  <w:marRight w:val="0"/>
                  <w:marTop w:val="0"/>
                  <w:marBottom w:val="0"/>
                  <w:divBdr>
                    <w:top w:val="none" w:sz="0" w:space="0" w:color="auto"/>
                    <w:left w:val="none" w:sz="0" w:space="0" w:color="auto"/>
                    <w:bottom w:val="none" w:sz="0" w:space="0" w:color="auto"/>
                    <w:right w:val="none" w:sz="0" w:space="0" w:color="auto"/>
                  </w:divBdr>
                  <w:divsChild>
                    <w:div w:id="1057128332">
                      <w:marLeft w:val="0"/>
                      <w:marRight w:val="0"/>
                      <w:marTop w:val="0"/>
                      <w:marBottom w:val="0"/>
                      <w:divBdr>
                        <w:top w:val="none" w:sz="0" w:space="0" w:color="auto"/>
                        <w:left w:val="none" w:sz="0" w:space="0" w:color="auto"/>
                        <w:bottom w:val="none" w:sz="0" w:space="0" w:color="auto"/>
                        <w:right w:val="none" w:sz="0" w:space="0" w:color="auto"/>
                      </w:divBdr>
                      <w:divsChild>
                        <w:div w:id="1794129796">
                          <w:marLeft w:val="0"/>
                          <w:marRight w:val="0"/>
                          <w:marTop w:val="0"/>
                          <w:marBottom w:val="0"/>
                          <w:divBdr>
                            <w:top w:val="none" w:sz="0" w:space="0" w:color="auto"/>
                            <w:left w:val="none" w:sz="0" w:space="0" w:color="auto"/>
                            <w:bottom w:val="none" w:sz="0" w:space="0" w:color="auto"/>
                            <w:right w:val="none" w:sz="0" w:space="0" w:color="auto"/>
                          </w:divBdr>
                          <w:divsChild>
                            <w:div w:id="285434316">
                              <w:marLeft w:val="0"/>
                              <w:marRight w:val="0"/>
                              <w:marTop w:val="0"/>
                              <w:marBottom w:val="0"/>
                              <w:divBdr>
                                <w:top w:val="none" w:sz="0" w:space="0" w:color="auto"/>
                                <w:left w:val="none" w:sz="0" w:space="0" w:color="auto"/>
                                <w:bottom w:val="none" w:sz="0" w:space="0" w:color="auto"/>
                                <w:right w:val="none" w:sz="0" w:space="0" w:color="auto"/>
                              </w:divBdr>
                              <w:divsChild>
                                <w:div w:id="1778914179">
                                  <w:marLeft w:val="0"/>
                                  <w:marRight w:val="0"/>
                                  <w:marTop w:val="0"/>
                                  <w:marBottom w:val="0"/>
                                  <w:divBdr>
                                    <w:top w:val="none" w:sz="0" w:space="0" w:color="auto"/>
                                    <w:left w:val="none" w:sz="0" w:space="0" w:color="auto"/>
                                    <w:bottom w:val="none" w:sz="0" w:space="0" w:color="auto"/>
                                    <w:right w:val="none" w:sz="0" w:space="0" w:color="auto"/>
                                  </w:divBdr>
                                  <w:divsChild>
                                    <w:div w:id="1732771983">
                                      <w:marLeft w:val="0"/>
                                      <w:marRight w:val="0"/>
                                      <w:marTop w:val="0"/>
                                      <w:marBottom w:val="0"/>
                                      <w:divBdr>
                                        <w:top w:val="none" w:sz="0" w:space="0" w:color="auto"/>
                                        <w:left w:val="none" w:sz="0" w:space="0" w:color="auto"/>
                                        <w:bottom w:val="none" w:sz="0" w:space="0" w:color="auto"/>
                                        <w:right w:val="none" w:sz="0" w:space="0" w:color="auto"/>
                                      </w:divBdr>
                                      <w:divsChild>
                                        <w:div w:id="1999839027">
                                          <w:marLeft w:val="0"/>
                                          <w:marRight w:val="0"/>
                                          <w:marTop w:val="0"/>
                                          <w:marBottom w:val="0"/>
                                          <w:divBdr>
                                            <w:top w:val="none" w:sz="0" w:space="0" w:color="auto"/>
                                            <w:left w:val="none" w:sz="0" w:space="0" w:color="auto"/>
                                            <w:bottom w:val="none" w:sz="0" w:space="0" w:color="auto"/>
                                            <w:right w:val="none" w:sz="0" w:space="0" w:color="auto"/>
                                          </w:divBdr>
                                          <w:divsChild>
                                            <w:div w:id="1940138190">
                                              <w:marLeft w:val="0"/>
                                              <w:marRight w:val="0"/>
                                              <w:marTop w:val="0"/>
                                              <w:marBottom w:val="0"/>
                                              <w:divBdr>
                                                <w:top w:val="none" w:sz="0" w:space="0" w:color="auto"/>
                                                <w:left w:val="none" w:sz="0" w:space="0" w:color="auto"/>
                                                <w:bottom w:val="none" w:sz="0" w:space="0" w:color="auto"/>
                                                <w:right w:val="none" w:sz="0" w:space="0" w:color="auto"/>
                                              </w:divBdr>
                                              <w:divsChild>
                                                <w:div w:id="2054306496">
                                                  <w:marLeft w:val="0"/>
                                                  <w:marRight w:val="0"/>
                                                  <w:marTop w:val="0"/>
                                                  <w:marBottom w:val="0"/>
                                                  <w:divBdr>
                                                    <w:top w:val="none" w:sz="0" w:space="0" w:color="auto"/>
                                                    <w:left w:val="none" w:sz="0" w:space="0" w:color="auto"/>
                                                    <w:bottom w:val="none" w:sz="0" w:space="0" w:color="auto"/>
                                                    <w:right w:val="none" w:sz="0" w:space="0" w:color="auto"/>
                                                  </w:divBdr>
                                                  <w:divsChild>
                                                    <w:div w:id="1380471246">
                                                      <w:marLeft w:val="0"/>
                                                      <w:marRight w:val="0"/>
                                                      <w:marTop w:val="0"/>
                                                      <w:marBottom w:val="0"/>
                                                      <w:divBdr>
                                                        <w:top w:val="none" w:sz="0" w:space="0" w:color="auto"/>
                                                        <w:left w:val="none" w:sz="0" w:space="0" w:color="auto"/>
                                                        <w:bottom w:val="none" w:sz="0" w:space="0" w:color="auto"/>
                                                        <w:right w:val="none" w:sz="0" w:space="0" w:color="auto"/>
                                                      </w:divBdr>
                                                      <w:divsChild>
                                                        <w:div w:id="2078430156">
                                                          <w:marLeft w:val="0"/>
                                                          <w:marRight w:val="0"/>
                                                          <w:marTop w:val="0"/>
                                                          <w:marBottom w:val="0"/>
                                                          <w:divBdr>
                                                            <w:top w:val="none" w:sz="0" w:space="0" w:color="auto"/>
                                                            <w:left w:val="none" w:sz="0" w:space="0" w:color="auto"/>
                                                            <w:bottom w:val="none" w:sz="0" w:space="0" w:color="auto"/>
                                                            <w:right w:val="none" w:sz="0" w:space="0" w:color="auto"/>
                                                          </w:divBdr>
                                                          <w:divsChild>
                                                            <w:div w:id="948782742">
                                                              <w:marLeft w:val="0"/>
                                                              <w:marRight w:val="0"/>
                                                              <w:marTop w:val="0"/>
                                                              <w:marBottom w:val="0"/>
                                                              <w:divBdr>
                                                                <w:top w:val="none" w:sz="0" w:space="0" w:color="auto"/>
                                                                <w:left w:val="none" w:sz="0" w:space="0" w:color="auto"/>
                                                                <w:bottom w:val="none" w:sz="0" w:space="0" w:color="auto"/>
                                                                <w:right w:val="none" w:sz="0" w:space="0" w:color="auto"/>
                                                              </w:divBdr>
                                                              <w:divsChild>
                                                                <w:div w:id="173307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96994716">
      <w:bodyDiv w:val="1"/>
      <w:marLeft w:val="0"/>
      <w:marRight w:val="0"/>
      <w:marTop w:val="0"/>
      <w:marBottom w:val="0"/>
      <w:divBdr>
        <w:top w:val="none" w:sz="0" w:space="0" w:color="auto"/>
        <w:left w:val="none" w:sz="0" w:space="0" w:color="auto"/>
        <w:bottom w:val="none" w:sz="0" w:space="0" w:color="auto"/>
        <w:right w:val="none" w:sz="0" w:space="0" w:color="auto"/>
      </w:divBdr>
    </w:div>
    <w:div w:id="268974848">
      <w:bodyDiv w:val="1"/>
      <w:marLeft w:val="0"/>
      <w:marRight w:val="0"/>
      <w:marTop w:val="0"/>
      <w:marBottom w:val="0"/>
      <w:divBdr>
        <w:top w:val="none" w:sz="0" w:space="0" w:color="auto"/>
        <w:left w:val="none" w:sz="0" w:space="0" w:color="auto"/>
        <w:bottom w:val="none" w:sz="0" w:space="0" w:color="auto"/>
        <w:right w:val="none" w:sz="0" w:space="0" w:color="auto"/>
      </w:divBdr>
    </w:div>
    <w:div w:id="305087640">
      <w:bodyDiv w:val="1"/>
      <w:marLeft w:val="0"/>
      <w:marRight w:val="0"/>
      <w:marTop w:val="0"/>
      <w:marBottom w:val="0"/>
      <w:divBdr>
        <w:top w:val="none" w:sz="0" w:space="0" w:color="auto"/>
        <w:left w:val="none" w:sz="0" w:space="0" w:color="auto"/>
        <w:bottom w:val="none" w:sz="0" w:space="0" w:color="auto"/>
        <w:right w:val="none" w:sz="0" w:space="0" w:color="auto"/>
      </w:divBdr>
      <w:divsChild>
        <w:div w:id="1338114619">
          <w:marLeft w:val="0"/>
          <w:marRight w:val="0"/>
          <w:marTop w:val="0"/>
          <w:marBottom w:val="0"/>
          <w:divBdr>
            <w:top w:val="none" w:sz="0" w:space="0" w:color="auto"/>
            <w:left w:val="none" w:sz="0" w:space="0" w:color="auto"/>
            <w:bottom w:val="none" w:sz="0" w:space="0" w:color="auto"/>
            <w:right w:val="none" w:sz="0" w:space="0" w:color="auto"/>
          </w:divBdr>
          <w:divsChild>
            <w:div w:id="522978690">
              <w:marLeft w:val="0"/>
              <w:marRight w:val="0"/>
              <w:marTop w:val="0"/>
              <w:marBottom w:val="0"/>
              <w:divBdr>
                <w:top w:val="none" w:sz="0" w:space="0" w:color="auto"/>
                <w:left w:val="none" w:sz="0" w:space="0" w:color="auto"/>
                <w:bottom w:val="none" w:sz="0" w:space="0" w:color="auto"/>
                <w:right w:val="none" w:sz="0" w:space="0" w:color="auto"/>
              </w:divBdr>
              <w:divsChild>
                <w:div w:id="1574119124">
                  <w:marLeft w:val="0"/>
                  <w:marRight w:val="0"/>
                  <w:marTop w:val="0"/>
                  <w:marBottom w:val="0"/>
                  <w:divBdr>
                    <w:top w:val="none" w:sz="0" w:space="0" w:color="auto"/>
                    <w:left w:val="none" w:sz="0" w:space="0" w:color="auto"/>
                    <w:bottom w:val="none" w:sz="0" w:space="0" w:color="auto"/>
                    <w:right w:val="none" w:sz="0" w:space="0" w:color="auto"/>
                  </w:divBdr>
                  <w:divsChild>
                    <w:div w:id="1743984774">
                      <w:marLeft w:val="0"/>
                      <w:marRight w:val="0"/>
                      <w:marTop w:val="0"/>
                      <w:marBottom w:val="0"/>
                      <w:divBdr>
                        <w:top w:val="none" w:sz="0" w:space="0" w:color="auto"/>
                        <w:left w:val="none" w:sz="0" w:space="0" w:color="auto"/>
                        <w:bottom w:val="none" w:sz="0" w:space="0" w:color="auto"/>
                        <w:right w:val="none" w:sz="0" w:space="0" w:color="auto"/>
                      </w:divBdr>
                      <w:divsChild>
                        <w:div w:id="654141443">
                          <w:marLeft w:val="0"/>
                          <w:marRight w:val="0"/>
                          <w:marTop w:val="0"/>
                          <w:marBottom w:val="0"/>
                          <w:divBdr>
                            <w:top w:val="none" w:sz="0" w:space="0" w:color="auto"/>
                            <w:left w:val="none" w:sz="0" w:space="0" w:color="auto"/>
                            <w:bottom w:val="none" w:sz="0" w:space="0" w:color="auto"/>
                            <w:right w:val="none" w:sz="0" w:space="0" w:color="auto"/>
                          </w:divBdr>
                          <w:divsChild>
                            <w:div w:id="1866290079">
                              <w:marLeft w:val="0"/>
                              <w:marRight w:val="0"/>
                              <w:marTop w:val="0"/>
                              <w:marBottom w:val="0"/>
                              <w:divBdr>
                                <w:top w:val="none" w:sz="0" w:space="0" w:color="auto"/>
                                <w:left w:val="none" w:sz="0" w:space="0" w:color="auto"/>
                                <w:bottom w:val="none" w:sz="0" w:space="0" w:color="auto"/>
                                <w:right w:val="none" w:sz="0" w:space="0" w:color="auto"/>
                              </w:divBdr>
                              <w:divsChild>
                                <w:div w:id="182786466">
                                  <w:marLeft w:val="0"/>
                                  <w:marRight w:val="0"/>
                                  <w:marTop w:val="0"/>
                                  <w:marBottom w:val="0"/>
                                  <w:divBdr>
                                    <w:top w:val="none" w:sz="0" w:space="0" w:color="auto"/>
                                    <w:left w:val="none" w:sz="0" w:space="0" w:color="auto"/>
                                    <w:bottom w:val="none" w:sz="0" w:space="0" w:color="auto"/>
                                    <w:right w:val="none" w:sz="0" w:space="0" w:color="auto"/>
                                  </w:divBdr>
                                  <w:divsChild>
                                    <w:div w:id="773748684">
                                      <w:marLeft w:val="0"/>
                                      <w:marRight w:val="0"/>
                                      <w:marTop w:val="0"/>
                                      <w:marBottom w:val="0"/>
                                      <w:divBdr>
                                        <w:top w:val="none" w:sz="0" w:space="0" w:color="auto"/>
                                        <w:left w:val="none" w:sz="0" w:space="0" w:color="auto"/>
                                        <w:bottom w:val="none" w:sz="0" w:space="0" w:color="auto"/>
                                        <w:right w:val="none" w:sz="0" w:space="0" w:color="auto"/>
                                      </w:divBdr>
                                      <w:divsChild>
                                        <w:div w:id="108400045">
                                          <w:marLeft w:val="0"/>
                                          <w:marRight w:val="0"/>
                                          <w:marTop w:val="0"/>
                                          <w:marBottom w:val="0"/>
                                          <w:divBdr>
                                            <w:top w:val="none" w:sz="0" w:space="0" w:color="auto"/>
                                            <w:left w:val="none" w:sz="0" w:space="0" w:color="auto"/>
                                            <w:bottom w:val="none" w:sz="0" w:space="0" w:color="auto"/>
                                            <w:right w:val="none" w:sz="0" w:space="0" w:color="auto"/>
                                          </w:divBdr>
                                          <w:divsChild>
                                            <w:div w:id="518541925">
                                              <w:marLeft w:val="0"/>
                                              <w:marRight w:val="0"/>
                                              <w:marTop w:val="0"/>
                                              <w:marBottom w:val="0"/>
                                              <w:divBdr>
                                                <w:top w:val="none" w:sz="0" w:space="0" w:color="auto"/>
                                                <w:left w:val="none" w:sz="0" w:space="0" w:color="auto"/>
                                                <w:bottom w:val="none" w:sz="0" w:space="0" w:color="auto"/>
                                                <w:right w:val="none" w:sz="0" w:space="0" w:color="auto"/>
                                              </w:divBdr>
                                              <w:divsChild>
                                                <w:div w:id="100808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24964912">
      <w:bodyDiv w:val="1"/>
      <w:marLeft w:val="0"/>
      <w:marRight w:val="0"/>
      <w:marTop w:val="0"/>
      <w:marBottom w:val="0"/>
      <w:divBdr>
        <w:top w:val="none" w:sz="0" w:space="0" w:color="auto"/>
        <w:left w:val="none" w:sz="0" w:space="0" w:color="auto"/>
        <w:bottom w:val="none" w:sz="0" w:space="0" w:color="auto"/>
        <w:right w:val="none" w:sz="0" w:space="0" w:color="auto"/>
      </w:divBdr>
      <w:divsChild>
        <w:div w:id="477888726">
          <w:marLeft w:val="0"/>
          <w:marRight w:val="0"/>
          <w:marTop w:val="0"/>
          <w:marBottom w:val="0"/>
          <w:divBdr>
            <w:top w:val="none" w:sz="0" w:space="0" w:color="auto"/>
            <w:left w:val="none" w:sz="0" w:space="0" w:color="auto"/>
            <w:bottom w:val="none" w:sz="0" w:space="0" w:color="auto"/>
            <w:right w:val="none" w:sz="0" w:space="0" w:color="auto"/>
          </w:divBdr>
          <w:divsChild>
            <w:div w:id="480737372">
              <w:marLeft w:val="0"/>
              <w:marRight w:val="0"/>
              <w:marTop w:val="0"/>
              <w:marBottom w:val="0"/>
              <w:divBdr>
                <w:top w:val="none" w:sz="0" w:space="0" w:color="auto"/>
                <w:left w:val="none" w:sz="0" w:space="0" w:color="auto"/>
                <w:bottom w:val="none" w:sz="0" w:space="0" w:color="auto"/>
                <w:right w:val="none" w:sz="0" w:space="0" w:color="auto"/>
              </w:divBdr>
              <w:divsChild>
                <w:div w:id="1398749882">
                  <w:marLeft w:val="0"/>
                  <w:marRight w:val="0"/>
                  <w:marTop w:val="0"/>
                  <w:marBottom w:val="0"/>
                  <w:divBdr>
                    <w:top w:val="none" w:sz="0" w:space="0" w:color="auto"/>
                    <w:left w:val="none" w:sz="0" w:space="0" w:color="auto"/>
                    <w:bottom w:val="none" w:sz="0" w:space="0" w:color="auto"/>
                    <w:right w:val="none" w:sz="0" w:space="0" w:color="auto"/>
                  </w:divBdr>
                  <w:divsChild>
                    <w:div w:id="1842313056">
                      <w:marLeft w:val="0"/>
                      <w:marRight w:val="0"/>
                      <w:marTop w:val="0"/>
                      <w:marBottom w:val="0"/>
                      <w:divBdr>
                        <w:top w:val="none" w:sz="0" w:space="0" w:color="auto"/>
                        <w:left w:val="none" w:sz="0" w:space="0" w:color="auto"/>
                        <w:bottom w:val="none" w:sz="0" w:space="0" w:color="auto"/>
                        <w:right w:val="none" w:sz="0" w:space="0" w:color="auto"/>
                      </w:divBdr>
                      <w:divsChild>
                        <w:div w:id="1179126137">
                          <w:marLeft w:val="0"/>
                          <w:marRight w:val="0"/>
                          <w:marTop w:val="0"/>
                          <w:marBottom w:val="0"/>
                          <w:divBdr>
                            <w:top w:val="none" w:sz="0" w:space="0" w:color="auto"/>
                            <w:left w:val="none" w:sz="0" w:space="0" w:color="auto"/>
                            <w:bottom w:val="none" w:sz="0" w:space="0" w:color="auto"/>
                            <w:right w:val="none" w:sz="0" w:space="0" w:color="auto"/>
                          </w:divBdr>
                          <w:divsChild>
                            <w:div w:id="1607811489">
                              <w:marLeft w:val="0"/>
                              <w:marRight w:val="0"/>
                              <w:marTop w:val="0"/>
                              <w:marBottom w:val="0"/>
                              <w:divBdr>
                                <w:top w:val="none" w:sz="0" w:space="0" w:color="auto"/>
                                <w:left w:val="none" w:sz="0" w:space="0" w:color="auto"/>
                                <w:bottom w:val="none" w:sz="0" w:space="0" w:color="auto"/>
                                <w:right w:val="none" w:sz="0" w:space="0" w:color="auto"/>
                              </w:divBdr>
                              <w:divsChild>
                                <w:div w:id="245504358">
                                  <w:marLeft w:val="0"/>
                                  <w:marRight w:val="0"/>
                                  <w:marTop w:val="0"/>
                                  <w:marBottom w:val="0"/>
                                  <w:divBdr>
                                    <w:top w:val="none" w:sz="0" w:space="0" w:color="auto"/>
                                    <w:left w:val="none" w:sz="0" w:space="0" w:color="auto"/>
                                    <w:bottom w:val="none" w:sz="0" w:space="0" w:color="auto"/>
                                    <w:right w:val="none" w:sz="0" w:space="0" w:color="auto"/>
                                  </w:divBdr>
                                  <w:divsChild>
                                    <w:div w:id="1223445029">
                                      <w:marLeft w:val="0"/>
                                      <w:marRight w:val="0"/>
                                      <w:marTop w:val="0"/>
                                      <w:marBottom w:val="0"/>
                                      <w:divBdr>
                                        <w:top w:val="none" w:sz="0" w:space="0" w:color="auto"/>
                                        <w:left w:val="none" w:sz="0" w:space="0" w:color="auto"/>
                                        <w:bottom w:val="none" w:sz="0" w:space="0" w:color="auto"/>
                                        <w:right w:val="none" w:sz="0" w:space="0" w:color="auto"/>
                                      </w:divBdr>
                                      <w:divsChild>
                                        <w:div w:id="312562459">
                                          <w:marLeft w:val="0"/>
                                          <w:marRight w:val="0"/>
                                          <w:marTop w:val="0"/>
                                          <w:marBottom w:val="0"/>
                                          <w:divBdr>
                                            <w:top w:val="none" w:sz="0" w:space="0" w:color="auto"/>
                                            <w:left w:val="none" w:sz="0" w:space="0" w:color="auto"/>
                                            <w:bottom w:val="none" w:sz="0" w:space="0" w:color="auto"/>
                                            <w:right w:val="none" w:sz="0" w:space="0" w:color="auto"/>
                                          </w:divBdr>
                                          <w:divsChild>
                                            <w:div w:id="1211770286">
                                              <w:marLeft w:val="0"/>
                                              <w:marRight w:val="0"/>
                                              <w:marTop w:val="0"/>
                                              <w:marBottom w:val="0"/>
                                              <w:divBdr>
                                                <w:top w:val="none" w:sz="0" w:space="0" w:color="auto"/>
                                                <w:left w:val="none" w:sz="0" w:space="0" w:color="auto"/>
                                                <w:bottom w:val="none" w:sz="0" w:space="0" w:color="auto"/>
                                                <w:right w:val="none" w:sz="0" w:space="0" w:color="auto"/>
                                              </w:divBdr>
                                              <w:divsChild>
                                                <w:div w:id="133838123">
                                                  <w:marLeft w:val="0"/>
                                                  <w:marRight w:val="0"/>
                                                  <w:marTop w:val="0"/>
                                                  <w:marBottom w:val="0"/>
                                                  <w:divBdr>
                                                    <w:top w:val="none" w:sz="0" w:space="0" w:color="auto"/>
                                                    <w:left w:val="none" w:sz="0" w:space="0" w:color="auto"/>
                                                    <w:bottom w:val="none" w:sz="0" w:space="0" w:color="auto"/>
                                                    <w:right w:val="none" w:sz="0" w:space="0" w:color="auto"/>
                                                  </w:divBdr>
                                                  <w:divsChild>
                                                    <w:div w:id="2092845098">
                                                      <w:marLeft w:val="0"/>
                                                      <w:marRight w:val="0"/>
                                                      <w:marTop w:val="0"/>
                                                      <w:marBottom w:val="0"/>
                                                      <w:divBdr>
                                                        <w:top w:val="none" w:sz="0" w:space="0" w:color="auto"/>
                                                        <w:left w:val="none" w:sz="0" w:space="0" w:color="auto"/>
                                                        <w:bottom w:val="none" w:sz="0" w:space="0" w:color="auto"/>
                                                        <w:right w:val="none" w:sz="0" w:space="0" w:color="auto"/>
                                                      </w:divBdr>
                                                      <w:divsChild>
                                                        <w:div w:id="158542377">
                                                          <w:marLeft w:val="0"/>
                                                          <w:marRight w:val="0"/>
                                                          <w:marTop w:val="0"/>
                                                          <w:marBottom w:val="0"/>
                                                          <w:divBdr>
                                                            <w:top w:val="none" w:sz="0" w:space="0" w:color="auto"/>
                                                            <w:left w:val="none" w:sz="0" w:space="0" w:color="auto"/>
                                                            <w:bottom w:val="none" w:sz="0" w:space="0" w:color="auto"/>
                                                            <w:right w:val="none" w:sz="0" w:space="0" w:color="auto"/>
                                                          </w:divBdr>
                                                          <w:divsChild>
                                                            <w:div w:id="224537570">
                                                              <w:marLeft w:val="0"/>
                                                              <w:marRight w:val="0"/>
                                                              <w:marTop w:val="0"/>
                                                              <w:marBottom w:val="0"/>
                                                              <w:divBdr>
                                                                <w:top w:val="none" w:sz="0" w:space="0" w:color="auto"/>
                                                                <w:left w:val="none" w:sz="0" w:space="0" w:color="auto"/>
                                                                <w:bottom w:val="none" w:sz="0" w:space="0" w:color="auto"/>
                                                                <w:right w:val="none" w:sz="0" w:space="0" w:color="auto"/>
                                                              </w:divBdr>
                                                              <w:divsChild>
                                                                <w:div w:id="1811745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679429719">
      <w:bodyDiv w:val="1"/>
      <w:marLeft w:val="0"/>
      <w:marRight w:val="0"/>
      <w:marTop w:val="0"/>
      <w:marBottom w:val="0"/>
      <w:divBdr>
        <w:top w:val="none" w:sz="0" w:space="0" w:color="auto"/>
        <w:left w:val="none" w:sz="0" w:space="0" w:color="auto"/>
        <w:bottom w:val="none" w:sz="0" w:space="0" w:color="auto"/>
        <w:right w:val="none" w:sz="0" w:space="0" w:color="auto"/>
      </w:divBdr>
    </w:div>
    <w:div w:id="961111958">
      <w:bodyDiv w:val="1"/>
      <w:marLeft w:val="0"/>
      <w:marRight w:val="0"/>
      <w:marTop w:val="0"/>
      <w:marBottom w:val="0"/>
      <w:divBdr>
        <w:top w:val="none" w:sz="0" w:space="0" w:color="auto"/>
        <w:left w:val="none" w:sz="0" w:space="0" w:color="auto"/>
        <w:bottom w:val="none" w:sz="0" w:space="0" w:color="auto"/>
        <w:right w:val="none" w:sz="0" w:space="0" w:color="auto"/>
      </w:divBdr>
      <w:divsChild>
        <w:div w:id="1517577558">
          <w:marLeft w:val="0"/>
          <w:marRight w:val="0"/>
          <w:marTop w:val="0"/>
          <w:marBottom w:val="0"/>
          <w:divBdr>
            <w:top w:val="none" w:sz="0" w:space="0" w:color="auto"/>
            <w:left w:val="none" w:sz="0" w:space="0" w:color="auto"/>
            <w:bottom w:val="none" w:sz="0" w:space="0" w:color="auto"/>
            <w:right w:val="none" w:sz="0" w:space="0" w:color="auto"/>
          </w:divBdr>
          <w:divsChild>
            <w:div w:id="979504628">
              <w:marLeft w:val="0"/>
              <w:marRight w:val="0"/>
              <w:marTop w:val="0"/>
              <w:marBottom w:val="0"/>
              <w:divBdr>
                <w:top w:val="none" w:sz="0" w:space="0" w:color="auto"/>
                <w:left w:val="none" w:sz="0" w:space="0" w:color="auto"/>
                <w:bottom w:val="none" w:sz="0" w:space="0" w:color="auto"/>
                <w:right w:val="none" w:sz="0" w:space="0" w:color="auto"/>
              </w:divBdr>
              <w:divsChild>
                <w:div w:id="1976830698">
                  <w:marLeft w:val="0"/>
                  <w:marRight w:val="0"/>
                  <w:marTop w:val="0"/>
                  <w:marBottom w:val="0"/>
                  <w:divBdr>
                    <w:top w:val="none" w:sz="0" w:space="0" w:color="auto"/>
                    <w:left w:val="none" w:sz="0" w:space="0" w:color="auto"/>
                    <w:bottom w:val="none" w:sz="0" w:space="0" w:color="auto"/>
                    <w:right w:val="none" w:sz="0" w:space="0" w:color="auto"/>
                  </w:divBdr>
                  <w:divsChild>
                    <w:div w:id="772162891">
                      <w:marLeft w:val="0"/>
                      <w:marRight w:val="0"/>
                      <w:marTop w:val="0"/>
                      <w:marBottom w:val="0"/>
                      <w:divBdr>
                        <w:top w:val="none" w:sz="0" w:space="0" w:color="auto"/>
                        <w:left w:val="none" w:sz="0" w:space="0" w:color="auto"/>
                        <w:bottom w:val="none" w:sz="0" w:space="0" w:color="auto"/>
                        <w:right w:val="none" w:sz="0" w:space="0" w:color="auto"/>
                      </w:divBdr>
                      <w:divsChild>
                        <w:div w:id="1910265226">
                          <w:marLeft w:val="0"/>
                          <w:marRight w:val="0"/>
                          <w:marTop w:val="0"/>
                          <w:marBottom w:val="0"/>
                          <w:divBdr>
                            <w:top w:val="none" w:sz="0" w:space="0" w:color="auto"/>
                            <w:left w:val="none" w:sz="0" w:space="0" w:color="auto"/>
                            <w:bottom w:val="none" w:sz="0" w:space="0" w:color="auto"/>
                            <w:right w:val="none" w:sz="0" w:space="0" w:color="auto"/>
                          </w:divBdr>
                          <w:divsChild>
                            <w:div w:id="1720085871">
                              <w:marLeft w:val="0"/>
                              <w:marRight w:val="0"/>
                              <w:marTop w:val="0"/>
                              <w:marBottom w:val="0"/>
                              <w:divBdr>
                                <w:top w:val="none" w:sz="0" w:space="0" w:color="auto"/>
                                <w:left w:val="none" w:sz="0" w:space="0" w:color="auto"/>
                                <w:bottom w:val="none" w:sz="0" w:space="0" w:color="auto"/>
                                <w:right w:val="none" w:sz="0" w:space="0" w:color="auto"/>
                              </w:divBdr>
                              <w:divsChild>
                                <w:div w:id="406728653">
                                  <w:marLeft w:val="0"/>
                                  <w:marRight w:val="0"/>
                                  <w:marTop w:val="0"/>
                                  <w:marBottom w:val="0"/>
                                  <w:divBdr>
                                    <w:top w:val="none" w:sz="0" w:space="0" w:color="auto"/>
                                    <w:left w:val="none" w:sz="0" w:space="0" w:color="auto"/>
                                    <w:bottom w:val="none" w:sz="0" w:space="0" w:color="auto"/>
                                    <w:right w:val="none" w:sz="0" w:space="0" w:color="auto"/>
                                  </w:divBdr>
                                  <w:divsChild>
                                    <w:div w:id="2092970078">
                                      <w:marLeft w:val="0"/>
                                      <w:marRight w:val="0"/>
                                      <w:marTop w:val="0"/>
                                      <w:marBottom w:val="0"/>
                                      <w:divBdr>
                                        <w:top w:val="none" w:sz="0" w:space="0" w:color="auto"/>
                                        <w:left w:val="none" w:sz="0" w:space="0" w:color="auto"/>
                                        <w:bottom w:val="none" w:sz="0" w:space="0" w:color="auto"/>
                                        <w:right w:val="none" w:sz="0" w:space="0" w:color="auto"/>
                                      </w:divBdr>
                                      <w:divsChild>
                                        <w:div w:id="1762751486">
                                          <w:marLeft w:val="0"/>
                                          <w:marRight w:val="0"/>
                                          <w:marTop w:val="0"/>
                                          <w:marBottom w:val="0"/>
                                          <w:divBdr>
                                            <w:top w:val="none" w:sz="0" w:space="0" w:color="auto"/>
                                            <w:left w:val="none" w:sz="0" w:space="0" w:color="auto"/>
                                            <w:bottom w:val="none" w:sz="0" w:space="0" w:color="auto"/>
                                            <w:right w:val="none" w:sz="0" w:space="0" w:color="auto"/>
                                          </w:divBdr>
                                          <w:divsChild>
                                            <w:div w:id="1211770592">
                                              <w:marLeft w:val="0"/>
                                              <w:marRight w:val="0"/>
                                              <w:marTop w:val="0"/>
                                              <w:marBottom w:val="0"/>
                                              <w:divBdr>
                                                <w:top w:val="none" w:sz="0" w:space="0" w:color="auto"/>
                                                <w:left w:val="none" w:sz="0" w:space="0" w:color="auto"/>
                                                <w:bottom w:val="none" w:sz="0" w:space="0" w:color="auto"/>
                                                <w:right w:val="none" w:sz="0" w:space="0" w:color="auto"/>
                                              </w:divBdr>
                                              <w:divsChild>
                                                <w:div w:id="1336880360">
                                                  <w:marLeft w:val="0"/>
                                                  <w:marRight w:val="0"/>
                                                  <w:marTop w:val="0"/>
                                                  <w:marBottom w:val="0"/>
                                                  <w:divBdr>
                                                    <w:top w:val="none" w:sz="0" w:space="0" w:color="auto"/>
                                                    <w:left w:val="none" w:sz="0" w:space="0" w:color="auto"/>
                                                    <w:bottom w:val="none" w:sz="0" w:space="0" w:color="auto"/>
                                                    <w:right w:val="none" w:sz="0" w:space="0" w:color="auto"/>
                                                  </w:divBdr>
                                                  <w:divsChild>
                                                    <w:div w:id="1009141206">
                                                      <w:marLeft w:val="0"/>
                                                      <w:marRight w:val="0"/>
                                                      <w:marTop w:val="0"/>
                                                      <w:marBottom w:val="0"/>
                                                      <w:divBdr>
                                                        <w:top w:val="none" w:sz="0" w:space="0" w:color="auto"/>
                                                        <w:left w:val="none" w:sz="0" w:space="0" w:color="auto"/>
                                                        <w:bottom w:val="none" w:sz="0" w:space="0" w:color="auto"/>
                                                        <w:right w:val="none" w:sz="0" w:space="0" w:color="auto"/>
                                                      </w:divBdr>
                                                      <w:divsChild>
                                                        <w:div w:id="1068261581">
                                                          <w:marLeft w:val="0"/>
                                                          <w:marRight w:val="0"/>
                                                          <w:marTop w:val="0"/>
                                                          <w:marBottom w:val="0"/>
                                                          <w:divBdr>
                                                            <w:top w:val="none" w:sz="0" w:space="0" w:color="auto"/>
                                                            <w:left w:val="none" w:sz="0" w:space="0" w:color="auto"/>
                                                            <w:bottom w:val="none" w:sz="0" w:space="0" w:color="auto"/>
                                                            <w:right w:val="none" w:sz="0" w:space="0" w:color="auto"/>
                                                          </w:divBdr>
                                                          <w:divsChild>
                                                            <w:div w:id="1173881944">
                                                              <w:marLeft w:val="0"/>
                                                              <w:marRight w:val="0"/>
                                                              <w:marTop w:val="0"/>
                                                              <w:marBottom w:val="0"/>
                                                              <w:divBdr>
                                                                <w:top w:val="none" w:sz="0" w:space="0" w:color="auto"/>
                                                                <w:left w:val="none" w:sz="0" w:space="0" w:color="auto"/>
                                                                <w:bottom w:val="none" w:sz="0" w:space="0" w:color="auto"/>
                                                                <w:right w:val="none" w:sz="0" w:space="0" w:color="auto"/>
                                                              </w:divBdr>
                                                              <w:divsChild>
                                                                <w:div w:id="156443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992291978">
      <w:bodyDiv w:val="1"/>
      <w:marLeft w:val="0"/>
      <w:marRight w:val="0"/>
      <w:marTop w:val="0"/>
      <w:marBottom w:val="0"/>
      <w:divBdr>
        <w:top w:val="none" w:sz="0" w:space="0" w:color="auto"/>
        <w:left w:val="none" w:sz="0" w:space="0" w:color="auto"/>
        <w:bottom w:val="none" w:sz="0" w:space="0" w:color="auto"/>
        <w:right w:val="none" w:sz="0" w:space="0" w:color="auto"/>
      </w:divBdr>
      <w:divsChild>
        <w:div w:id="89199445">
          <w:marLeft w:val="0"/>
          <w:marRight w:val="0"/>
          <w:marTop w:val="0"/>
          <w:marBottom w:val="0"/>
          <w:divBdr>
            <w:top w:val="none" w:sz="0" w:space="0" w:color="auto"/>
            <w:left w:val="none" w:sz="0" w:space="0" w:color="auto"/>
            <w:bottom w:val="none" w:sz="0" w:space="0" w:color="auto"/>
            <w:right w:val="none" w:sz="0" w:space="0" w:color="auto"/>
          </w:divBdr>
          <w:divsChild>
            <w:div w:id="52580298">
              <w:marLeft w:val="0"/>
              <w:marRight w:val="0"/>
              <w:marTop w:val="0"/>
              <w:marBottom w:val="0"/>
              <w:divBdr>
                <w:top w:val="none" w:sz="0" w:space="0" w:color="auto"/>
                <w:left w:val="none" w:sz="0" w:space="0" w:color="auto"/>
                <w:bottom w:val="none" w:sz="0" w:space="0" w:color="auto"/>
                <w:right w:val="none" w:sz="0" w:space="0" w:color="auto"/>
              </w:divBdr>
              <w:divsChild>
                <w:div w:id="1117483399">
                  <w:marLeft w:val="0"/>
                  <w:marRight w:val="0"/>
                  <w:marTop w:val="0"/>
                  <w:marBottom w:val="0"/>
                  <w:divBdr>
                    <w:top w:val="none" w:sz="0" w:space="0" w:color="auto"/>
                    <w:left w:val="none" w:sz="0" w:space="0" w:color="auto"/>
                    <w:bottom w:val="none" w:sz="0" w:space="0" w:color="auto"/>
                    <w:right w:val="none" w:sz="0" w:space="0" w:color="auto"/>
                  </w:divBdr>
                  <w:divsChild>
                    <w:div w:id="1673295752">
                      <w:marLeft w:val="0"/>
                      <w:marRight w:val="0"/>
                      <w:marTop w:val="0"/>
                      <w:marBottom w:val="0"/>
                      <w:divBdr>
                        <w:top w:val="none" w:sz="0" w:space="0" w:color="auto"/>
                        <w:left w:val="none" w:sz="0" w:space="0" w:color="auto"/>
                        <w:bottom w:val="none" w:sz="0" w:space="0" w:color="auto"/>
                        <w:right w:val="none" w:sz="0" w:space="0" w:color="auto"/>
                      </w:divBdr>
                      <w:divsChild>
                        <w:div w:id="1711539363">
                          <w:marLeft w:val="0"/>
                          <w:marRight w:val="0"/>
                          <w:marTop w:val="0"/>
                          <w:marBottom w:val="0"/>
                          <w:divBdr>
                            <w:top w:val="none" w:sz="0" w:space="0" w:color="auto"/>
                            <w:left w:val="none" w:sz="0" w:space="0" w:color="auto"/>
                            <w:bottom w:val="none" w:sz="0" w:space="0" w:color="auto"/>
                            <w:right w:val="none" w:sz="0" w:space="0" w:color="auto"/>
                          </w:divBdr>
                          <w:divsChild>
                            <w:div w:id="2039308658">
                              <w:marLeft w:val="0"/>
                              <w:marRight w:val="0"/>
                              <w:marTop w:val="0"/>
                              <w:marBottom w:val="0"/>
                              <w:divBdr>
                                <w:top w:val="none" w:sz="0" w:space="0" w:color="auto"/>
                                <w:left w:val="none" w:sz="0" w:space="0" w:color="auto"/>
                                <w:bottom w:val="none" w:sz="0" w:space="0" w:color="auto"/>
                                <w:right w:val="none" w:sz="0" w:space="0" w:color="auto"/>
                              </w:divBdr>
                              <w:divsChild>
                                <w:div w:id="485586101">
                                  <w:marLeft w:val="0"/>
                                  <w:marRight w:val="0"/>
                                  <w:marTop w:val="0"/>
                                  <w:marBottom w:val="0"/>
                                  <w:divBdr>
                                    <w:top w:val="none" w:sz="0" w:space="0" w:color="auto"/>
                                    <w:left w:val="none" w:sz="0" w:space="0" w:color="auto"/>
                                    <w:bottom w:val="none" w:sz="0" w:space="0" w:color="auto"/>
                                    <w:right w:val="none" w:sz="0" w:space="0" w:color="auto"/>
                                  </w:divBdr>
                                  <w:divsChild>
                                    <w:div w:id="1346245731">
                                      <w:marLeft w:val="0"/>
                                      <w:marRight w:val="0"/>
                                      <w:marTop w:val="0"/>
                                      <w:marBottom w:val="0"/>
                                      <w:divBdr>
                                        <w:top w:val="none" w:sz="0" w:space="0" w:color="auto"/>
                                        <w:left w:val="none" w:sz="0" w:space="0" w:color="auto"/>
                                        <w:bottom w:val="none" w:sz="0" w:space="0" w:color="auto"/>
                                        <w:right w:val="none" w:sz="0" w:space="0" w:color="auto"/>
                                      </w:divBdr>
                                      <w:divsChild>
                                        <w:div w:id="1317953348">
                                          <w:marLeft w:val="0"/>
                                          <w:marRight w:val="0"/>
                                          <w:marTop w:val="0"/>
                                          <w:marBottom w:val="0"/>
                                          <w:divBdr>
                                            <w:top w:val="none" w:sz="0" w:space="0" w:color="auto"/>
                                            <w:left w:val="none" w:sz="0" w:space="0" w:color="auto"/>
                                            <w:bottom w:val="none" w:sz="0" w:space="0" w:color="auto"/>
                                            <w:right w:val="none" w:sz="0" w:space="0" w:color="auto"/>
                                          </w:divBdr>
                                          <w:divsChild>
                                            <w:div w:id="887688612">
                                              <w:marLeft w:val="0"/>
                                              <w:marRight w:val="0"/>
                                              <w:marTop w:val="0"/>
                                              <w:marBottom w:val="0"/>
                                              <w:divBdr>
                                                <w:top w:val="none" w:sz="0" w:space="0" w:color="auto"/>
                                                <w:left w:val="none" w:sz="0" w:space="0" w:color="auto"/>
                                                <w:bottom w:val="none" w:sz="0" w:space="0" w:color="auto"/>
                                                <w:right w:val="none" w:sz="0" w:space="0" w:color="auto"/>
                                              </w:divBdr>
                                              <w:divsChild>
                                                <w:div w:id="730080143">
                                                  <w:marLeft w:val="0"/>
                                                  <w:marRight w:val="0"/>
                                                  <w:marTop w:val="0"/>
                                                  <w:marBottom w:val="0"/>
                                                  <w:divBdr>
                                                    <w:top w:val="none" w:sz="0" w:space="0" w:color="auto"/>
                                                    <w:left w:val="none" w:sz="0" w:space="0" w:color="auto"/>
                                                    <w:bottom w:val="none" w:sz="0" w:space="0" w:color="auto"/>
                                                    <w:right w:val="none" w:sz="0" w:space="0" w:color="auto"/>
                                                  </w:divBdr>
                                                  <w:divsChild>
                                                    <w:div w:id="209191837">
                                                      <w:marLeft w:val="0"/>
                                                      <w:marRight w:val="0"/>
                                                      <w:marTop w:val="0"/>
                                                      <w:marBottom w:val="0"/>
                                                      <w:divBdr>
                                                        <w:top w:val="none" w:sz="0" w:space="0" w:color="auto"/>
                                                        <w:left w:val="none" w:sz="0" w:space="0" w:color="auto"/>
                                                        <w:bottom w:val="none" w:sz="0" w:space="0" w:color="auto"/>
                                                        <w:right w:val="none" w:sz="0" w:space="0" w:color="auto"/>
                                                      </w:divBdr>
                                                      <w:divsChild>
                                                        <w:div w:id="1089890862">
                                                          <w:marLeft w:val="0"/>
                                                          <w:marRight w:val="0"/>
                                                          <w:marTop w:val="0"/>
                                                          <w:marBottom w:val="0"/>
                                                          <w:divBdr>
                                                            <w:top w:val="none" w:sz="0" w:space="0" w:color="auto"/>
                                                            <w:left w:val="none" w:sz="0" w:space="0" w:color="auto"/>
                                                            <w:bottom w:val="none" w:sz="0" w:space="0" w:color="auto"/>
                                                            <w:right w:val="none" w:sz="0" w:space="0" w:color="auto"/>
                                                          </w:divBdr>
                                                          <w:divsChild>
                                                            <w:div w:id="50856805">
                                                              <w:marLeft w:val="0"/>
                                                              <w:marRight w:val="0"/>
                                                              <w:marTop w:val="0"/>
                                                              <w:marBottom w:val="0"/>
                                                              <w:divBdr>
                                                                <w:top w:val="none" w:sz="0" w:space="0" w:color="auto"/>
                                                                <w:left w:val="none" w:sz="0" w:space="0" w:color="auto"/>
                                                                <w:bottom w:val="none" w:sz="0" w:space="0" w:color="auto"/>
                                                                <w:right w:val="none" w:sz="0" w:space="0" w:color="auto"/>
                                                              </w:divBdr>
                                                              <w:divsChild>
                                                                <w:div w:id="146893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615019999">
      <w:bodyDiv w:val="1"/>
      <w:marLeft w:val="0"/>
      <w:marRight w:val="0"/>
      <w:marTop w:val="0"/>
      <w:marBottom w:val="0"/>
      <w:divBdr>
        <w:top w:val="none" w:sz="0" w:space="0" w:color="auto"/>
        <w:left w:val="none" w:sz="0" w:space="0" w:color="auto"/>
        <w:bottom w:val="none" w:sz="0" w:space="0" w:color="auto"/>
        <w:right w:val="none" w:sz="0" w:space="0" w:color="auto"/>
      </w:divBdr>
    </w:div>
    <w:div w:id="2004434573">
      <w:bodyDiv w:val="1"/>
      <w:marLeft w:val="0"/>
      <w:marRight w:val="0"/>
      <w:marTop w:val="0"/>
      <w:marBottom w:val="0"/>
      <w:divBdr>
        <w:top w:val="none" w:sz="0" w:space="0" w:color="auto"/>
        <w:left w:val="none" w:sz="0" w:space="0" w:color="auto"/>
        <w:bottom w:val="none" w:sz="0" w:space="0" w:color="auto"/>
        <w:right w:val="none" w:sz="0" w:space="0" w:color="auto"/>
      </w:divBdr>
    </w:div>
    <w:div w:id="2024043043">
      <w:bodyDiv w:val="1"/>
      <w:marLeft w:val="0"/>
      <w:marRight w:val="0"/>
      <w:marTop w:val="0"/>
      <w:marBottom w:val="0"/>
      <w:divBdr>
        <w:top w:val="none" w:sz="0" w:space="0" w:color="auto"/>
        <w:left w:val="none" w:sz="0" w:space="0" w:color="auto"/>
        <w:bottom w:val="none" w:sz="0" w:space="0" w:color="auto"/>
        <w:right w:val="none" w:sz="0" w:space="0" w:color="auto"/>
      </w:divBdr>
      <w:divsChild>
        <w:div w:id="312030989">
          <w:marLeft w:val="0"/>
          <w:marRight w:val="0"/>
          <w:marTop w:val="0"/>
          <w:marBottom w:val="0"/>
          <w:divBdr>
            <w:top w:val="none" w:sz="0" w:space="0" w:color="auto"/>
            <w:left w:val="none" w:sz="0" w:space="0" w:color="auto"/>
            <w:bottom w:val="none" w:sz="0" w:space="0" w:color="auto"/>
            <w:right w:val="none" w:sz="0" w:space="0" w:color="auto"/>
          </w:divBdr>
          <w:divsChild>
            <w:div w:id="513763399">
              <w:marLeft w:val="0"/>
              <w:marRight w:val="0"/>
              <w:marTop w:val="0"/>
              <w:marBottom w:val="0"/>
              <w:divBdr>
                <w:top w:val="none" w:sz="0" w:space="0" w:color="auto"/>
                <w:left w:val="none" w:sz="0" w:space="0" w:color="auto"/>
                <w:bottom w:val="none" w:sz="0" w:space="0" w:color="auto"/>
                <w:right w:val="none" w:sz="0" w:space="0" w:color="auto"/>
              </w:divBdr>
              <w:divsChild>
                <w:div w:id="421682073">
                  <w:marLeft w:val="0"/>
                  <w:marRight w:val="0"/>
                  <w:marTop w:val="0"/>
                  <w:marBottom w:val="0"/>
                  <w:divBdr>
                    <w:top w:val="none" w:sz="0" w:space="0" w:color="auto"/>
                    <w:left w:val="none" w:sz="0" w:space="0" w:color="auto"/>
                    <w:bottom w:val="none" w:sz="0" w:space="0" w:color="auto"/>
                    <w:right w:val="none" w:sz="0" w:space="0" w:color="auto"/>
                  </w:divBdr>
                  <w:divsChild>
                    <w:div w:id="333918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39106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dx.doi.org/10.2139/ssrn.1152326%20"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enata.myskova@upce.cz"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zamestnanci.upce.cz/lide-vizitka.html?guid=F97730C4-344C-4A64-8EAB-99D8412787A7" TargetMode="External"/><Relationship Id="rId4" Type="http://schemas.openxmlformats.org/officeDocument/2006/relationships/settings" Target="settings.xml"/><Relationship Id="rId9" Type="http://schemas.openxmlformats.org/officeDocument/2006/relationships/hyperlink" Target="http://dx"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mailto:petr.hajek@upce.cz" TargetMode="External"/><Relationship Id="rId1" Type="http://schemas.openxmlformats.org/officeDocument/2006/relationships/hyperlink" Target="mailto:renata.myskova@upce.cz"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U\Desktop\Template%20format.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F9CD13-E6D1-4185-A511-BD2BF210BC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format.dotx</Template>
  <TotalTime>10</TotalTime>
  <Pages>9</Pages>
  <Words>3574</Words>
  <Characters>21089</Characters>
  <Application>Microsoft Office Word</Application>
  <DocSecurity>0</DocSecurity>
  <Lines>175</Lines>
  <Paragraphs>49</Paragraphs>
  <ScaleCrop>false</ScaleCrop>
  <HeadingPairs>
    <vt:vector size="6" baseType="variant">
      <vt:variant>
        <vt:lpstr>Název</vt:lpstr>
      </vt:variant>
      <vt:variant>
        <vt:i4>1</vt:i4>
      </vt:variant>
      <vt:variant>
        <vt:lpstr>Nadpisy</vt:lpstr>
      </vt:variant>
      <vt:variant>
        <vt:i4>12</vt:i4>
      </vt:variant>
      <vt:variant>
        <vt:lpstr>Názov</vt:lpstr>
      </vt:variant>
      <vt:variant>
        <vt:i4>1</vt:i4>
      </vt:variant>
    </vt:vector>
  </HeadingPairs>
  <TitlesOfParts>
    <vt:vector size="14" baseType="lpstr">
      <vt:lpstr>Paper Title</vt:lpstr>
      <vt:lpstr>    Abstract</vt:lpstr>
      <vt:lpstr>    Key words</vt:lpstr>
      <vt:lpstr>    JEL Classification</vt:lpstr>
      <vt:lpstr>Úvod</vt:lpstr>
      <vt:lpstr>Asymetrie informací a možnosti jejího omezení</vt:lpstr>
      <vt:lpstr>    Důvody asymetrie informací ve výročních zprávách </vt:lpstr>
      <vt:lpstr>    Omezení asymetrie informací pomocí analýzy manažerského sentimentu</vt:lpstr>
      <vt:lpstr>Metodika a výsledky</vt:lpstr>
      <vt:lpstr>Závěr</vt:lpstr>
      <vt:lpstr>    Poděkování</vt:lpstr>
      <vt:lpstr>    Literatura</vt:lpstr>
      <vt:lpstr>    Kontakt</vt:lpstr>
      <vt:lpstr>Paper Title</vt:lpstr>
    </vt:vector>
  </TitlesOfParts>
  <Company>Fakulta managementu JU</Company>
  <LinksUpToDate>false</LinksUpToDate>
  <CharactersWithSpaces>24614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dc:title>
  <dc:creator>EU</dc:creator>
  <cp:lastModifiedBy>Myskova Renata</cp:lastModifiedBy>
  <cp:revision>3</cp:revision>
  <cp:lastPrinted>2001-02-08T19:11:00Z</cp:lastPrinted>
  <dcterms:created xsi:type="dcterms:W3CDTF">2017-03-28T09:28:00Z</dcterms:created>
  <dcterms:modified xsi:type="dcterms:W3CDTF">2017-03-28T11:55:00Z</dcterms:modified>
</cp:coreProperties>
</file>