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7D1E6" w14:textId="3DB210E4" w:rsidR="00247F5B" w:rsidRDefault="00247F5B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Tereza Bartáková</w:t>
      </w:r>
      <w:r w:rsidR="00ED2538">
        <w:rPr>
          <w:color w:val="000000" w:themeColor="text1"/>
        </w:rPr>
        <w:t>,</w:t>
      </w:r>
      <w:r>
        <w:rPr>
          <w:color w:val="000000" w:themeColor="text1"/>
        </w:rPr>
        <w:t xml:space="preserve"> Historie Akciového pivovaru a sladovny Nová Paka.</w:t>
      </w:r>
    </w:p>
    <w:p w14:paraId="7DE9853D" w14:textId="3B220F75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Upa</w:t>
      </w:r>
      <w:proofErr w:type="spellEnd"/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  <w:r w:rsidRPr="00E9145C">
        <w:rPr>
          <w:color w:val="000000" w:themeColor="text1"/>
        </w:rPr>
        <w:t>.</w:t>
      </w:r>
    </w:p>
    <w:p w14:paraId="02A968EE" w14:textId="77777777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>posudek oponentky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7178A55" w14:textId="2DEBD8C3" w:rsidR="00ED2538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37410C">
        <w:rPr>
          <w:color w:val="000000" w:themeColor="text1"/>
        </w:rPr>
        <w:t xml:space="preserve">mapuje vývoj novopackého pivovaru v celé délce trvání až do současnosti. Autorka se nejprve stručné věnuje vývoji pivovarnictví v Čechách a speciálně staršímu vývoji výroby piva v Nové Pace v kontextu měnící se historické situace. Pak už následuje text zabývající se přímo novopackým pivovarem od výstavby účelové budovy v chronologické posloupnosti až do aktuální současnosti. Následuje kapitola o sladovnictví obecně s přihlédnutím ke konkrétní situaci ve sledované lokalitě. Před závěr je zařazen přehled současného sortimentu vyráběného novopackým pivovarem, včetně příležitostných speciálů. </w:t>
      </w:r>
      <w:r w:rsidR="008F5485">
        <w:rPr>
          <w:color w:val="000000" w:themeColor="text1"/>
        </w:rPr>
        <w:t>Práce je doplněna obrazovou přílohou.</w:t>
      </w:r>
    </w:p>
    <w:p w14:paraId="4B19572B" w14:textId="7750F2CD" w:rsidR="00CA3151" w:rsidRDefault="0037410C" w:rsidP="00247F5B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vychází v obecných částech z literatury, ale především je postavena na výzkumu archiválií. Výběr literatury byl patrně ovlivněn dostupností v době vzniku práce, ale obecně jej lze považovat za </w:t>
      </w:r>
      <w:r w:rsidR="00D30F1D">
        <w:rPr>
          <w:color w:val="000000" w:themeColor="text1"/>
        </w:rPr>
        <w:t xml:space="preserve">patřičně široký a </w:t>
      </w:r>
      <w:r w:rsidR="00960883">
        <w:rPr>
          <w:color w:val="000000" w:themeColor="text1"/>
        </w:rPr>
        <w:t xml:space="preserve">plně </w:t>
      </w:r>
      <w:r w:rsidR="00D30F1D">
        <w:rPr>
          <w:color w:val="000000" w:themeColor="text1"/>
        </w:rPr>
        <w:t>odpovídající potřebám bakalářské práce. Práce s </w:t>
      </w:r>
      <w:r w:rsidR="00960883">
        <w:rPr>
          <w:color w:val="000000" w:themeColor="text1"/>
        </w:rPr>
        <w:t>literaturou</w:t>
      </w:r>
      <w:r w:rsidR="00D30F1D">
        <w:rPr>
          <w:color w:val="000000" w:themeColor="text1"/>
        </w:rPr>
        <w:t xml:space="preserve"> však už tak bezproblémová není. Někde se autorka zaplétá do výkladu až za hranici srozumitelnosti (</w:t>
      </w:r>
      <w:r w:rsidR="00634ECD">
        <w:rPr>
          <w:color w:val="000000" w:themeColor="text1"/>
        </w:rPr>
        <w:t xml:space="preserve">namátkou </w:t>
      </w:r>
      <w:r w:rsidR="00D30F1D">
        <w:rPr>
          <w:color w:val="000000" w:themeColor="text1"/>
        </w:rPr>
        <w:t xml:space="preserve">např. </w:t>
      </w:r>
      <w:r w:rsidR="00C02A5B">
        <w:rPr>
          <w:color w:val="000000" w:themeColor="text1"/>
        </w:rPr>
        <w:t>s. 7: „</w:t>
      </w:r>
      <w:r w:rsidR="00C02A5B" w:rsidRPr="00634ECD">
        <w:rPr>
          <w:i/>
          <w:iCs/>
          <w:color w:val="000000" w:themeColor="text1"/>
        </w:rPr>
        <w:t>v 18. století v Rakouské monarchii</w:t>
      </w:r>
      <w:r w:rsidR="00C02A5B">
        <w:rPr>
          <w:color w:val="000000" w:themeColor="text1"/>
        </w:rPr>
        <w:t>“, „</w:t>
      </w:r>
      <w:r w:rsidR="00C02A5B" w:rsidRPr="00634ECD">
        <w:rPr>
          <w:i/>
          <w:iCs/>
          <w:color w:val="000000" w:themeColor="text1"/>
        </w:rPr>
        <w:t>v roce 1842 zakázal lahvová piva samotný císař Ludvík</w:t>
      </w:r>
      <w:r w:rsidR="00C02A5B">
        <w:rPr>
          <w:color w:val="000000" w:themeColor="text1"/>
        </w:rPr>
        <w:t>“ (kde a který císař Ludvík?)</w:t>
      </w:r>
      <w:r w:rsidR="00960883">
        <w:rPr>
          <w:color w:val="000000" w:themeColor="text1"/>
        </w:rPr>
        <w:t>;</w:t>
      </w:r>
      <w:r w:rsidR="00D30F1D">
        <w:rPr>
          <w:color w:val="000000" w:themeColor="text1"/>
        </w:rPr>
        <w:t xml:space="preserve"> </w:t>
      </w:r>
      <w:r w:rsidR="005013BD">
        <w:rPr>
          <w:color w:val="000000" w:themeColor="text1"/>
        </w:rPr>
        <w:t xml:space="preserve">s. 10-11: zaměňuje </w:t>
      </w:r>
      <w:r w:rsidR="00D30F1D">
        <w:rPr>
          <w:color w:val="000000" w:themeColor="text1"/>
        </w:rPr>
        <w:t xml:space="preserve">pojmy </w:t>
      </w:r>
      <w:r w:rsidR="005013BD" w:rsidRPr="00D30F1D">
        <w:rPr>
          <w:i/>
          <w:iCs/>
          <w:color w:val="000000" w:themeColor="text1"/>
        </w:rPr>
        <w:t>výrobky</w:t>
      </w:r>
      <w:r w:rsidR="005013BD">
        <w:rPr>
          <w:color w:val="000000" w:themeColor="text1"/>
        </w:rPr>
        <w:t xml:space="preserve"> a </w:t>
      </w:r>
      <w:r w:rsidR="005013BD" w:rsidRPr="00D30F1D">
        <w:rPr>
          <w:i/>
          <w:iCs/>
          <w:color w:val="000000" w:themeColor="text1"/>
        </w:rPr>
        <w:t>suroviny</w:t>
      </w:r>
      <w:r w:rsidR="00D30F1D">
        <w:rPr>
          <w:color w:val="000000" w:themeColor="text1"/>
        </w:rPr>
        <w:t xml:space="preserve">, </w:t>
      </w:r>
      <w:r w:rsidR="00CA3151">
        <w:rPr>
          <w:color w:val="000000" w:themeColor="text1"/>
        </w:rPr>
        <w:t>s. 26 – „</w:t>
      </w:r>
      <w:r w:rsidR="00CA3151" w:rsidRPr="00634ECD">
        <w:rPr>
          <w:i/>
          <w:iCs/>
          <w:color w:val="000000" w:themeColor="text1"/>
        </w:rPr>
        <w:t>Beneš podepsal Mnichovskou dohodu</w:t>
      </w:r>
      <w:r w:rsidR="00CA3151">
        <w:rPr>
          <w:color w:val="000000" w:themeColor="text1"/>
        </w:rPr>
        <w:t>“</w:t>
      </w:r>
      <w:r w:rsidR="00D30F1D">
        <w:rPr>
          <w:color w:val="000000" w:themeColor="text1"/>
        </w:rPr>
        <w:t xml:space="preserve">, </w:t>
      </w:r>
      <w:r w:rsidR="00CA3151">
        <w:rPr>
          <w:color w:val="000000" w:themeColor="text1"/>
        </w:rPr>
        <w:t>s. 26 – „</w:t>
      </w:r>
      <w:r w:rsidR="00CA3151" w:rsidRPr="00634ECD">
        <w:rPr>
          <w:i/>
          <w:iCs/>
          <w:color w:val="000000" w:themeColor="text1"/>
        </w:rPr>
        <w:t xml:space="preserve">vznikl </w:t>
      </w:r>
      <w:proofErr w:type="spellStart"/>
      <w:r w:rsidR="00CA3151" w:rsidRPr="00634ECD">
        <w:rPr>
          <w:i/>
          <w:iCs/>
          <w:color w:val="000000" w:themeColor="text1"/>
        </w:rPr>
        <w:t>Pivosvaz</w:t>
      </w:r>
      <w:proofErr w:type="spellEnd"/>
      <w:r w:rsidR="00CA3151" w:rsidRPr="00634ECD">
        <w:rPr>
          <w:i/>
          <w:iCs/>
          <w:color w:val="000000" w:themeColor="text1"/>
        </w:rPr>
        <w:t>, který řídil hospodářský stav a obecné blaho v protektorátu</w:t>
      </w:r>
      <w:r w:rsidR="00CA3151">
        <w:rPr>
          <w:color w:val="000000" w:themeColor="text1"/>
        </w:rPr>
        <w:t>“</w:t>
      </w:r>
      <w:r w:rsidR="00D30F1D">
        <w:rPr>
          <w:color w:val="000000" w:themeColor="text1"/>
        </w:rPr>
        <w:t>). Někde se nelze ubránit dojmu, že celkem solidní autorský text sklouzne k nesmyslným kombinacím, pokud se opírá o</w:t>
      </w:r>
      <w:r w:rsidR="00634ECD">
        <w:rPr>
          <w:color w:val="000000" w:themeColor="text1"/>
        </w:rPr>
        <w:t xml:space="preserve"> některé nedostatečně kriticky zhodnocené tituly literatury</w:t>
      </w:r>
      <w:r w:rsidR="00D30F1D">
        <w:rPr>
          <w:color w:val="000000" w:themeColor="text1"/>
        </w:rPr>
        <w:t>.</w:t>
      </w:r>
    </w:p>
    <w:p w14:paraId="0056434B" w14:textId="43460148" w:rsidR="00D30F1D" w:rsidRDefault="00D30F1D" w:rsidP="00247F5B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S informacemi z archiválií si autorka naopak poradila solidně a text má většinou dobrou úroveň. Je otázka, zda výčet současného sortimentu </w:t>
      </w:r>
      <w:r w:rsidR="00960883">
        <w:rPr>
          <w:color w:val="000000" w:themeColor="text1"/>
        </w:rPr>
        <w:t>patří do</w:t>
      </w:r>
      <w:r>
        <w:rPr>
          <w:color w:val="000000" w:themeColor="text1"/>
        </w:rPr>
        <w:t> hlavní</w:t>
      </w:r>
      <w:r w:rsidR="00960883">
        <w:rPr>
          <w:color w:val="000000" w:themeColor="text1"/>
        </w:rPr>
        <w:t>ho</w:t>
      </w:r>
      <w:r>
        <w:rPr>
          <w:color w:val="000000" w:themeColor="text1"/>
        </w:rPr>
        <w:t xml:space="preserve"> textu</w:t>
      </w:r>
      <w:r w:rsidR="00960883">
        <w:rPr>
          <w:color w:val="000000" w:themeColor="text1"/>
        </w:rPr>
        <w:t xml:space="preserve"> nebo je jeho místo mezi přílohami.</w:t>
      </w:r>
    </w:p>
    <w:p w14:paraId="6FABF6E1" w14:textId="1409045C" w:rsidR="00960883" w:rsidRDefault="00960883" w:rsidP="00247F5B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Po formální stránce je práce pečlivá, včetně gramatiky. Stylistika poněkud kolísá především v partiích vycházejících z literatury. Práci by prospělo, kdyby autorka důsledně používala opakované citace všude tam, kde je to opodstatněné. V seznamu informačních zdrojů patří zákony mezi tištěné prameny, nikoliv mezi literaturu.</w:t>
      </w:r>
    </w:p>
    <w:p w14:paraId="642D0E2C" w14:textId="30872C31" w:rsidR="00C02A5B" w:rsidRDefault="00C02A5B" w:rsidP="00247F5B">
      <w:pPr>
        <w:spacing w:line="360" w:lineRule="auto"/>
        <w:contextualSpacing/>
        <w:jc w:val="both"/>
        <w:rPr>
          <w:color w:val="000000" w:themeColor="text1"/>
        </w:rPr>
      </w:pPr>
    </w:p>
    <w:p w14:paraId="4CB72EFD" w14:textId="2A927BEC" w:rsidR="00634ECD" w:rsidRDefault="00634ECD" w:rsidP="00247F5B">
      <w:pPr>
        <w:spacing w:line="360" w:lineRule="auto"/>
        <w:contextualSpacing/>
        <w:jc w:val="both"/>
        <w:rPr>
          <w:color w:val="000000" w:themeColor="text1"/>
        </w:rPr>
      </w:pPr>
    </w:p>
    <w:p w14:paraId="50A8E8AC" w14:textId="7AF2E373" w:rsidR="00634ECD" w:rsidRDefault="00634ECD" w:rsidP="00247F5B">
      <w:pPr>
        <w:spacing w:line="360" w:lineRule="auto"/>
        <w:contextualSpacing/>
        <w:jc w:val="both"/>
        <w:rPr>
          <w:color w:val="000000" w:themeColor="text1"/>
        </w:rPr>
      </w:pPr>
    </w:p>
    <w:p w14:paraId="530CB23B" w14:textId="77777777" w:rsidR="00634ECD" w:rsidRDefault="00634ECD" w:rsidP="00247F5B">
      <w:pPr>
        <w:spacing w:line="360" w:lineRule="auto"/>
        <w:contextualSpacing/>
        <w:jc w:val="both"/>
        <w:rPr>
          <w:color w:val="000000" w:themeColor="text1"/>
        </w:rPr>
      </w:pPr>
    </w:p>
    <w:p w14:paraId="2E5E1AF5" w14:textId="6E8A779A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</w:p>
    <w:p w14:paraId="3E4A0346" w14:textId="5A4A9570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lastRenderedPageBreak/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960883">
        <w:rPr>
          <w:color w:val="000000" w:themeColor="text1"/>
        </w:rPr>
        <w:t>B.</w:t>
      </w:r>
    </w:p>
    <w:p w14:paraId="386C7A1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5E506CC6" w14:textId="6BB49E8C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247F5B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7948C5">
        <w:rPr>
          <w:color w:val="000000" w:themeColor="text1"/>
        </w:rPr>
        <w:t>2</w:t>
      </w:r>
      <w:r w:rsidR="00ED2538">
        <w:rPr>
          <w:color w:val="000000" w:themeColor="text1"/>
        </w:rPr>
        <w:t>1</w:t>
      </w:r>
    </w:p>
    <w:p w14:paraId="4E69CAFC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1BC0219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04A97564" w14:textId="77777777" w:rsidR="00C30C3C" w:rsidRPr="00E9145C" w:rsidRDefault="00C30C3C" w:rsidP="00C30C3C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p w14:paraId="74093DEA" w14:textId="77777777" w:rsidR="00C30C3C" w:rsidRPr="00E9145C" w:rsidRDefault="00C30C3C" w:rsidP="003747A1">
      <w:pPr>
        <w:spacing w:line="360" w:lineRule="auto"/>
        <w:contextualSpacing/>
        <w:jc w:val="both"/>
        <w:rPr>
          <w:color w:val="000000" w:themeColor="text1"/>
        </w:rPr>
      </w:pP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160DB"/>
    <w:rsid w:val="00031414"/>
    <w:rsid w:val="00057759"/>
    <w:rsid w:val="00060D36"/>
    <w:rsid w:val="00064159"/>
    <w:rsid w:val="000C3CA5"/>
    <w:rsid w:val="000F32AB"/>
    <w:rsid w:val="000F3EE7"/>
    <w:rsid w:val="00144760"/>
    <w:rsid w:val="001657A4"/>
    <w:rsid w:val="00172EBC"/>
    <w:rsid w:val="001742FF"/>
    <w:rsid w:val="00181540"/>
    <w:rsid w:val="00183F98"/>
    <w:rsid w:val="001B6249"/>
    <w:rsid w:val="001E37F0"/>
    <w:rsid w:val="00225976"/>
    <w:rsid w:val="00227E4D"/>
    <w:rsid w:val="00247F5B"/>
    <w:rsid w:val="002621A4"/>
    <w:rsid w:val="0026351A"/>
    <w:rsid w:val="0028095D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9354D"/>
    <w:rsid w:val="00395368"/>
    <w:rsid w:val="003A76D9"/>
    <w:rsid w:val="003C57FB"/>
    <w:rsid w:val="003D3890"/>
    <w:rsid w:val="003D799D"/>
    <w:rsid w:val="00426D4C"/>
    <w:rsid w:val="004425C4"/>
    <w:rsid w:val="00460E2D"/>
    <w:rsid w:val="00465670"/>
    <w:rsid w:val="00494881"/>
    <w:rsid w:val="004A1FC2"/>
    <w:rsid w:val="004B053F"/>
    <w:rsid w:val="004D3996"/>
    <w:rsid w:val="004D7DAA"/>
    <w:rsid w:val="004E01F1"/>
    <w:rsid w:val="004E567F"/>
    <w:rsid w:val="004F4770"/>
    <w:rsid w:val="005013BD"/>
    <w:rsid w:val="00562F1A"/>
    <w:rsid w:val="00577506"/>
    <w:rsid w:val="00596825"/>
    <w:rsid w:val="005B060A"/>
    <w:rsid w:val="005C5633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824DA"/>
    <w:rsid w:val="008A35B0"/>
    <w:rsid w:val="008A5AB6"/>
    <w:rsid w:val="008C0221"/>
    <w:rsid w:val="008D5B63"/>
    <w:rsid w:val="008E7D24"/>
    <w:rsid w:val="008F5485"/>
    <w:rsid w:val="00904B65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D30F1D"/>
    <w:rsid w:val="00D43211"/>
    <w:rsid w:val="00D63513"/>
    <w:rsid w:val="00D91B31"/>
    <w:rsid w:val="00DB5A41"/>
    <w:rsid w:val="00E009EE"/>
    <w:rsid w:val="00E23E52"/>
    <w:rsid w:val="00E305F4"/>
    <w:rsid w:val="00E41E13"/>
    <w:rsid w:val="00E6414A"/>
    <w:rsid w:val="00E667F5"/>
    <w:rsid w:val="00E80001"/>
    <w:rsid w:val="00E9145C"/>
    <w:rsid w:val="00ED2538"/>
    <w:rsid w:val="00EE2633"/>
    <w:rsid w:val="00EF3891"/>
    <w:rsid w:val="00EF6B88"/>
    <w:rsid w:val="00EF7AB2"/>
    <w:rsid w:val="00F01F95"/>
    <w:rsid w:val="00F37EDE"/>
    <w:rsid w:val="00FB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359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12</cp:revision>
  <dcterms:created xsi:type="dcterms:W3CDTF">2021-06-29T15:31:00Z</dcterms:created>
  <dcterms:modified xsi:type="dcterms:W3CDTF">2021-08-10T14:43:00Z</dcterms:modified>
</cp:coreProperties>
</file>