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4AB0" w:rsidRPr="00024AB0" w:rsidRDefault="00024AB0" w:rsidP="00F95B3D">
      <w:pPr>
        <w:rPr>
          <w:b/>
          <w:snapToGrid w:val="0"/>
          <w:sz w:val="24"/>
        </w:rPr>
      </w:pPr>
      <w:r w:rsidRPr="00024AB0">
        <w:rPr>
          <w:b/>
          <w:snapToGrid w:val="0"/>
          <w:sz w:val="24"/>
        </w:rPr>
        <w:t xml:space="preserve">Marie Jílková: Průběh a metody násilné </w:t>
      </w:r>
      <w:proofErr w:type="spellStart"/>
      <w:r w:rsidRPr="00024AB0">
        <w:rPr>
          <w:b/>
          <w:snapToGrid w:val="0"/>
          <w:sz w:val="24"/>
        </w:rPr>
        <w:t>kolektivisace</w:t>
      </w:r>
      <w:proofErr w:type="spellEnd"/>
      <w:r w:rsidRPr="00024AB0">
        <w:rPr>
          <w:b/>
          <w:snapToGrid w:val="0"/>
          <w:sz w:val="24"/>
        </w:rPr>
        <w:t xml:space="preserve"> venkova na Poličsku.</w:t>
      </w:r>
    </w:p>
    <w:p w:rsidR="001A7C8F" w:rsidRDefault="001A7C8F" w:rsidP="00F95B3D">
      <w:pPr>
        <w:rPr>
          <w:snapToGrid w:val="0"/>
          <w:sz w:val="24"/>
        </w:rPr>
      </w:pPr>
      <w:r>
        <w:rPr>
          <w:snapToGrid w:val="0"/>
          <w:sz w:val="24"/>
        </w:rPr>
        <w:t xml:space="preserve">Diplomová práce. </w:t>
      </w:r>
      <w:r w:rsidR="000F4D38">
        <w:rPr>
          <w:snapToGrid w:val="0"/>
          <w:sz w:val="24"/>
        </w:rPr>
        <w:t>Ústav</w:t>
      </w:r>
      <w:r>
        <w:rPr>
          <w:snapToGrid w:val="0"/>
          <w:sz w:val="24"/>
        </w:rPr>
        <w:t xml:space="preserve"> historických věd </w:t>
      </w:r>
      <w:r w:rsidR="00464E35">
        <w:rPr>
          <w:snapToGrid w:val="0"/>
          <w:sz w:val="24"/>
        </w:rPr>
        <w:t>Filosofické f</w:t>
      </w:r>
      <w:r>
        <w:rPr>
          <w:snapToGrid w:val="0"/>
          <w:sz w:val="24"/>
        </w:rPr>
        <w:t>akulty University Pardubice, Pardubice 20</w:t>
      </w:r>
      <w:r w:rsidR="00495D29">
        <w:rPr>
          <w:snapToGrid w:val="0"/>
          <w:sz w:val="24"/>
        </w:rPr>
        <w:t>1</w:t>
      </w:r>
      <w:r w:rsidR="00024AB0">
        <w:rPr>
          <w:snapToGrid w:val="0"/>
          <w:sz w:val="24"/>
        </w:rPr>
        <w:t>5</w:t>
      </w:r>
      <w:r>
        <w:rPr>
          <w:snapToGrid w:val="0"/>
          <w:sz w:val="24"/>
        </w:rPr>
        <w:t>.</w:t>
      </w:r>
    </w:p>
    <w:p w:rsidR="007D01EF" w:rsidRDefault="007D01EF" w:rsidP="00F95B3D">
      <w:pPr>
        <w:rPr>
          <w:b/>
          <w:snapToGrid w:val="0"/>
          <w:sz w:val="24"/>
        </w:rPr>
      </w:pPr>
    </w:p>
    <w:p w:rsidR="00024AB0" w:rsidRPr="00024AB0" w:rsidRDefault="00024AB0" w:rsidP="002A7FA2">
      <w:pPr>
        <w:jc w:val="both"/>
        <w:rPr>
          <w:snapToGrid w:val="0"/>
          <w:sz w:val="24"/>
        </w:rPr>
      </w:pPr>
      <w:r>
        <w:rPr>
          <w:b/>
          <w:snapToGrid w:val="0"/>
          <w:sz w:val="24"/>
        </w:rPr>
        <w:tab/>
      </w:r>
      <w:proofErr w:type="spellStart"/>
      <w:r>
        <w:rPr>
          <w:snapToGrid w:val="0"/>
          <w:sz w:val="24"/>
        </w:rPr>
        <w:t>Kolektivisace</w:t>
      </w:r>
      <w:proofErr w:type="spellEnd"/>
      <w:r>
        <w:rPr>
          <w:snapToGrid w:val="0"/>
          <w:sz w:val="24"/>
        </w:rPr>
        <w:t xml:space="preserve"> v Československu jako taková byla již zpracována často na více úrovních, ale regionální pohled skýtá stále řadu nových možností díky množství do</w:t>
      </w:r>
      <w:r w:rsidR="00F95B3D">
        <w:rPr>
          <w:snapToGrid w:val="0"/>
          <w:sz w:val="24"/>
        </w:rPr>
        <w:softHyphen/>
      </w:r>
      <w:r>
        <w:rPr>
          <w:snapToGrid w:val="0"/>
          <w:sz w:val="24"/>
        </w:rPr>
        <w:t xml:space="preserve">sud nevyužitých archivních pramenů a také díky žijícím pamětníkům. </w:t>
      </w:r>
    </w:p>
    <w:p w:rsidR="00CF0DB8" w:rsidRDefault="00AA561C" w:rsidP="002A7FA2">
      <w:pPr>
        <w:jc w:val="both"/>
        <w:rPr>
          <w:snapToGrid w:val="0"/>
          <w:sz w:val="24"/>
        </w:rPr>
      </w:pPr>
      <w:r w:rsidRPr="00AA561C">
        <w:rPr>
          <w:snapToGrid w:val="0"/>
          <w:sz w:val="24"/>
        </w:rPr>
        <w:tab/>
      </w:r>
      <w:r w:rsidR="00CF0DB8">
        <w:rPr>
          <w:snapToGrid w:val="0"/>
          <w:sz w:val="24"/>
        </w:rPr>
        <w:t xml:space="preserve">V úvodu autorka stanovila cíl práce, </w:t>
      </w:r>
      <w:r w:rsidR="00E55D1B">
        <w:rPr>
          <w:snapToGrid w:val="0"/>
          <w:sz w:val="24"/>
        </w:rPr>
        <w:t xml:space="preserve">položila základní otázky, </w:t>
      </w:r>
      <w:r w:rsidR="00CF0DB8">
        <w:rPr>
          <w:snapToGrid w:val="0"/>
          <w:sz w:val="24"/>
        </w:rPr>
        <w:t>vymezila teritori</w:t>
      </w:r>
      <w:r w:rsidR="00F95B3D">
        <w:rPr>
          <w:snapToGrid w:val="0"/>
          <w:sz w:val="24"/>
        </w:rPr>
        <w:softHyphen/>
      </w:r>
      <w:r w:rsidR="00CF0DB8">
        <w:rPr>
          <w:snapToGrid w:val="0"/>
          <w:sz w:val="24"/>
        </w:rPr>
        <w:t>ální a časový záběr</w:t>
      </w:r>
      <w:r w:rsidR="002A5BCB">
        <w:rPr>
          <w:snapToGrid w:val="0"/>
          <w:sz w:val="24"/>
        </w:rPr>
        <w:t xml:space="preserve">. </w:t>
      </w:r>
      <w:r w:rsidR="00C348A0">
        <w:rPr>
          <w:snapToGrid w:val="0"/>
          <w:sz w:val="24"/>
        </w:rPr>
        <w:t>Zhodnotila také stávající literaturu k </w:t>
      </w:r>
      <w:proofErr w:type="spellStart"/>
      <w:r w:rsidR="00C348A0">
        <w:rPr>
          <w:snapToGrid w:val="0"/>
          <w:sz w:val="24"/>
        </w:rPr>
        <w:t>tematu</w:t>
      </w:r>
      <w:proofErr w:type="spellEnd"/>
      <w:r w:rsidR="00C348A0">
        <w:rPr>
          <w:snapToGrid w:val="0"/>
          <w:sz w:val="24"/>
        </w:rPr>
        <w:t xml:space="preserve">, která má stále mezery, a právě ty </w:t>
      </w:r>
      <w:r w:rsidR="007D01EF">
        <w:rPr>
          <w:snapToGrid w:val="0"/>
          <w:sz w:val="24"/>
        </w:rPr>
        <w:t xml:space="preserve">zaplnit </w:t>
      </w:r>
      <w:r w:rsidR="00C348A0">
        <w:rPr>
          <w:snapToGrid w:val="0"/>
          <w:sz w:val="24"/>
        </w:rPr>
        <w:t>– zejména z hlediska teritoriálního – má být hlavním úče</w:t>
      </w:r>
      <w:r w:rsidR="00F95B3D">
        <w:rPr>
          <w:snapToGrid w:val="0"/>
          <w:sz w:val="24"/>
        </w:rPr>
        <w:softHyphen/>
      </w:r>
      <w:r w:rsidR="00C348A0">
        <w:rPr>
          <w:snapToGrid w:val="0"/>
          <w:sz w:val="24"/>
        </w:rPr>
        <w:t xml:space="preserve">lem této diplomové práce. </w:t>
      </w:r>
    </w:p>
    <w:p w:rsidR="00B63BA7" w:rsidRDefault="000A5B65" w:rsidP="002A7FA2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  <w:t xml:space="preserve">První kapitola nabízí charakteristiku zkoumaných obcí, další obecné </w:t>
      </w:r>
      <w:proofErr w:type="gramStart"/>
      <w:r>
        <w:rPr>
          <w:snapToGrid w:val="0"/>
          <w:sz w:val="24"/>
        </w:rPr>
        <w:t xml:space="preserve">údaje </w:t>
      </w:r>
      <w:r w:rsidR="002A7FA2">
        <w:rPr>
          <w:snapToGrid w:val="0"/>
          <w:sz w:val="24"/>
        </w:rPr>
        <w:t xml:space="preserve">     o </w:t>
      </w:r>
      <w:r>
        <w:rPr>
          <w:snapToGrid w:val="0"/>
          <w:sz w:val="24"/>
        </w:rPr>
        <w:t>zemědělsk</w:t>
      </w:r>
      <w:r w:rsidR="009C7AA2">
        <w:rPr>
          <w:snapToGrid w:val="0"/>
          <w:sz w:val="24"/>
        </w:rPr>
        <w:t>é</w:t>
      </w:r>
      <w:proofErr w:type="gramEnd"/>
      <w:r w:rsidR="009C7AA2">
        <w:rPr>
          <w:snapToGrid w:val="0"/>
          <w:sz w:val="24"/>
        </w:rPr>
        <w:t xml:space="preserve"> politice po 2. světové válce a její souvislosti se vzájemným bojem stran Národní fronty. </w:t>
      </w:r>
      <w:r w:rsidR="005C6D1D">
        <w:rPr>
          <w:snapToGrid w:val="0"/>
          <w:sz w:val="24"/>
        </w:rPr>
        <w:t>Vše je vylíčeno velmi podrobně za pomoci nejnovější odborné litera</w:t>
      </w:r>
      <w:r w:rsidR="00F95B3D">
        <w:rPr>
          <w:snapToGrid w:val="0"/>
          <w:sz w:val="24"/>
        </w:rPr>
        <w:softHyphen/>
      </w:r>
      <w:r w:rsidR="005C6D1D">
        <w:rPr>
          <w:snapToGrid w:val="0"/>
          <w:sz w:val="24"/>
        </w:rPr>
        <w:t>tury, přičemž autorka upozorňuje i na drobné nesrovnalosti v tvrzeních některých au</w:t>
      </w:r>
      <w:r w:rsidR="00F95B3D">
        <w:rPr>
          <w:snapToGrid w:val="0"/>
          <w:sz w:val="24"/>
        </w:rPr>
        <w:softHyphen/>
      </w:r>
      <w:r w:rsidR="005C6D1D">
        <w:rPr>
          <w:snapToGrid w:val="0"/>
          <w:sz w:val="24"/>
        </w:rPr>
        <w:t xml:space="preserve">torů (např. ve věci podpory komunistů na venkově před únorem 1948 – s. 11). Dále je věnována pozornost vývoji v jednotlivých </w:t>
      </w:r>
      <w:r w:rsidR="00653FEA">
        <w:rPr>
          <w:snapToGrid w:val="0"/>
          <w:sz w:val="24"/>
        </w:rPr>
        <w:t xml:space="preserve">vybraných obcích, zde jsou už důležitými zdroji kroniky a prameny z okresního archivu, obsahující např. výsledky voleb. Vše ukazuje, že komunisté měli podporu spíše menšinovou. </w:t>
      </w:r>
      <w:r w:rsidR="00B63BA7">
        <w:rPr>
          <w:snapToGrid w:val="0"/>
          <w:sz w:val="24"/>
        </w:rPr>
        <w:t xml:space="preserve">Autorka důkladně rozebrala </w:t>
      </w:r>
      <w:r w:rsidR="00C4766D">
        <w:rPr>
          <w:snapToGrid w:val="0"/>
          <w:sz w:val="24"/>
        </w:rPr>
        <w:t xml:space="preserve">vývoj po únoru 1948, </w:t>
      </w:r>
      <w:r w:rsidR="00B63BA7">
        <w:rPr>
          <w:snapToGrid w:val="0"/>
          <w:sz w:val="24"/>
        </w:rPr>
        <w:t>květnové volby v roce 1948, a to i s ohledem na výsledky voleb předchá</w:t>
      </w:r>
      <w:r w:rsidR="00C4766D">
        <w:rPr>
          <w:snapToGrid w:val="0"/>
          <w:sz w:val="24"/>
        </w:rPr>
        <w:t>zejících, včetně předválečných, a postupné změny ve společnosti a v</w:t>
      </w:r>
      <w:r w:rsidR="002A7FA2">
        <w:rPr>
          <w:snapToGrid w:val="0"/>
          <w:sz w:val="24"/>
        </w:rPr>
        <w:t> </w:t>
      </w:r>
      <w:proofErr w:type="spellStart"/>
      <w:r w:rsidR="00C4766D">
        <w:rPr>
          <w:snapToGrid w:val="0"/>
          <w:sz w:val="24"/>
        </w:rPr>
        <w:t>me</w:t>
      </w:r>
      <w:r w:rsidR="002A7FA2">
        <w:rPr>
          <w:snapToGrid w:val="0"/>
          <w:sz w:val="24"/>
        </w:rPr>
        <w:t>-</w:t>
      </w:r>
      <w:r w:rsidR="00C4766D">
        <w:rPr>
          <w:snapToGrid w:val="0"/>
          <w:sz w:val="24"/>
        </w:rPr>
        <w:t>zilidských</w:t>
      </w:r>
      <w:proofErr w:type="spellEnd"/>
      <w:r w:rsidR="00C4766D">
        <w:rPr>
          <w:snapToGrid w:val="0"/>
          <w:sz w:val="24"/>
        </w:rPr>
        <w:t xml:space="preserve"> vztazích, omezování svobody slova, vyznání</w:t>
      </w:r>
      <w:r w:rsidR="00404212">
        <w:rPr>
          <w:snapToGrid w:val="0"/>
          <w:sz w:val="24"/>
        </w:rPr>
        <w:t>.</w:t>
      </w:r>
    </w:p>
    <w:p w:rsidR="00404212" w:rsidRDefault="00404212" w:rsidP="002A7FA2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 xml:space="preserve">Od páté kapitoly začíná jádro práce – líčení a hodnocení změn v zemědělství za vlády komunistů. </w:t>
      </w:r>
      <w:r w:rsidR="00AD65F4">
        <w:rPr>
          <w:snapToGrid w:val="0"/>
          <w:sz w:val="24"/>
        </w:rPr>
        <w:t>Jedná se o plánované hospodářství, dodávkové smlouvy, zvýšený dozor nad hospodářstvím, pracovní síly, tvrdé postihy</w:t>
      </w:r>
      <w:r w:rsidR="00711818">
        <w:rPr>
          <w:snapToGrid w:val="0"/>
          <w:sz w:val="24"/>
        </w:rPr>
        <w:t>, včetně vystěhovávání nepoho</w:t>
      </w:r>
      <w:r w:rsidR="00F95B3D">
        <w:rPr>
          <w:snapToGrid w:val="0"/>
          <w:sz w:val="24"/>
        </w:rPr>
        <w:softHyphen/>
      </w:r>
      <w:r w:rsidR="00711818">
        <w:rPr>
          <w:snapToGrid w:val="0"/>
          <w:sz w:val="24"/>
        </w:rPr>
        <w:t>dlných samostatných zemědělců, vydírání</w:t>
      </w:r>
      <w:r w:rsidR="00AD65F4">
        <w:rPr>
          <w:snapToGrid w:val="0"/>
          <w:sz w:val="24"/>
        </w:rPr>
        <w:t xml:space="preserve"> atd.</w:t>
      </w:r>
      <w:r w:rsidR="00711818">
        <w:rPr>
          <w:snapToGrid w:val="0"/>
          <w:sz w:val="24"/>
        </w:rPr>
        <w:t xml:space="preserve"> </w:t>
      </w:r>
      <w:r w:rsidR="00C46108">
        <w:rPr>
          <w:snapToGrid w:val="0"/>
          <w:sz w:val="24"/>
        </w:rPr>
        <w:t>Podrobně je rozebrána „akce K“.</w:t>
      </w:r>
      <w:r w:rsidR="00F95B3D">
        <w:rPr>
          <w:snapToGrid w:val="0"/>
          <w:sz w:val="24"/>
        </w:rPr>
        <w:t xml:space="preserve"> Zají</w:t>
      </w:r>
      <w:r w:rsidR="00F95B3D">
        <w:rPr>
          <w:snapToGrid w:val="0"/>
          <w:sz w:val="24"/>
        </w:rPr>
        <w:softHyphen/>
        <w:t xml:space="preserve">mavý je rozbor jednotlivých soudních procesů s křivými výpověďmi, násilí během výslechů. </w:t>
      </w:r>
      <w:r w:rsidR="00711818">
        <w:rPr>
          <w:snapToGrid w:val="0"/>
          <w:sz w:val="24"/>
        </w:rPr>
        <w:t xml:space="preserve">Důležité je, že se podařilo pojmout otázku </w:t>
      </w:r>
      <w:proofErr w:type="spellStart"/>
      <w:r w:rsidR="00711818">
        <w:rPr>
          <w:snapToGrid w:val="0"/>
          <w:sz w:val="24"/>
        </w:rPr>
        <w:t>kolektivisace</w:t>
      </w:r>
      <w:proofErr w:type="spellEnd"/>
      <w:r w:rsidR="00711818">
        <w:rPr>
          <w:snapToGrid w:val="0"/>
          <w:sz w:val="24"/>
        </w:rPr>
        <w:t xml:space="preserve"> v širokých souvis</w:t>
      </w:r>
      <w:r w:rsidR="00F95B3D">
        <w:rPr>
          <w:snapToGrid w:val="0"/>
          <w:sz w:val="24"/>
        </w:rPr>
        <w:softHyphen/>
      </w:r>
      <w:r w:rsidR="00711818">
        <w:rPr>
          <w:snapToGrid w:val="0"/>
          <w:sz w:val="24"/>
        </w:rPr>
        <w:t xml:space="preserve">lostech, tedy ne jen z hlediska hospodářského, ale také </w:t>
      </w:r>
      <w:r w:rsidR="00B54270">
        <w:rPr>
          <w:snapToGrid w:val="0"/>
          <w:sz w:val="24"/>
        </w:rPr>
        <w:t>kulturního a</w:t>
      </w:r>
      <w:r w:rsidR="00711818">
        <w:rPr>
          <w:snapToGrid w:val="0"/>
          <w:sz w:val="24"/>
        </w:rPr>
        <w:t xml:space="preserve"> sociálního</w:t>
      </w:r>
      <w:r w:rsidR="00B54270">
        <w:rPr>
          <w:snapToGrid w:val="0"/>
          <w:sz w:val="24"/>
        </w:rPr>
        <w:t>.</w:t>
      </w:r>
      <w:r w:rsidR="00F95B3D">
        <w:rPr>
          <w:snapToGrid w:val="0"/>
          <w:sz w:val="24"/>
        </w:rPr>
        <w:t xml:space="preserve"> Práci doplňují fotograficko-textové přílohy a shrnující závěr. </w:t>
      </w:r>
    </w:p>
    <w:p w:rsidR="00711818" w:rsidRPr="00F95B3D" w:rsidRDefault="00C348A0" w:rsidP="002A7FA2">
      <w:pPr>
        <w:jc w:val="both"/>
        <w:rPr>
          <w:snapToGrid w:val="0"/>
          <w:sz w:val="24"/>
        </w:rPr>
      </w:pPr>
      <w:r>
        <w:rPr>
          <w:snapToGrid w:val="0"/>
          <w:sz w:val="24"/>
        </w:rPr>
        <w:tab/>
      </w:r>
      <w:r w:rsidR="00F95B3D">
        <w:rPr>
          <w:snapToGrid w:val="0"/>
          <w:sz w:val="24"/>
        </w:rPr>
        <w:t xml:space="preserve">Práce Marie Jílkové je obsahově vyvážená, důkladná, zodpovědně postavená na pramenech a literatuře. </w:t>
      </w:r>
      <w:r w:rsidR="00F95B3D" w:rsidRPr="00AA561C">
        <w:rPr>
          <w:snapToGrid w:val="0"/>
          <w:sz w:val="24"/>
        </w:rPr>
        <w:t xml:space="preserve">Autorka pracovala </w:t>
      </w:r>
      <w:r w:rsidR="00F95B3D">
        <w:rPr>
          <w:snapToGrid w:val="0"/>
          <w:sz w:val="24"/>
        </w:rPr>
        <w:t xml:space="preserve">hlavně </w:t>
      </w:r>
      <w:r w:rsidR="00F95B3D" w:rsidRPr="00AA561C">
        <w:rPr>
          <w:snapToGrid w:val="0"/>
          <w:sz w:val="24"/>
        </w:rPr>
        <w:t>s archivními fondy SOkA Svi</w:t>
      </w:r>
      <w:r w:rsidR="002A7FA2">
        <w:rPr>
          <w:snapToGrid w:val="0"/>
          <w:sz w:val="24"/>
        </w:rPr>
        <w:softHyphen/>
      </w:r>
      <w:r w:rsidR="00F95B3D" w:rsidRPr="00AA561C">
        <w:rPr>
          <w:snapToGrid w:val="0"/>
          <w:sz w:val="24"/>
        </w:rPr>
        <w:t xml:space="preserve">tavy, </w:t>
      </w:r>
      <w:r w:rsidR="00F95B3D">
        <w:rPr>
          <w:snapToGrid w:val="0"/>
          <w:sz w:val="24"/>
        </w:rPr>
        <w:t>ale také SOA Zámrsk a ABS, získala přístup do soukromých archivů, nepomi</w:t>
      </w:r>
      <w:r w:rsidR="002A7FA2">
        <w:rPr>
          <w:snapToGrid w:val="0"/>
          <w:sz w:val="24"/>
        </w:rPr>
        <w:softHyphen/>
      </w:r>
      <w:r w:rsidR="00F95B3D">
        <w:rPr>
          <w:snapToGrid w:val="0"/>
          <w:sz w:val="24"/>
        </w:rPr>
        <w:t>nula samozřejmě od</w:t>
      </w:r>
      <w:r w:rsidR="00F95B3D">
        <w:rPr>
          <w:snapToGrid w:val="0"/>
          <w:sz w:val="24"/>
        </w:rPr>
        <w:softHyphen/>
        <w:t xml:space="preserve">bornou literaturu, tisk, kroniky a ve značné míře </w:t>
      </w:r>
      <w:proofErr w:type="gramStart"/>
      <w:r w:rsidR="00F95B3D">
        <w:rPr>
          <w:snapToGrid w:val="0"/>
          <w:sz w:val="24"/>
        </w:rPr>
        <w:t>využila</w:t>
      </w:r>
      <w:proofErr w:type="gramEnd"/>
      <w:r w:rsidR="00F95B3D">
        <w:rPr>
          <w:snapToGrid w:val="0"/>
          <w:sz w:val="24"/>
        </w:rPr>
        <w:t xml:space="preserve"> metody </w:t>
      </w:r>
      <w:proofErr w:type="gramStart"/>
      <w:r w:rsidR="00F95B3D">
        <w:rPr>
          <w:snapToGrid w:val="0"/>
          <w:sz w:val="24"/>
        </w:rPr>
        <w:t>oral</w:t>
      </w:r>
      <w:proofErr w:type="gramEnd"/>
      <w:r w:rsidR="00F95B3D">
        <w:rPr>
          <w:snapToGrid w:val="0"/>
          <w:sz w:val="24"/>
        </w:rPr>
        <w:t xml:space="preserve"> history. J</w:t>
      </w:r>
      <w:r w:rsidR="00711818">
        <w:rPr>
          <w:snapToGrid w:val="0"/>
          <w:sz w:val="24"/>
        </w:rPr>
        <w:t>ednotlivé tematické okruhy doplnila určitými příklady.</w:t>
      </w:r>
      <w:r w:rsidR="00C46108">
        <w:rPr>
          <w:snapToGrid w:val="0"/>
          <w:sz w:val="24"/>
        </w:rPr>
        <w:t xml:space="preserve"> </w:t>
      </w:r>
    </w:p>
    <w:p w:rsidR="009C7AA2" w:rsidRPr="00100EDC" w:rsidRDefault="00F95B3D" w:rsidP="002A7FA2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>Důvodů k výtkám je jen málo: d</w:t>
      </w:r>
      <w:r w:rsidR="009C7AA2" w:rsidRPr="009C7AA2">
        <w:rPr>
          <w:snapToGrid w:val="0"/>
          <w:sz w:val="24"/>
        </w:rPr>
        <w:t>robné nesrovnalosti v citacích (</w:t>
      </w:r>
      <w:r>
        <w:rPr>
          <w:snapToGrid w:val="0"/>
          <w:sz w:val="24"/>
        </w:rPr>
        <w:t xml:space="preserve">někde </w:t>
      </w:r>
      <w:r w:rsidR="009C7AA2" w:rsidRPr="009C7AA2">
        <w:rPr>
          <w:snapToGrid w:val="0"/>
          <w:sz w:val="24"/>
        </w:rPr>
        <w:t xml:space="preserve">chybí </w:t>
      </w:r>
      <w:proofErr w:type="spellStart"/>
      <w:r w:rsidR="009C7AA2" w:rsidRPr="009C7AA2">
        <w:rPr>
          <w:snapToGrid w:val="0"/>
          <w:sz w:val="24"/>
        </w:rPr>
        <w:t>kursiva</w:t>
      </w:r>
      <w:proofErr w:type="spellEnd"/>
      <w:r w:rsidR="0038181C">
        <w:rPr>
          <w:snapToGrid w:val="0"/>
          <w:sz w:val="24"/>
        </w:rPr>
        <w:t>, různé fonty</w:t>
      </w:r>
      <w:r w:rsidR="009C7AA2" w:rsidRPr="009C7AA2">
        <w:rPr>
          <w:snapToGrid w:val="0"/>
          <w:sz w:val="24"/>
        </w:rPr>
        <w:t xml:space="preserve"> apod.)</w:t>
      </w:r>
      <w:r w:rsidR="00C46108">
        <w:rPr>
          <w:snapToGrid w:val="0"/>
          <w:sz w:val="24"/>
        </w:rPr>
        <w:t>, místy přejímání jazyka zdroje (např. označení příslušníků veřejné bezpečnosti v roce 1950 za „četníky“ – s. 64)</w:t>
      </w:r>
      <w:r w:rsidR="00100EDC">
        <w:rPr>
          <w:snapToGrid w:val="0"/>
          <w:sz w:val="24"/>
        </w:rPr>
        <w:t>. Z hlediska celkového uspořá</w:t>
      </w:r>
      <w:r>
        <w:rPr>
          <w:snapToGrid w:val="0"/>
          <w:sz w:val="24"/>
        </w:rPr>
        <w:softHyphen/>
      </w:r>
      <w:r w:rsidR="00100EDC">
        <w:rPr>
          <w:snapToGrid w:val="0"/>
          <w:sz w:val="24"/>
        </w:rPr>
        <w:t xml:space="preserve">dání práce by možná bylo vhodné kap. 6 </w:t>
      </w:r>
      <w:r w:rsidR="00100EDC" w:rsidRPr="00100EDC">
        <w:rPr>
          <w:i/>
          <w:snapToGrid w:val="0"/>
          <w:sz w:val="24"/>
        </w:rPr>
        <w:t>Průběh zakládání JZD v okrese Polička</w:t>
      </w:r>
      <w:r w:rsidR="00100EDC">
        <w:rPr>
          <w:i/>
          <w:snapToGrid w:val="0"/>
          <w:sz w:val="24"/>
        </w:rPr>
        <w:t xml:space="preserve"> </w:t>
      </w:r>
      <w:r w:rsidR="00100EDC">
        <w:rPr>
          <w:snapToGrid w:val="0"/>
          <w:sz w:val="24"/>
        </w:rPr>
        <w:t>pře</w:t>
      </w:r>
      <w:r>
        <w:rPr>
          <w:snapToGrid w:val="0"/>
          <w:sz w:val="24"/>
        </w:rPr>
        <w:softHyphen/>
      </w:r>
      <w:r w:rsidR="00100EDC">
        <w:rPr>
          <w:snapToGrid w:val="0"/>
          <w:sz w:val="24"/>
        </w:rPr>
        <w:t xml:space="preserve">sunout před líčení jednotlivých případů. </w:t>
      </w:r>
      <w:r w:rsidR="007D01EF">
        <w:rPr>
          <w:snapToGrid w:val="0"/>
          <w:sz w:val="24"/>
        </w:rPr>
        <w:t xml:space="preserve">Závěrečný seznam pramenů a literatury není správně uspořádán. </w:t>
      </w:r>
    </w:p>
    <w:p w:rsidR="005953A4" w:rsidRDefault="00F95B3D" w:rsidP="002A7FA2">
      <w:pPr>
        <w:ind w:firstLine="720"/>
        <w:jc w:val="both"/>
        <w:rPr>
          <w:snapToGrid w:val="0"/>
          <w:sz w:val="24"/>
        </w:rPr>
      </w:pPr>
      <w:r>
        <w:rPr>
          <w:snapToGrid w:val="0"/>
          <w:sz w:val="24"/>
        </w:rPr>
        <w:t>Písemný projev posluchačky je na slušné úrovni, ovšem měla by věnovat větší pozornost pravopisu, uniklo jí několik hrubých chyb (např. s.</w:t>
      </w:r>
      <w:r w:rsidR="005C6D1D" w:rsidRPr="005C6D1D">
        <w:rPr>
          <w:snapToGrid w:val="0"/>
          <w:sz w:val="24"/>
        </w:rPr>
        <w:t xml:space="preserve"> 11, </w:t>
      </w:r>
      <w:r w:rsidR="005953A4">
        <w:rPr>
          <w:snapToGrid w:val="0"/>
          <w:sz w:val="24"/>
        </w:rPr>
        <w:t>24</w:t>
      </w:r>
      <w:r w:rsidR="00AD65F4">
        <w:rPr>
          <w:snapToGrid w:val="0"/>
          <w:sz w:val="24"/>
        </w:rPr>
        <w:t>, 42</w:t>
      </w:r>
      <w:r w:rsidR="00711818">
        <w:rPr>
          <w:snapToGrid w:val="0"/>
          <w:sz w:val="24"/>
        </w:rPr>
        <w:t>, 48, 50</w:t>
      </w:r>
      <w:r w:rsidR="00C46108">
        <w:rPr>
          <w:snapToGrid w:val="0"/>
          <w:sz w:val="24"/>
        </w:rPr>
        <w:t>, 73</w:t>
      </w:r>
      <w:r>
        <w:rPr>
          <w:snapToGrid w:val="0"/>
          <w:sz w:val="24"/>
        </w:rPr>
        <w:t>), překlepů</w:t>
      </w:r>
      <w:r w:rsidR="005953A4">
        <w:rPr>
          <w:snapToGrid w:val="0"/>
          <w:sz w:val="24"/>
        </w:rPr>
        <w:t xml:space="preserve"> </w:t>
      </w:r>
      <w:r>
        <w:rPr>
          <w:snapToGrid w:val="0"/>
          <w:sz w:val="24"/>
        </w:rPr>
        <w:t>(</w:t>
      </w:r>
      <w:r w:rsidR="005953A4">
        <w:rPr>
          <w:snapToGrid w:val="0"/>
          <w:sz w:val="24"/>
        </w:rPr>
        <w:t>„Svaz českoslove</w:t>
      </w:r>
      <w:r>
        <w:rPr>
          <w:snapToGrid w:val="0"/>
          <w:sz w:val="24"/>
        </w:rPr>
        <w:t xml:space="preserve">nského ??? </w:t>
      </w:r>
      <w:proofErr w:type="gramStart"/>
      <w:r>
        <w:rPr>
          <w:snapToGrid w:val="0"/>
          <w:sz w:val="24"/>
        </w:rPr>
        <w:t>přátelství</w:t>
      </w:r>
      <w:proofErr w:type="gramEnd"/>
      <w:r>
        <w:rPr>
          <w:snapToGrid w:val="0"/>
          <w:sz w:val="24"/>
        </w:rPr>
        <w:t>“ …? s. 24),</w:t>
      </w:r>
      <w:r w:rsidR="00404212">
        <w:rPr>
          <w:snapToGrid w:val="0"/>
          <w:sz w:val="24"/>
        </w:rPr>
        <w:t xml:space="preserve"> </w:t>
      </w:r>
      <w:r>
        <w:rPr>
          <w:snapToGrid w:val="0"/>
          <w:sz w:val="24"/>
        </w:rPr>
        <w:t>d</w:t>
      </w:r>
      <w:r w:rsidR="00404212">
        <w:rPr>
          <w:snapToGrid w:val="0"/>
          <w:sz w:val="24"/>
        </w:rPr>
        <w:t>robné slohové nesrov</w:t>
      </w:r>
      <w:r>
        <w:rPr>
          <w:snapToGrid w:val="0"/>
          <w:sz w:val="24"/>
        </w:rPr>
        <w:softHyphen/>
      </w:r>
      <w:r w:rsidR="00404212">
        <w:rPr>
          <w:snapToGrid w:val="0"/>
          <w:sz w:val="24"/>
        </w:rPr>
        <w:t>nalosti</w:t>
      </w:r>
      <w:r w:rsidR="007D01EF">
        <w:rPr>
          <w:snapToGrid w:val="0"/>
          <w:sz w:val="24"/>
        </w:rPr>
        <w:t xml:space="preserve">, </w:t>
      </w:r>
      <w:r>
        <w:rPr>
          <w:snapToGrid w:val="0"/>
          <w:sz w:val="24"/>
        </w:rPr>
        <w:t>výjimečně chyby v </w:t>
      </w:r>
      <w:r w:rsidR="007D01EF">
        <w:rPr>
          <w:snapToGrid w:val="0"/>
          <w:sz w:val="24"/>
        </w:rPr>
        <w:t>interpunkc</w:t>
      </w:r>
      <w:r>
        <w:rPr>
          <w:snapToGrid w:val="0"/>
          <w:sz w:val="24"/>
        </w:rPr>
        <w:t>i nebo</w:t>
      </w:r>
      <w:r w:rsidR="007D01EF">
        <w:rPr>
          <w:snapToGrid w:val="0"/>
          <w:sz w:val="24"/>
        </w:rPr>
        <w:t xml:space="preserve"> vychýlení z</w:t>
      </w:r>
      <w:r>
        <w:rPr>
          <w:snapToGrid w:val="0"/>
          <w:sz w:val="24"/>
        </w:rPr>
        <w:t> </w:t>
      </w:r>
      <w:r w:rsidR="007D01EF">
        <w:rPr>
          <w:snapToGrid w:val="0"/>
          <w:sz w:val="24"/>
        </w:rPr>
        <w:t>vazby</w:t>
      </w:r>
      <w:r>
        <w:rPr>
          <w:snapToGrid w:val="0"/>
          <w:sz w:val="24"/>
        </w:rPr>
        <w:t>.</w:t>
      </w:r>
    </w:p>
    <w:p w:rsidR="00CD65F3" w:rsidRPr="005C6D1D" w:rsidRDefault="00CD65F3" w:rsidP="002A7FA2">
      <w:pPr>
        <w:ind w:firstLine="720"/>
        <w:jc w:val="both"/>
        <w:rPr>
          <w:snapToGrid w:val="0"/>
          <w:sz w:val="24"/>
        </w:rPr>
      </w:pPr>
    </w:p>
    <w:p w:rsidR="000F4D38" w:rsidRDefault="00F95B3D" w:rsidP="002A7FA2">
      <w:pPr>
        <w:jc w:val="both"/>
        <w:rPr>
          <w:snapToGrid w:val="0"/>
          <w:sz w:val="24"/>
        </w:rPr>
      </w:pPr>
      <w:r w:rsidRPr="00F95B3D">
        <w:rPr>
          <w:snapToGrid w:val="0"/>
          <w:sz w:val="24"/>
        </w:rPr>
        <w:tab/>
        <w:t xml:space="preserve">Práci </w:t>
      </w:r>
      <w:r w:rsidR="00621A18">
        <w:rPr>
          <w:snapToGrid w:val="0"/>
          <w:sz w:val="24"/>
        </w:rPr>
        <w:t xml:space="preserve">přes výše uvedené nedostatky </w:t>
      </w:r>
      <w:bookmarkStart w:id="0" w:name="_GoBack"/>
      <w:bookmarkEnd w:id="0"/>
      <w:r w:rsidRPr="00F95B3D">
        <w:rPr>
          <w:snapToGrid w:val="0"/>
          <w:sz w:val="24"/>
        </w:rPr>
        <w:t>celkov</w:t>
      </w:r>
      <w:r w:rsidR="00621A18">
        <w:rPr>
          <w:snapToGrid w:val="0"/>
          <w:sz w:val="24"/>
        </w:rPr>
        <w:t>ě</w:t>
      </w:r>
      <w:r w:rsidRPr="00F95B3D">
        <w:rPr>
          <w:snapToGrid w:val="0"/>
          <w:sz w:val="24"/>
        </w:rPr>
        <w:t xml:space="preserve"> hodnotím jako </w:t>
      </w:r>
      <w:r w:rsidR="002A7FA2">
        <w:rPr>
          <w:snapToGrid w:val="0"/>
          <w:sz w:val="24"/>
        </w:rPr>
        <w:t>vynikající a</w:t>
      </w:r>
      <w:r>
        <w:rPr>
          <w:snapToGrid w:val="0"/>
          <w:sz w:val="24"/>
        </w:rPr>
        <w:t xml:space="preserve"> navr</w:t>
      </w:r>
      <w:r>
        <w:rPr>
          <w:snapToGrid w:val="0"/>
          <w:sz w:val="24"/>
        </w:rPr>
        <w:softHyphen/>
        <w:t xml:space="preserve">huji hodnocení </w:t>
      </w:r>
      <w:r w:rsidRPr="00F95B3D">
        <w:rPr>
          <w:b/>
          <w:snapToGrid w:val="0"/>
          <w:sz w:val="24"/>
        </w:rPr>
        <w:t>výborně</w:t>
      </w:r>
      <w:r>
        <w:rPr>
          <w:snapToGrid w:val="0"/>
          <w:sz w:val="24"/>
        </w:rPr>
        <w:t xml:space="preserve">. </w:t>
      </w:r>
    </w:p>
    <w:p w:rsidR="00F95B3D" w:rsidRDefault="00F95B3D" w:rsidP="00F95B3D">
      <w:pPr>
        <w:rPr>
          <w:snapToGrid w:val="0"/>
          <w:sz w:val="24"/>
        </w:rPr>
      </w:pPr>
    </w:p>
    <w:p w:rsidR="00F95B3D" w:rsidRPr="00F95B3D" w:rsidRDefault="00F95B3D" w:rsidP="00F95B3D">
      <w:pPr>
        <w:rPr>
          <w:snapToGrid w:val="0"/>
          <w:sz w:val="24"/>
        </w:rPr>
      </w:pPr>
      <w:r>
        <w:rPr>
          <w:snapToGrid w:val="0"/>
          <w:sz w:val="24"/>
        </w:rPr>
        <w:t>Pardubice 1. ledna 2016</w:t>
      </w:r>
    </w:p>
    <w:sectPr w:rsidR="00F95B3D" w:rsidRPr="00F95B3D">
      <w:pgSz w:w="11906" w:h="16838"/>
      <w:pgMar w:top="1440" w:right="1800" w:bottom="1440" w:left="18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doNotShadeFormData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4E35"/>
    <w:rsid w:val="00024AB0"/>
    <w:rsid w:val="000A5B65"/>
    <w:rsid w:val="000F4D38"/>
    <w:rsid w:val="00100EDC"/>
    <w:rsid w:val="001370A1"/>
    <w:rsid w:val="001A7C8F"/>
    <w:rsid w:val="00295370"/>
    <w:rsid w:val="002A5BCB"/>
    <w:rsid w:val="002A7FA2"/>
    <w:rsid w:val="0038181C"/>
    <w:rsid w:val="00404212"/>
    <w:rsid w:val="00464E35"/>
    <w:rsid w:val="00495D29"/>
    <w:rsid w:val="004C3651"/>
    <w:rsid w:val="005953A4"/>
    <w:rsid w:val="005C6D1D"/>
    <w:rsid w:val="00621A18"/>
    <w:rsid w:val="00633E5D"/>
    <w:rsid w:val="00650600"/>
    <w:rsid w:val="00653FEA"/>
    <w:rsid w:val="006D3FD8"/>
    <w:rsid w:val="00711818"/>
    <w:rsid w:val="007D01EF"/>
    <w:rsid w:val="00802BCF"/>
    <w:rsid w:val="0080782A"/>
    <w:rsid w:val="00817DA1"/>
    <w:rsid w:val="008C394E"/>
    <w:rsid w:val="009C7AA2"/>
    <w:rsid w:val="00AA561C"/>
    <w:rsid w:val="00AD65F4"/>
    <w:rsid w:val="00AF4456"/>
    <w:rsid w:val="00B54270"/>
    <w:rsid w:val="00B63BA7"/>
    <w:rsid w:val="00C348A0"/>
    <w:rsid w:val="00C46108"/>
    <w:rsid w:val="00C4766D"/>
    <w:rsid w:val="00CD65F3"/>
    <w:rsid w:val="00CF0DB8"/>
    <w:rsid w:val="00D85108"/>
    <w:rsid w:val="00E55D1B"/>
    <w:rsid w:val="00F309C7"/>
    <w:rsid w:val="00F95B3D"/>
    <w:rsid w:val="00FD19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semiHidden/>
  </w:style>
  <w:style w:type="table" w:default="1" w:styleId="Normlntabul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semiHidden/>
  </w:style>
  <w:style w:type="paragraph" w:styleId="Textbubliny">
    <w:name w:val="Balloon Text"/>
    <w:basedOn w:val="Normln"/>
    <w:semiHidden/>
    <w:rsid w:val="004C365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498</Words>
  <Characters>2942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Pokyny pro vypracování oponentského posudku</vt:lpstr>
    </vt:vector>
  </TitlesOfParts>
  <Company>Univerzita Pardubice - UJHS</Company>
  <LinksUpToDate>false</LinksUpToDate>
  <CharactersWithSpaces>3434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Pokyny pro vypracování oponentského posudku</dc:title>
  <dc:creator>Tomáš Jiránek</dc:creator>
  <dc:description>Filtr T602 id:</dc:description>
  <cp:lastModifiedBy>spravce</cp:lastModifiedBy>
  <cp:revision>3</cp:revision>
  <cp:lastPrinted>2006-04-13T12:53:00Z</cp:lastPrinted>
  <dcterms:created xsi:type="dcterms:W3CDTF">2016-01-04T08:13:00Z</dcterms:created>
  <dcterms:modified xsi:type="dcterms:W3CDTF">2016-01-04T08:14:00Z</dcterms:modified>
</cp:coreProperties>
</file>