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0F8F" w:rsidRDefault="00250F8F" w:rsidP="00250F8F">
      <w:pPr>
        <w:pStyle w:val="Heading4"/>
        <w:spacing w:before="60"/>
        <w:jc w:val="center"/>
        <w:rPr>
          <w:bCs/>
          <w:iCs/>
          <w:sz w:val="28"/>
          <w:szCs w:val="28"/>
          <w:u w:val="none"/>
        </w:rPr>
      </w:pPr>
      <w:r>
        <w:rPr>
          <w:bCs/>
          <w:iCs/>
          <w:sz w:val="28"/>
          <w:szCs w:val="28"/>
          <w:u w:val="none"/>
        </w:rPr>
        <w:t>UNIVERZITA PARDUBICE</w:t>
      </w:r>
    </w:p>
    <w:p w:rsidR="00250F8F" w:rsidRPr="00D3601F" w:rsidRDefault="00250F8F" w:rsidP="00250F8F">
      <w:pPr>
        <w:pStyle w:val="Heading4"/>
        <w:spacing w:before="60"/>
        <w:jc w:val="center"/>
        <w:rPr>
          <w:b/>
          <w:bCs/>
          <w:iCs/>
          <w:u w:val="none"/>
        </w:rPr>
      </w:pPr>
      <w:r w:rsidRPr="00D3601F">
        <w:rPr>
          <w:b/>
          <w:bCs/>
          <w:iCs/>
          <w:u w:val="none"/>
        </w:rPr>
        <w:t>Fakulta filozofická</w:t>
      </w:r>
    </w:p>
    <w:p w:rsidR="00C81484" w:rsidRPr="00D3601F" w:rsidRDefault="00C81484" w:rsidP="00C81484">
      <w:pPr>
        <w:jc w:val="center"/>
        <w:rPr>
          <w:b/>
        </w:rPr>
      </w:pPr>
      <w:r w:rsidRPr="00D3601F">
        <w:rPr>
          <w:b/>
        </w:rPr>
        <w:t>Katedra anglistiky a amerikanistiky</w:t>
      </w:r>
    </w:p>
    <w:p w:rsidR="00CD656D" w:rsidRDefault="00CD656D" w:rsidP="00250F8F">
      <w:pPr>
        <w:spacing w:before="60"/>
        <w:jc w:val="center"/>
        <w:rPr>
          <w:b/>
          <w:sz w:val="32"/>
          <w:szCs w:val="32"/>
        </w:rPr>
      </w:pPr>
    </w:p>
    <w:p w:rsidR="00FB47A6" w:rsidRDefault="00FB47A6" w:rsidP="00FB47A6">
      <w:pPr>
        <w:spacing w:before="60"/>
        <w:jc w:val="center"/>
        <w:rPr>
          <w:b/>
          <w:sz w:val="32"/>
          <w:szCs w:val="32"/>
        </w:rPr>
      </w:pPr>
      <w:r w:rsidRPr="005E49B3">
        <w:rPr>
          <w:b/>
          <w:sz w:val="32"/>
          <w:szCs w:val="32"/>
        </w:rPr>
        <w:t>Posudek vedoucího bakalářské práce</w:t>
      </w:r>
    </w:p>
    <w:p w:rsidR="00B55547" w:rsidRDefault="00B55547" w:rsidP="00B55547">
      <w:pPr>
        <w:spacing w:before="60"/>
        <w:jc w:val="center"/>
        <w:rPr>
          <w:b/>
          <w:sz w:val="32"/>
          <w:szCs w:val="32"/>
        </w:rPr>
      </w:pPr>
      <w:r>
        <w:rPr>
          <w:b/>
          <w:sz w:val="32"/>
          <w:szCs w:val="32"/>
        </w:rPr>
        <w:t>(Literárně-kulturní)</w:t>
      </w:r>
    </w:p>
    <w:p w:rsidR="0098138A" w:rsidRDefault="0098138A" w:rsidP="00D31B22">
      <w:pPr>
        <w:spacing w:before="60"/>
        <w:jc w:val="center"/>
        <w:rPr>
          <w:b/>
        </w:rPr>
      </w:pPr>
    </w:p>
    <w:p w:rsidR="00CD656D" w:rsidRDefault="00CD656D" w:rsidP="00250F8F">
      <w:pPr>
        <w:spacing w:before="60"/>
        <w:jc w:val="both"/>
        <w:rPr>
          <w:b/>
        </w:rPr>
      </w:pPr>
    </w:p>
    <w:p w:rsidR="00250F8F" w:rsidRPr="002278EB" w:rsidRDefault="00250F8F" w:rsidP="002B65C8">
      <w:pPr>
        <w:jc w:val="both"/>
        <w:rPr>
          <w:b/>
        </w:rPr>
      </w:pPr>
      <w:r>
        <w:rPr>
          <w:b/>
        </w:rPr>
        <w:t>Autor práce:</w:t>
      </w:r>
      <w:r w:rsidR="00F4006E">
        <w:rPr>
          <w:b/>
        </w:rPr>
        <w:t xml:space="preserve"> </w:t>
      </w:r>
      <w:r w:rsidR="001E5C2B">
        <w:t>K</w:t>
      </w:r>
      <w:r w:rsidR="00406632">
        <w:t>ateřina Vidlákov</w:t>
      </w:r>
      <w:r w:rsidR="001E5C2B">
        <w:t>á</w:t>
      </w:r>
    </w:p>
    <w:p w:rsidR="0023410E" w:rsidRDefault="00E02AD3" w:rsidP="002B65C8">
      <w:pPr>
        <w:jc w:val="both"/>
        <w:rPr>
          <w:b/>
        </w:rPr>
      </w:pPr>
      <w:r>
        <w:rPr>
          <w:b/>
        </w:rPr>
        <w:t>Studijní obor:</w:t>
      </w:r>
      <w:r w:rsidR="00F4006E">
        <w:rPr>
          <w:b/>
        </w:rPr>
        <w:t xml:space="preserve"> </w:t>
      </w:r>
      <w:r w:rsidR="00BC4009">
        <w:t>AJ</w:t>
      </w:r>
      <w:r w:rsidR="00406632">
        <w:t>O</w:t>
      </w:r>
      <w:r w:rsidR="00743291">
        <w:t>P</w:t>
      </w:r>
    </w:p>
    <w:p w:rsidR="00250F8F" w:rsidRPr="00B55547" w:rsidRDefault="00250F8F" w:rsidP="00B55547">
      <w:pPr>
        <w:jc w:val="both"/>
        <w:rPr>
          <w:i/>
          <w:lang w:val="en-US"/>
        </w:rPr>
      </w:pPr>
      <w:r>
        <w:rPr>
          <w:b/>
        </w:rPr>
        <w:t>Název práce:</w:t>
      </w:r>
      <w:r w:rsidR="00F4006E">
        <w:rPr>
          <w:b/>
        </w:rPr>
        <w:t xml:space="preserve"> </w:t>
      </w:r>
      <w:r w:rsidR="00594958">
        <w:rPr>
          <w:lang w:val="en-GB"/>
        </w:rPr>
        <w:t xml:space="preserve">The Cold War as represented in </w:t>
      </w:r>
      <w:r w:rsidR="00594958" w:rsidRPr="00594958">
        <w:rPr>
          <w:i/>
          <w:lang w:val="en-GB"/>
        </w:rPr>
        <w:t>The Day</w:t>
      </w:r>
      <w:r w:rsidR="00594958" w:rsidRPr="00594958">
        <w:rPr>
          <w:i/>
          <w:lang w:val="en-US"/>
        </w:rPr>
        <w:t xml:space="preserve"> of the </w:t>
      </w:r>
      <w:proofErr w:type="spellStart"/>
      <w:r w:rsidR="00594958" w:rsidRPr="00594958">
        <w:rPr>
          <w:i/>
          <w:lang w:val="en-US"/>
        </w:rPr>
        <w:t>Triffids</w:t>
      </w:r>
      <w:proofErr w:type="spellEnd"/>
      <w:r w:rsidR="002E76D1" w:rsidRPr="002E76D1">
        <w:rPr>
          <w:i/>
          <w:lang w:val="en-GB"/>
        </w:rPr>
        <w:t xml:space="preserve"> </w:t>
      </w:r>
    </w:p>
    <w:p w:rsidR="00250F8F" w:rsidRDefault="00250F8F" w:rsidP="002B65C8">
      <w:r>
        <w:rPr>
          <w:b/>
        </w:rPr>
        <w:t>Akademický rok:</w:t>
      </w:r>
      <w:r w:rsidR="00B93F79">
        <w:rPr>
          <w:b/>
        </w:rPr>
        <w:t xml:space="preserve"> </w:t>
      </w:r>
      <w:r w:rsidR="002E76D1">
        <w:t>2012</w:t>
      </w:r>
      <w:r w:rsidR="00F34C6C">
        <w:t>/201</w:t>
      </w:r>
      <w:r w:rsidR="002E76D1">
        <w:t>3</w:t>
      </w:r>
    </w:p>
    <w:p w:rsidR="00250F8F" w:rsidRDefault="00250F8F" w:rsidP="002B65C8">
      <w:pPr>
        <w:jc w:val="both"/>
        <w:rPr>
          <w:b/>
        </w:rPr>
      </w:pPr>
      <w:r>
        <w:rPr>
          <w:b/>
        </w:rPr>
        <w:t>Vedoucí práce:</w:t>
      </w:r>
      <w:r w:rsidR="00F4006E">
        <w:rPr>
          <w:b/>
        </w:rPr>
        <w:t xml:space="preserve"> </w:t>
      </w:r>
      <w:r w:rsidR="00F34C6C" w:rsidRPr="00FB47A6">
        <w:t>Daniel Paul Sampey, MFA</w:t>
      </w:r>
      <w:r w:rsidR="00F34C6C">
        <w:t xml:space="preserve"> </w:t>
      </w:r>
    </w:p>
    <w:p w:rsidR="00424B53" w:rsidRDefault="00251D2F" w:rsidP="00424B53">
      <w:pPr>
        <w:rPr>
          <w:lang w:val="en-US" w:eastAsia="en-US"/>
        </w:rPr>
      </w:pPr>
      <w:r>
        <w:rPr>
          <w:b/>
        </w:rPr>
        <w:t>Oponent prác</w:t>
      </w:r>
      <w:r w:rsidRPr="006266B0">
        <w:t>e</w:t>
      </w:r>
      <w:r w:rsidRPr="00424B53">
        <w:t>:</w:t>
      </w:r>
      <w:r w:rsidR="00F4006E" w:rsidRPr="00424B53">
        <w:t xml:space="preserve"> </w:t>
      </w:r>
      <w:hyperlink r:id="rId5" w:history="1">
        <w:r w:rsidR="00424B53" w:rsidRPr="00424B53">
          <w:rPr>
            <w:rStyle w:val="Hyperlink"/>
            <w:color w:val="auto"/>
            <w:u w:val="none"/>
          </w:rPr>
          <w:t>PhDr. Ladislav Vít, Ph.D.</w:t>
        </w:r>
      </w:hyperlink>
    </w:p>
    <w:p w:rsidR="00FA23BB" w:rsidRDefault="00FA23BB" w:rsidP="002B65C8">
      <w:pPr>
        <w:jc w:val="both"/>
      </w:pPr>
    </w:p>
    <w:p w:rsidR="002B65C8" w:rsidRDefault="002B65C8" w:rsidP="002B65C8">
      <w:pPr>
        <w:jc w:val="both"/>
        <w:rPr>
          <w:b/>
        </w:rPr>
      </w:pPr>
    </w:p>
    <w:tbl>
      <w:tblPr>
        <w:tblW w:w="11001" w:type="dxa"/>
        <w:tblInd w:w="-61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2160"/>
        <w:gridCol w:w="7364"/>
        <w:gridCol w:w="1477"/>
      </w:tblGrid>
      <w:tr w:rsidR="009F6951" w:rsidTr="0051466D">
        <w:tc>
          <w:tcPr>
            <w:tcW w:w="9524" w:type="dxa"/>
            <w:gridSpan w:val="2"/>
            <w:tcBorders>
              <w:top w:val="double" w:sz="4" w:space="0" w:color="auto"/>
              <w:left w:val="double" w:sz="4" w:space="0" w:color="auto"/>
              <w:bottom w:val="double" w:sz="4" w:space="0" w:color="auto"/>
              <w:right w:val="single" w:sz="2" w:space="0" w:color="auto"/>
            </w:tcBorders>
            <w:vAlign w:val="center"/>
          </w:tcPr>
          <w:p w:rsidR="009F6951" w:rsidRDefault="009F6951" w:rsidP="00FA23BB">
            <w:pPr>
              <w:jc w:val="center"/>
              <w:rPr>
                <w:b/>
              </w:rPr>
            </w:pPr>
            <w:proofErr w:type="gramStart"/>
            <w:r>
              <w:rPr>
                <w:b/>
                <w:sz w:val="28"/>
                <w:szCs w:val="28"/>
              </w:rPr>
              <w:t>Kritéria  hodnocení</w:t>
            </w:r>
            <w:proofErr w:type="gramEnd"/>
            <w:r>
              <w:rPr>
                <w:b/>
                <w:sz w:val="28"/>
                <w:szCs w:val="28"/>
              </w:rPr>
              <w:t xml:space="preserve"> </w:t>
            </w:r>
          </w:p>
        </w:tc>
        <w:tc>
          <w:tcPr>
            <w:tcW w:w="1477" w:type="dxa"/>
            <w:tcBorders>
              <w:top w:val="double" w:sz="4" w:space="0" w:color="auto"/>
              <w:left w:val="single" w:sz="2" w:space="0" w:color="auto"/>
              <w:bottom w:val="double" w:sz="4" w:space="0" w:color="auto"/>
              <w:right w:val="double" w:sz="4" w:space="0" w:color="auto"/>
            </w:tcBorders>
            <w:vAlign w:val="center"/>
          </w:tcPr>
          <w:p w:rsidR="009F6951" w:rsidRDefault="009F6951" w:rsidP="00FA23BB">
            <w:pPr>
              <w:jc w:val="center"/>
              <w:rPr>
                <w:b/>
              </w:rPr>
            </w:pPr>
            <w:r>
              <w:rPr>
                <w:b/>
              </w:rPr>
              <w:t>Hodnocení</w:t>
            </w:r>
          </w:p>
          <w:p w:rsidR="009F6951" w:rsidRDefault="009F6951" w:rsidP="00FA23BB">
            <w:pPr>
              <w:jc w:val="center"/>
              <w:rPr>
                <w:b/>
              </w:rPr>
            </w:pPr>
            <w:r>
              <w:rPr>
                <w:b/>
              </w:rPr>
              <w:t>1 - 2 - 3 – 4</w:t>
            </w:r>
          </w:p>
        </w:tc>
      </w:tr>
      <w:tr w:rsidR="00251D2F" w:rsidTr="001805BC">
        <w:trPr>
          <w:trHeight w:val="397"/>
        </w:trPr>
        <w:tc>
          <w:tcPr>
            <w:tcW w:w="2160" w:type="dxa"/>
            <w:vMerge w:val="restart"/>
            <w:tcBorders>
              <w:top w:val="single" w:sz="4" w:space="0" w:color="auto"/>
              <w:left w:val="single" w:sz="4" w:space="0" w:color="auto"/>
              <w:bottom w:val="single" w:sz="4" w:space="0" w:color="auto"/>
              <w:right w:val="single" w:sz="4" w:space="0" w:color="auto"/>
            </w:tcBorders>
            <w:shd w:val="clear" w:color="auto" w:fill="E0E0E0"/>
            <w:vAlign w:val="center"/>
          </w:tcPr>
          <w:p w:rsidR="00251D2F" w:rsidRPr="000A0C25" w:rsidRDefault="00251D2F" w:rsidP="000A0C25">
            <w:pPr>
              <w:jc w:val="center"/>
              <w:rPr>
                <w:b/>
              </w:rPr>
            </w:pPr>
            <w:r w:rsidRPr="000A0C25">
              <w:rPr>
                <w:b/>
              </w:rPr>
              <w:t>Všeobecná charakteristika</w:t>
            </w:r>
          </w:p>
          <w:p w:rsidR="00251D2F" w:rsidRPr="009F6951" w:rsidRDefault="00251D2F" w:rsidP="009F6951">
            <w:pPr>
              <w:jc w:val="center"/>
              <w:rPr>
                <w:b/>
                <w:highlight w:val="yellow"/>
              </w:rPr>
            </w:pPr>
          </w:p>
        </w:tc>
        <w:tc>
          <w:tcPr>
            <w:tcW w:w="7364" w:type="dxa"/>
            <w:tcBorders>
              <w:top w:val="single" w:sz="4" w:space="0" w:color="auto"/>
              <w:left w:val="single" w:sz="4" w:space="0" w:color="auto"/>
              <w:bottom w:val="single" w:sz="4" w:space="0" w:color="auto"/>
              <w:right w:val="single" w:sz="2" w:space="0" w:color="auto"/>
            </w:tcBorders>
          </w:tcPr>
          <w:p w:rsidR="00251D2F" w:rsidRDefault="00251D2F" w:rsidP="009F6951">
            <w:pPr>
              <w:rPr>
                <w:b/>
              </w:rPr>
            </w:pPr>
            <w:r w:rsidRPr="00314626">
              <w:rPr>
                <w:sz w:val="22"/>
                <w:szCs w:val="22"/>
              </w:rPr>
              <w:t xml:space="preserve">Splnění </w:t>
            </w:r>
            <w:r>
              <w:rPr>
                <w:sz w:val="22"/>
                <w:szCs w:val="22"/>
              </w:rPr>
              <w:t xml:space="preserve">zásad zpracování práce a </w:t>
            </w:r>
            <w:r w:rsidRPr="005A3144">
              <w:rPr>
                <w:sz w:val="22"/>
                <w:szCs w:val="22"/>
              </w:rPr>
              <w:t>naplnění stanoveného</w:t>
            </w:r>
            <w:r>
              <w:rPr>
                <w:sz w:val="22"/>
                <w:szCs w:val="22"/>
              </w:rPr>
              <w:t xml:space="preserve"> cíle</w:t>
            </w:r>
          </w:p>
        </w:tc>
        <w:tc>
          <w:tcPr>
            <w:tcW w:w="1477" w:type="dxa"/>
            <w:vMerge w:val="restart"/>
            <w:tcBorders>
              <w:top w:val="single" w:sz="4" w:space="0" w:color="auto"/>
              <w:left w:val="single" w:sz="2" w:space="0" w:color="auto"/>
              <w:right w:val="double" w:sz="4" w:space="0" w:color="auto"/>
            </w:tcBorders>
            <w:vAlign w:val="center"/>
          </w:tcPr>
          <w:p w:rsidR="00251D2F" w:rsidRDefault="0049311E" w:rsidP="00FA23BB">
            <w:pPr>
              <w:jc w:val="center"/>
              <w:rPr>
                <w:b/>
              </w:rPr>
            </w:pPr>
            <w:r>
              <w:rPr>
                <w:b/>
              </w:rPr>
              <w:t>2</w:t>
            </w:r>
          </w:p>
        </w:tc>
      </w:tr>
      <w:tr w:rsidR="00251D2F" w:rsidTr="001805BC">
        <w:trPr>
          <w:trHeight w:val="397"/>
        </w:trPr>
        <w:tc>
          <w:tcPr>
            <w:tcW w:w="2160" w:type="dxa"/>
            <w:vMerge/>
            <w:tcBorders>
              <w:top w:val="single" w:sz="4" w:space="0" w:color="auto"/>
              <w:left w:val="single" w:sz="4" w:space="0" w:color="auto"/>
              <w:bottom w:val="single" w:sz="4" w:space="0" w:color="auto"/>
              <w:right w:val="single" w:sz="4" w:space="0" w:color="auto"/>
            </w:tcBorders>
            <w:shd w:val="clear" w:color="auto" w:fill="E0E0E0"/>
            <w:vAlign w:val="center"/>
          </w:tcPr>
          <w:p w:rsidR="00251D2F" w:rsidRPr="00314626" w:rsidRDefault="00251D2F" w:rsidP="00314626">
            <w:pPr>
              <w:rPr>
                <w:sz w:val="22"/>
                <w:szCs w:val="22"/>
              </w:rPr>
            </w:pPr>
          </w:p>
        </w:tc>
        <w:tc>
          <w:tcPr>
            <w:tcW w:w="7364" w:type="dxa"/>
            <w:tcBorders>
              <w:top w:val="single" w:sz="4" w:space="0" w:color="auto"/>
              <w:left w:val="single" w:sz="4" w:space="0" w:color="auto"/>
              <w:bottom w:val="single" w:sz="4" w:space="0" w:color="auto"/>
              <w:right w:val="single" w:sz="2" w:space="0" w:color="auto"/>
            </w:tcBorders>
          </w:tcPr>
          <w:p w:rsidR="00251D2F" w:rsidRDefault="00251D2F" w:rsidP="009F6951">
            <w:pPr>
              <w:rPr>
                <w:b/>
              </w:rPr>
            </w:pPr>
            <w:r>
              <w:rPr>
                <w:sz w:val="22"/>
                <w:szCs w:val="22"/>
              </w:rPr>
              <w:t>Logická struktura práce</w:t>
            </w:r>
          </w:p>
        </w:tc>
        <w:tc>
          <w:tcPr>
            <w:tcW w:w="1477" w:type="dxa"/>
            <w:vMerge/>
            <w:tcBorders>
              <w:left w:val="single" w:sz="2" w:space="0" w:color="auto"/>
              <w:right w:val="double" w:sz="4" w:space="0" w:color="auto"/>
            </w:tcBorders>
            <w:vAlign w:val="center"/>
          </w:tcPr>
          <w:p w:rsidR="00251D2F" w:rsidRDefault="00251D2F" w:rsidP="00FA23BB">
            <w:pPr>
              <w:jc w:val="center"/>
              <w:rPr>
                <w:b/>
              </w:rPr>
            </w:pPr>
          </w:p>
        </w:tc>
      </w:tr>
      <w:tr w:rsidR="00251D2F" w:rsidTr="001805BC">
        <w:trPr>
          <w:trHeight w:val="397"/>
        </w:trPr>
        <w:tc>
          <w:tcPr>
            <w:tcW w:w="2160" w:type="dxa"/>
            <w:vMerge/>
            <w:tcBorders>
              <w:top w:val="single" w:sz="4" w:space="0" w:color="auto"/>
              <w:left w:val="single" w:sz="4" w:space="0" w:color="auto"/>
              <w:bottom w:val="single" w:sz="4" w:space="0" w:color="auto"/>
              <w:right w:val="single" w:sz="4" w:space="0" w:color="auto"/>
            </w:tcBorders>
            <w:shd w:val="clear" w:color="auto" w:fill="E0E0E0"/>
            <w:vAlign w:val="center"/>
          </w:tcPr>
          <w:p w:rsidR="00251D2F" w:rsidRDefault="00251D2F" w:rsidP="00314626">
            <w:pPr>
              <w:rPr>
                <w:sz w:val="22"/>
                <w:szCs w:val="22"/>
              </w:rPr>
            </w:pPr>
          </w:p>
        </w:tc>
        <w:tc>
          <w:tcPr>
            <w:tcW w:w="7364" w:type="dxa"/>
            <w:tcBorders>
              <w:top w:val="single" w:sz="4" w:space="0" w:color="auto"/>
              <w:left w:val="single" w:sz="4" w:space="0" w:color="auto"/>
              <w:bottom w:val="single" w:sz="4" w:space="0" w:color="auto"/>
              <w:right w:val="single" w:sz="2" w:space="0" w:color="auto"/>
            </w:tcBorders>
          </w:tcPr>
          <w:p w:rsidR="00251D2F" w:rsidRDefault="00251D2F" w:rsidP="009F6951">
            <w:pPr>
              <w:rPr>
                <w:b/>
              </w:rPr>
            </w:pPr>
            <w:r>
              <w:rPr>
                <w:sz w:val="22"/>
                <w:szCs w:val="22"/>
              </w:rPr>
              <w:t>Vyváženost teoretické a praktické části</w:t>
            </w:r>
          </w:p>
        </w:tc>
        <w:tc>
          <w:tcPr>
            <w:tcW w:w="1477" w:type="dxa"/>
            <w:vMerge/>
            <w:tcBorders>
              <w:left w:val="single" w:sz="2" w:space="0" w:color="auto"/>
              <w:bottom w:val="single" w:sz="4" w:space="0" w:color="auto"/>
              <w:right w:val="double" w:sz="4" w:space="0" w:color="auto"/>
            </w:tcBorders>
            <w:vAlign w:val="center"/>
          </w:tcPr>
          <w:p w:rsidR="00251D2F" w:rsidRDefault="00251D2F" w:rsidP="00FA23BB">
            <w:pPr>
              <w:jc w:val="center"/>
              <w:rPr>
                <w:b/>
              </w:rPr>
            </w:pPr>
          </w:p>
        </w:tc>
      </w:tr>
      <w:tr w:rsidR="00251D2F" w:rsidTr="00251D2F">
        <w:trPr>
          <w:trHeight w:val="397"/>
        </w:trPr>
        <w:tc>
          <w:tcPr>
            <w:tcW w:w="2160" w:type="dxa"/>
            <w:vMerge w:val="restart"/>
            <w:tcBorders>
              <w:top w:val="single" w:sz="4" w:space="0" w:color="auto"/>
              <w:left w:val="double" w:sz="4" w:space="0" w:color="auto"/>
              <w:bottom w:val="single" w:sz="4" w:space="0" w:color="auto"/>
              <w:right w:val="single" w:sz="2" w:space="0" w:color="auto"/>
            </w:tcBorders>
            <w:shd w:val="clear" w:color="auto" w:fill="E0E0E0"/>
            <w:vAlign w:val="center"/>
          </w:tcPr>
          <w:p w:rsidR="00251D2F" w:rsidRPr="00BC2CA4" w:rsidRDefault="00251D2F" w:rsidP="009F5166">
            <w:pPr>
              <w:jc w:val="center"/>
              <w:rPr>
                <w:b/>
              </w:rPr>
            </w:pPr>
            <w:r w:rsidRPr="005A3144">
              <w:rPr>
                <w:b/>
              </w:rPr>
              <w:t xml:space="preserve">Teoretická část </w:t>
            </w:r>
          </w:p>
        </w:tc>
        <w:tc>
          <w:tcPr>
            <w:tcW w:w="7364" w:type="dxa"/>
            <w:tcBorders>
              <w:top w:val="single" w:sz="4" w:space="0" w:color="auto"/>
              <w:left w:val="single" w:sz="2" w:space="0" w:color="auto"/>
              <w:bottom w:val="single" w:sz="4" w:space="0" w:color="auto"/>
              <w:right w:val="single" w:sz="2" w:space="0" w:color="auto"/>
            </w:tcBorders>
          </w:tcPr>
          <w:p w:rsidR="00251D2F" w:rsidRDefault="005B2528" w:rsidP="009F6951">
            <w:pPr>
              <w:rPr>
                <w:b/>
              </w:rPr>
            </w:pPr>
            <w:r>
              <w:rPr>
                <w:sz w:val="22"/>
                <w:szCs w:val="22"/>
              </w:rPr>
              <w:t>Kvalita uvedení do širšího kontextu</w:t>
            </w:r>
            <w:r w:rsidR="00F734BD">
              <w:rPr>
                <w:sz w:val="22"/>
                <w:szCs w:val="22"/>
              </w:rPr>
              <w:t xml:space="preserve"> </w:t>
            </w:r>
          </w:p>
        </w:tc>
        <w:tc>
          <w:tcPr>
            <w:tcW w:w="1477" w:type="dxa"/>
            <w:vMerge w:val="restart"/>
            <w:tcBorders>
              <w:top w:val="single" w:sz="4" w:space="0" w:color="auto"/>
              <w:left w:val="single" w:sz="2" w:space="0" w:color="auto"/>
              <w:right w:val="double" w:sz="4" w:space="0" w:color="auto"/>
            </w:tcBorders>
            <w:vAlign w:val="center"/>
          </w:tcPr>
          <w:p w:rsidR="00251D2F" w:rsidRDefault="0049311E" w:rsidP="00FA23BB">
            <w:pPr>
              <w:jc w:val="center"/>
              <w:rPr>
                <w:b/>
              </w:rPr>
            </w:pPr>
            <w:r>
              <w:rPr>
                <w:b/>
              </w:rPr>
              <w:t>3</w:t>
            </w:r>
            <w:r w:rsidR="006266B0">
              <w:rPr>
                <w:b/>
              </w:rPr>
              <w:t xml:space="preserve"> </w:t>
            </w:r>
          </w:p>
        </w:tc>
      </w:tr>
      <w:tr w:rsidR="00251D2F" w:rsidTr="00251D2F">
        <w:trPr>
          <w:trHeight w:val="397"/>
        </w:trPr>
        <w:tc>
          <w:tcPr>
            <w:tcW w:w="2160" w:type="dxa"/>
            <w:vMerge/>
            <w:tcBorders>
              <w:top w:val="single" w:sz="4" w:space="0" w:color="auto"/>
              <w:left w:val="double" w:sz="4" w:space="0" w:color="auto"/>
              <w:bottom w:val="single" w:sz="4" w:space="0" w:color="auto"/>
              <w:right w:val="single" w:sz="2" w:space="0" w:color="auto"/>
            </w:tcBorders>
            <w:shd w:val="clear" w:color="auto" w:fill="E0E0E0"/>
            <w:vAlign w:val="center"/>
          </w:tcPr>
          <w:p w:rsidR="00251D2F" w:rsidRDefault="00251D2F" w:rsidP="009F5166">
            <w:pPr>
              <w:rPr>
                <w:sz w:val="22"/>
                <w:szCs w:val="22"/>
              </w:rPr>
            </w:pPr>
          </w:p>
        </w:tc>
        <w:tc>
          <w:tcPr>
            <w:tcW w:w="7364" w:type="dxa"/>
            <w:tcBorders>
              <w:top w:val="single" w:sz="4" w:space="0" w:color="auto"/>
              <w:left w:val="single" w:sz="2" w:space="0" w:color="auto"/>
              <w:bottom w:val="single" w:sz="4" w:space="0" w:color="auto"/>
              <w:right w:val="single" w:sz="2" w:space="0" w:color="auto"/>
            </w:tcBorders>
          </w:tcPr>
          <w:p w:rsidR="00251D2F" w:rsidRPr="00DD787F" w:rsidRDefault="005B2528" w:rsidP="009F6951">
            <w:r w:rsidRPr="00DD787F">
              <w:rPr>
                <w:sz w:val="22"/>
                <w:szCs w:val="22"/>
              </w:rPr>
              <w:t>Tematická relevance teoretického úvodu k cíli práce</w:t>
            </w:r>
          </w:p>
        </w:tc>
        <w:tc>
          <w:tcPr>
            <w:tcW w:w="1477" w:type="dxa"/>
            <w:vMerge/>
            <w:tcBorders>
              <w:left w:val="single" w:sz="2" w:space="0" w:color="auto"/>
              <w:right w:val="double" w:sz="4" w:space="0" w:color="auto"/>
            </w:tcBorders>
            <w:vAlign w:val="center"/>
          </w:tcPr>
          <w:p w:rsidR="00251D2F" w:rsidRDefault="00251D2F" w:rsidP="00FA23BB">
            <w:pPr>
              <w:jc w:val="center"/>
              <w:rPr>
                <w:b/>
              </w:rPr>
            </w:pPr>
          </w:p>
        </w:tc>
      </w:tr>
      <w:tr w:rsidR="00251D2F" w:rsidTr="00251D2F">
        <w:trPr>
          <w:trHeight w:val="397"/>
        </w:trPr>
        <w:tc>
          <w:tcPr>
            <w:tcW w:w="2160" w:type="dxa"/>
            <w:vMerge w:val="restart"/>
            <w:tcBorders>
              <w:top w:val="single" w:sz="4" w:space="0" w:color="auto"/>
              <w:left w:val="double" w:sz="4" w:space="0" w:color="auto"/>
              <w:bottom w:val="single" w:sz="4" w:space="0" w:color="auto"/>
              <w:right w:val="single" w:sz="2" w:space="0" w:color="auto"/>
            </w:tcBorders>
            <w:shd w:val="clear" w:color="auto" w:fill="E0E0E0"/>
            <w:vAlign w:val="center"/>
          </w:tcPr>
          <w:p w:rsidR="00251D2F" w:rsidRDefault="00251D2F" w:rsidP="00FA23BB">
            <w:pPr>
              <w:jc w:val="center"/>
              <w:rPr>
                <w:b/>
              </w:rPr>
            </w:pPr>
            <w:r w:rsidRPr="005A3144">
              <w:rPr>
                <w:b/>
              </w:rPr>
              <w:t xml:space="preserve">Praktická část </w:t>
            </w:r>
          </w:p>
        </w:tc>
        <w:tc>
          <w:tcPr>
            <w:tcW w:w="7364" w:type="dxa"/>
            <w:tcBorders>
              <w:top w:val="single" w:sz="4" w:space="0" w:color="auto"/>
              <w:left w:val="single" w:sz="2" w:space="0" w:color="auto"/>
              <w:bottom w:val="single" w:sz="4" w:space="0" w:color="auto"/>
              <w:right w:val="single" w:sz="2" w:space="0" w:color="auto"/>
            </w:tcBorders>
          </w:tcPr>
          <w:p w:rsidR="00251D2F" w:rsidRDefault="00251D2F" w:rsidP="009F6951">
            <w:pPr>
              <w:rPr>
                <w:b/>
              </w:rPr>
            </w:pPr>
            <w:r w:rsidRPr="009031E0">
              <w:rPr>
                <w:sz w:val="22"/>
                <w:szCs w:val="22"/>
              </w:rPr>
              <w:t xml:space="preserve">Vhodnost </w:t>
            </w:r>
            <w:r w:rsidR="00B134BD">
              <w:rPr>
                <w:sz w:val="22"/>
                <w:szCs w:val="22"/>
              </w:rPr>
              <w:t>využití primárních zdrojů pro podporu/ilustraci argumentace</w:t>
            </w:r>
          </w:p>
        </w:tc>
        <w:tc>
          <w:tcPr>
            <w:tcW w:w="1477" w:type="dxa"/>
            <w:vMerge w:val="restart"/>
            <w:tcBorders>
              <w:top w:val="single" w:sz="4" w:space="0" w:color="auto"/>
              <w:left w:val="single" w:sz="2" w:space="0" w:color="auto"/>
              <w:right w:val="double" w:sz="4" w:space="0" w:color="auto"/>
            </w:tcBorders>
            <w:vAlign w:val="center"/>
          </w:tcPr>
          <w:p w:rsidR="00251D2F" w:rsidRDefault="0049311E" w:rsidP="00FA23BB">
            <w:pPr>
              <w:jc w:val="center"/>
              <w:rPr>
                <w:b/>
              </w:rPr>
            </w:pPr>
            <w:r>
              <w:rPr>
                <w:b/>
              </w:rPr>
              <w:t>2</w:t>
            </w:r>
          </w:p>
        </w:tc>
      </w:tr>
      <w:tr w:rsidR="00251D2F" w:rsidTr="00251D2F">
        <w:trPr>
          <w:trHeight w:val="397"/>
        </w:trPr>
        <w:tc>
          <w:tcPr>
            <w:tcW w:w="2160" w:type="dxa"/>
            <w:vMerge/>
            <w:tcBorders>
              <w:top w:val="single" w:sz="4" w:space="0" w:color="auto"/>
              <w:left w:val="double" w:sz="4" w:space="0" w:color="auto"/>
              <w:bottom w:val="single" w:sz="4" w:space="0" w:color="auto"/>
              <w:right w:val="single" w:sz="2" w:space="0" w:color="auto"/>
            </w:tcBorders>
            <w:shd w:val="clear" w:color="auto" w:fill="E0E0E0"/>
            <w:vAlign w:val="center"/>
          </w:tcPr>
          <w:p w:rsidR="00251D2F" w:rsidRPr="00AA3DB8" w:rsidRDefault="00251D2F" w:rsidP="00FA23BB">
            <w:pPr>
              <w:jc w:val="both"/>
              <w:rPr>
                <w:color w:val="FF0000"/>
                <w:sz w:val="22"/>
                <w:szCs w:val="22"/>
              </w:rPr>
            </w:pPr>
          </w:p>
        </w:tc>
        <w:tc>
          <w:tcPr>
            <w:tcW w:w="7364" w:type="dxa"/>
            <w:tcBorders>
              <w:top w:val="single" w:sz="4" w:space="0" w:color="auto"/>
              <w:left w:val="single" w:sz="2" w:space="0" w:color="auto"/>
              <w:bottom w:val="single" w:sz="4" w:space="0" w:color="auto"/>
              <w:right w:val="single" w:sz="2" w:space="0" w:color="auto"/>
            </w:tcBorders>
          </w:tcPr>
          <w:p w:rsidR="00251D2F" w:rsidRPr="00B134BD" w:rsidRDefault="00B134BD" w:rsidP="009F6951">
            <w:r w:rsidRPr="00B134BD">
              <w:t>Rozsah a hloubka vlastní analýzy</w:t>
            </w:r>
          </w:p>
        </w:tc>
        <w:tc>
          <w:tcPr>
            <w:tcW w:w="1477" w:type="dxa"/>
            <w:vMerge/>
            <w:tcBorders>
              <w:left w:val="single" w:sz="2" w:space="0" w:color="auto"/>
              <w:right w:val="double" w:sz="4" w:space="0" w:color="auto"/>
            </w:tcBorders>
            <w:vAlign w:val="center"/>
          </w:tcPr>
          <w:p w:rsidR="00251D2F" w:rsidRDefault="00251D2F" w:rsidP="00FA23BB">
            <w:pPr>
              <w:jc w:val="center"/>
              <w:rPr>
                <w:b/>
              </w:rPr>
            </w:pPr>
          </w:p>
        </w:tc>
      </w:tr>
      <w:tr w:rsidR="00251D2F" w:rsidTr="00251D2F">
        <w:trPr>
          <w:trHeight w:val="397"/>
        </w:trPr>
        <w:tc>
          <w:tcPr>
            <w:tcW w:w="2160" w:type="dxa"/>
            <w:vMerge/>
            <w:tcBorders>
              <w:top w:val="single" w:sz="4" w:space="0" w:color="auto"/>
              <w:left w:val="double" w:sz="4" w:space="0" w:color="auto"/>
              <w:bottom w:val="single" w:sz="4" w:space="0" w:color="auto"/>
              <w:right w:val="single" w:sz="2" w:space="0" w:color="auto"/>
            </w:tcBorders>
            <w:shd w:val="clear" w:color="auto" w:fill="E0E0E0"/>
            <w:vAlign w:val="center"/>
          </w:tcPr>
          <w:p w:rsidR="00251D2F" w:rsidRPr="00A17BE9" w:rsidRDefault="00251D2F" w:rsidP="00FA23BB">
            <w:pPr>
              <w:jc w:val="both"/>
              <w:rPr>
                <w:sz w:val="22"/>
                <w:szCs w:val="22"/>
              </w:rPr>
            </w:pPr>
          </w:p>
        </w:tc>
        <w:tc>
          <w:tcPr>
            <w:tcW w:w="7364" w:type="dxa"/>
            <w:tcBorders>
              <w:top w:val="single" w:sz="4" w:space="0" w:color="auto"/>
              <w:left w:val="single" w:sz="2" w:space="0" w:color="auto"/>
              <w:bottom w:val="single" w:sz="4" w:space="0" w:color="auto"/>
              <w:right w:val="single" w:sz="2" w:space="0" w:color="auto"/>
            </w:tcBorders>
          </w:tcPr>
          <w:p w:rsidR="00251D2F" w:rsidRDefault="00251D2F" w:rsidP="009F6951">
            <w:pPr>
              <w:rPr>
                <w:b/>
              </w:rPr>
            </w:pPr>
            <w:r>
              <w:rPr>
                <w:sz w:val="22"/>
                <w:szCs w:val="22"/>
              </w:rPr>
              <w:t xml:space="preserve">Relevantní a srozumitelná argumentace </w:t>
            </w:r>
            <w:r w:rsidRPr="005A3144">
              <w:rPr>
                <w:sz w:val="22"/>
                <w:szCs w:val="22"/>
              </w:rPr>
              <w:t xml:space="preserve">a interpretace </w:t>
            </w:r>
          </w:p>
        </w:tc>
        <w:tc>
          <w:tcPr>
            <w:tcW w:w="1477" w:type="dxa"/>
            <w:vMerge/>
            <w:tcBorders>
              <w:left w:val="single" w:sz="2" w:space="0" w:color="auto"/>
              <w:bottom w:val="single" w:sz="4" w:space="0" w:color="auto"/>
              <w:right w:val="double" w:sz="4" w:space="0" w:color="auto"/>
            </w:tcBorders>
            <w:vAlign w:val="center"/>
          </w:tcPr>
          <w:p w:rsidR="00251D2F" w:rsidRDefault="00251D2F" w:rsidP="00FA23BB">
            <w:pPr>
              <w:jc w:val="center"/>
              <w:rPr>
                <w:b/>
              </w:rPr>
            </w:pPr>
          </w:p>
        </w:tc>
      </w:tr>
      <w:tr w:rsidR="00251D2F" w:rsidTr="00251D2F">
        <w:trPr>
          <w:trHeight w:val="397"/>
        </w:trPr>
        <w:tc>
          <w:tcPr>
            <w:tcW w:w="2160" w:type="dxa"/>
            <w:vMerge w:val="restart"/>
            <w:tcBorders>
              <w:top w:val="single" w:sz="4" w:space="0" w:color="auto"/>
              <w:left w:val="double" w:sz="4" w:space="0" w:color="auto"/>
              <w:bottom w:val="single" w:sz="4" w:space="0" w:color="auto"/>
              <w:right w:val="single" w:sz="2" w:space="0" w:color="auto"/>
            </w:tcBorders>
            <w:shd w:val="clear" w:color="auto" w:fill="E0E0E0"/>
            <w:vAlign w:val="center"/>
          </w:tcPr>
          <w:p w:rsidR="00251D2F" w:rsidRDefault="00251D2F" w:rsidP="00FA23BB">
            <w:pPr>
              <w:jc w:val="center"/>
              <w:rPr>
                <w:b/>
              </w:rPr>
            </w:pPr>
            <w:r>
              <w:rPr>
                <w:b/>
              </w:rPr>
              <w:t>Práce s odbornou literaturou</w:t>
            </w:r>
          </w:p>
        </w:tc>
        <w:tc>
          <w:tcPr>
            <w:tcW w:w="7364" w:type="dxa"/>
            <w:tcBorders>
              <w:top w:val="single" w:sz="4" w:space="0" w:color="auto"/>
              <w:left w:val="single" w:sz="2" w:space="0" w:color="auto"/>
              <w:bottom w:val="single" w:sz="4" w:space="0" w:color="auto"/>
              <w:right w:val="single" w:sz="2" w:space="0" w:color="auto"/>
            </w:tcBorders>
          </w:tcPr>
          <w:p w:rsidR="00251D2F" w:rsidRDefault="00251D2F" w:rsidP="009F6951">
            <w:pPr>
              <w:rPr>
                <w:b/>
              </w:rPr>
            </w:pPr>
            <w:r>
              <w:rPr>
                <w:sz w:val="22"/>
                <w:szCs w:val="22"/>
              </w:rPr>
              <w:t>Kvalita, m</w:t>
            </w:r>
            <w:r w:rsidRPr="00BC2CA4">
              <w:rPr>
                <w:sz w:val="22"/>
                <w:szCs w:val="22"/>
              </w:rPr>
              <w:t xml:space="preserve">nožství </w:t>
            </w:r>
            <w:r>
              <w:rPr>
                <w:sz w:val="22"/>
                <w:szCs w:val="22"/>
              </w:rPr>
              <w:t xml:space="preserve">a relevance </w:t>
            </w:r>
            <w:r w:rsidRPr="00BC2CA4">
              <w:rPr>
                <w:sz w:val="22"/>
                <w:szCs w:val="22"/>
              </w:rPr>
              <w:t>zpracované literatury</w:t>
            </w:r>
          </w:p>
        </w:tc>
        <w:tc>
          <w:tcPr>
            <w:tcW w:w="1477" w:type="dxa"/>
            <w:vMerge w:val="restart"/>
            <w:tcBorders>
              <w:top w:val="single" w:sz="4" w:space="0" w:color="auto"/>
              <w:left w:val="single" w:sz="2" w:space="0" w:color="auto"/>
              <w:right w:val="double" w:sz="4" w:space="0" w:color="auto"/>
            </w:tcBorders>
            <w:vAlign w:val="center"/>
          </w:tcPr>
          <w:p w:rsidR="00251D2F" w:rsidRDefault="0049311E" w:rsidP="00FA23BB">
            <w:pPr>
              <w:jc w:val="center"/>
              <w:rPr>
                <w:b/>
              </w:rPr>
            </w:pPr>
            <w:r>
              <w:rPr>
                <w:b/>
              </w:rPr>
              <w:t>2</w:t>
            </w:r>
          </w:p>
        </w:tc>
      </w:tr>
      <w:tr w:rsidR="00251D2F" w:rsidTr="00251D2F">
        <w:trPr>
          <w:trHeight w:val="397"/>
        </w:trPr>
        <w:tc>
          <w:tcPr>
            <w:tcW w:w="2160" w:type="dxa"/>
            <w:vMerge/>
            <w:tcBorders>
              <w:top w:val="single" w:sz="4" w:space="0" w:color="auto"/>
              <w:left w:val="double" w:sz="4" w:space="0" w:color="auto"/>
              <w:bottom w:val="single" w:sz="4" w:space="0" w:color="auto"/>
              <w:right w:val="single" w:sz="2" w:space="0" w:color="auto"/>
            </w:tcBorders>
            <w:shd w:val="clear" w:color="auto" w:fill="E0E0E0"/>
            <w:vAlign w:val="center"/>
          </w:tcPr>
          <w:p w:rsidR="00251D2F" w:rsidRDefault="00251D2F" w:rsidP="00FA23BB">
            <w:pPr>
              <w:jc w:val="both"/>
              <w:rPr>
                <w:sz w:val="22"/>
                <w:szCs w:val="22"/>
              </w:rPr>
            </w:pPr>
          </w:p>
        </w:tc>
        <w:tc>
          <w:tcPr>
            <w:tcW w:w="7364" w:type="dxa"/>
            <w:tcBorders>
              <w:top w:val="single" w:sz="4" w:space="0" w:color="auto"/>
              <w:left w:val="single" w:sz="2" w:space="0" w:color="auto"/>
              <w:bottom w:val="single" w:sz="4" w:space="0" w:color="auto"/>
              <w:right w:val="single" w:sz="2" w:space="0" w:color="auto"/>
            </w:tcBorders>
          </w:tcPr>
          <w:p w:rsidR="00251D2F" w:rsidRDefault="00251D2F" w:rsidP="009F6951">
            <w:pPr>
              <w:rPr>
                <w:b/>
              </w:rPr>
            </w:pPr>
            <w:r w:rsidRPr="00BC2CA4">
              <w:rPr>
                <w:sz w:val="22"/>
                <w:szCs w:val="22"/>
              </w:rPr>
              <w:t>Kritický přístup ke zdrojům</w:t>
            </w:r>
          </w:p>
        </w:tc>
        <w:tc>
          <w:tcPr>
            <w:tcW w:w="1477" w:type="dxa"/>
            <w:vMerge/>
            <w:tcBorders>
              <w:left w:val="single" w:sz="2" w:space="0" w:color="auto"/>
              <w:bottom w:val="single" w:sz="4" w:space="0" w:color="auto"/>
              <w:right w:val="double" w:sz="4" w:space="0" w:color="auto"/>
            </w:tcBorders>
            <w:vAlign w:val="center"/>
          </w:tcPr>
          <w:p w:rsidR="00251D2F" w:rsidRDefault="00251D2F" w:rsidP="00FA23BB">
            <w:pPr>
              <w:jc w:val="center"/>
              <w:rPr>
                <w:b/>
              </w:rPr>
            </w:pPr>
          </w:p>
        </w:tc>
      </w:tr>
      <w:tr w:rsidR="00251D2F" w:rsidTr="00251D2F">
        <w:trPr>
          <w:trHeight w:val="397"/>
        </w:trPr>
        <w:tc>
          <w:tcPr>
            <w:tcW w:w="2160" w:type="dxa"/>
            <w:vMerge w:val="restart"/>
            <w:tcBorders>
              <w:top w:val="single" w:sz="4" w:space="0" w:color="auto"/>
              <w:left w:val="double" w:sz="4" w:space="0" w:color="auto"/>
              <w:bottom w:val="single" w:sz="4" w:space="0" w:color="auto"/>
              <w:right w:val="single" w:sz="2" w:space="0" w:color="auto"/>
            </w:tcBorders>
            <w:shd w:val="clear" w:color="auto" w:fill="E0E0E0"/>
            <w:vAlign w:val="center"/>
          </w:tcPr>
          <w:p w:rsidR="00251D2F" w:rsidRDefault="00251D2F" w:rsidP="00FA23BB">
            <w:pPr>
              <w:jc w:val="center"/>
              <w:rPr>
                <w:b/>
              </w:rPr>
            </w:pPr>
            <w:r>
              <w:rPr>
                <w:b/>
              </w:rPr>
              <w:t>Formální stránka</w:t>
            </w:r>
          </w:p>
        </w:tc>
        <w:tc>
          <w:tcPr>
            <w:tcW w:w="7364" w:type="dxa"/>
            <w:tcBorders>
              <w:top w:val="single" w:sz="4" w:space="0" w:color="auto"/>
              <w:left w:val="single" w:sz="2" w:space="0" w:color="auto"/>
              <w:bottom w:val="single" w:sz="4" w:space="0" w:color="auto"/>
              <w:right w:val="single" w:sz="2" w:space="0" w:color="auto"/>
            </w:tcBorders>
          </w:tcPr>
          <w:p w:rsidR="00251D2F" w:rsidRDefault="00251D2F" w:rsidP="009F6951">
            <w:pPr>
              <w:rPr>
                <w:b/>
              </w:rPr>
            </w:pPr>
            <w:r>
              <w:rPr>
                <w:sz w:val="22"/>
                <w:szCs w:val="22"/>
              </w:rPr>
              <w:t>Dodržení doporučených pravidel a norem formální úpravy (směrnice FF UPa)</w:t>
            </w:r>
          </w:p>
        </w:tc>
        <w:tc>
          <w:tcPr>
            <w:tcW w:w="1477" w:type="dxa"/>
            <w:vMerge w:val="restart"/>
            <w:tcBorders>
              <w:top w:val="single" w:sz="4" w:space="0" w:color="auto"/>
              <w:left w:val="single" w:sz="2" w:space="0" w:color="auto"/>
              <w:right w:val="double" w:sz="4" w:space="0" w:color="auto"/>
            </w:tcBorders>
            <w:vAlign w:val="center"/>
          </w:tcPr>
          <w:p w:rsidR="00251D2F" w:rsidRDefault="0049311E" w:rsidP="00FA23BB">
            <w:pPr>
              <w:jc w:val="center"/>
              <w:rPr>
                <w:b/>
              </w:rPr>
            </w:pPr>
            <w:r>
              <w:rPr>
                <w:b/>
              </w:rPr>
              <w:t>2</w:t>
            </w:r>
          </w:p>
        </w:tc>
      </w:tr>
      <w:tr w:rsidR="00251D2F" w:rsidTr="00251D2F">
        <w:trPr>
          <w:trHeight w:val="397"/>
        </w:trPr>
        <w:tc>
          <w:tcPr>
            <w:tcW w:w="2160" w:type="dxa"/>
            <w:vMerge/>
            <w:tcBorders>
              <w:top w:val="single" w:sz="4" w:space="0" w:color="auto"/>
              <w:left w:val="double" w:sz="4" w:space="0" w:color="auto"/>
              <w:bottom w:val="single" w:sz="4" w:space="0" w:color="auto"/>
              <w:right w:val="single" w:sz="2" w:space="0" w:color="auto"/>
            </w:tcBorders>
            <w:shd w:val="clear" w:color="auto" w:fill="E0E0E0"/>
            <w:vAlign w:val="center"/>
          </w:tcPr>
          <w:p w:rsidR="00251D2F" w:rsidRDefault="00251D2F" w:rsidP="00FA23BB">
            <w:pPr>
              <w:jc w:val="both"/>
              <w:rPr>
                <w:sz w:val="22"/>
                <w:szCs w:val="22"/>
              </w:rPr>
            </w:pPr>
          </w:p>
        </w:tc>
        <w:tc>
          <w:tcPr>
            <w:tcW w:w="7364" w:type="dxa"/>
            <w:tcBorders>
              <w:top w:val="single" w:sz="4" w:space="0" w:color="auto"/>
              <w:left w:val="single" w:sz="2" w:space="0" w:color="auto"/>
              <w:bottom w:val="single" w:sz="4" w:space="0" w:color="auto"/>
              <w:right w:val="single" w:sz="2" w:space="0" w:color="auto"/>
            </w:tcBorders>
          </w:tcPr>
          <w:p w:rsidR="00251D2F" w:rsidRDefault="00251D2F" w:rsidP="004A68B9">
            <w:pPr>
              <w:rPr>
                <w:b/>
              </w:rPr>
            </w:pPr>
            <w:r>
              <w:rPr>
                <w:sz w:val="22"/>
                <w:szCs w:val="22"/>
              </w:rPr>
              <w:t>Kvalita vědeckého aparátu, příloh, tabulek a obrázků</w:t>
            </w:r>
          </w:p>
        </w:tc>
        <w:tc>
          <w:tcPr>
            <w:tcW w:w="1477" w:type="dxa"/>
            <w:vMerge/>
            <w:tcBorders>
              <w:left w:val="single" w:sz="2" w:space="0" w:color="auto"/>
              <w:right w:val="double" w:sz="4" w:space="0" w:color="auto"/>
            </w:tcBorders>
            <w:vAlign w:val="center"/>
          </w:tcPr>
          <w:p w:rsidR="00251D2F" w:rsidRDefault="00251D2F" w:rsidP="00FA23BB">
            <w:pPr>
              <w:jc w:val="center"/>
              <w:rPr>
                <w:b/>
              </w:rPr>
            </w:pPr>
          </w:p>
        </w:tc>
      </w:tr>
      <w:tr w:rsidR="00251D2F" w:rsidTr="00251D2F">
        <w:trPr>
          <w:trHeight w:val="397"/>
        </w:trPr>
        <w:tc>
          <w:tcPr>
            <w:tcW w:w="2160" w:type="dxa"/>
            <w:vMerge/>
            <w:tcBorders>
              <w:top w:val="single" w:sz="4" w:space="0" w:color="auto"/>
              <w:left w:val="double" w:sz="4" w:space="0" w:color="auto"/>
              <w:bottom w:val="single" w:sz="4" w:space="0" w:color="auto"/>
              <w:right w:val="single" w:sz="2" w:space="0" w:color="auto"/>
            </w:tcBorders>
            <w:shd w:val="clear" w:color="auto" w:fill="E0E0E0"/>
            <w:vAlign w:val="center"/>
          </w:tcPr>
          <w:p w:rsidR="00251D2F" w:rsidRDefault="00251D2F" w:rsidP="00FA23BB"/>
        </w:tc>
        <w:tc>
          <w:tcPr>
            <w:tcW w:w="7364" w:type="dxa"/>
            <w:tcBorders>
              <w:top w:val="single" w:sz="4" w:space="0" w:color="auto"/>
              <w:left w:val="single" w:sz="2" w:space="0" w:color="auto"/>
              <w:bottom w:val="single" w:sz="4" w:space="0" w:color="auto"/>
              <w:right w:val="single" w:sz="2" w:space="0" w:color="auto"/>
            </w:tcBorders>
          </w:tcPr>
          <w:p w:rsidR="00251D2F" w:rsidRDefault="00251D2F" w:rsidP="009F6951">
            <w:r>
              <w:rPr>
                <w:sz w:val="22"/>
                <w:szCs w:val="22"/>
              </w:rPr>
              <w:t>Dodržení bibliografických norem ČSN ISO 690</w:t>
            </w:r>
          </w:p>
        </w:tc>
        <w:tc>
          <w:tcPr>
            <w:tcW w:w="1477" w:type="dxa"/>
            <w:vMerge/>
            <w:tcBorders>
              <w:left w:val="single" w:sz="2" w:space="0" w:color="auto"/>
              <w:bottom w:val="single" w:sz="4" w:space="0" w:color="auto"/>
              <w:right w:val="double" w:sz="4" w:space="0" w:color="auto"/>
            </w:tcBorders>
          </w:tcPr>
          <w:p w:rsidR="00251D2F" w:rsidRDefault="00251D2F" w:rsidP="00FA23BB"/>
        </w:tc>
      </w:tr>
      <w:tr w:rsidR="00251D2F" w:rsidTr="00251D2F">
        <w:trPr>
          <w:trHeight w:val="397"/>
        </w:trPr>
        <w:tc>
          <w:tcPr>
            <w:tcW w:w="2160" w:type="dxa"/>
            <w:vMerge w:val="restart"/>
            <w:tcBorders>
              <w:top w:val="single" w:sz="4" w:space="0" w:color="auto"/>
              <w:left w:val="double" w:sz="4" w:space="0" w:color="auto"/>
              <w:bottom w:val="single" w:sz="4" w:space="0" w:color="auto"/>
              <w:right w:val="single" w:sz="2" w:space="0" w:color="auto"/>
            </w:tcBorders>
            <w:shd w:val="clear" w:color="auto" w:fill="E0E0E0"/>
            <w:vAlign w:val="center"/>
          </w:tcPr>
          <w:p w:rsidR="00A353BA" w:rsidRDefault="00251D2F" w:rsidP="006D564B">
            <w:pPr>
              <w:jc w:val="center"/>
              <w:rPr>
                <w:b/>
              </w:rPr>
            </w:pPr>
            <w:r w:rsidRPr="00557689">
              <w:rPr>
                <w:b/>
              </w:rPr>
              <w:t>Jazyková úroveň</w:t>
            </w:r>
          </w:p>
          <w:p w:rsidR="00251D2F" w:rsidRPr="00557689" w:rsidRDefault="00251D2F" w:rsidP="006D564B">
            <w:pPr>
              <w:jc w:val="center"/>
              <w:rPr>
                <w:b/>
              </w:rPr>
            </w:pPr>
          </w:p>
        </w:tc>
        <w:tc>
          <w:tcPr>
            <w:tcW w:w="7364" w:type="dxa"/>
            <w:tcBorders>
              <w:top w:val="single" w:sz="4" w:space="0" w:color="auto"/>
              <w:left w:val="single" w:sz="2" w:space="0" w:color="auto"/>
              <w:bottom w:val="single" w:sz="4" w:space="0" w:color="auto"/>
              <w:right w:val="single" w:sz="2" w:space="0" w:color="auto"/>
            </w:tcBorders>
          </w:tcPr>
          <w:p w:rsidR="00251D2F" w:rsidRDefault="00251D2F" w:rsidP="009F6951">
            <w:pPr>
              <w:rPr>
                <w:b/>
              </w:rPr>
            </w:pPr>
            <w:r>
              <w:rPr>
                <w:sz w:val="22"/>
                <w:szCs w:val="22"/>
              </w:rPr>
              <w:t>Gramatická přesnost a komplexnost</w:t>
            </w:r>
          </w:p>
        </w:tc>
        <w:tc>
          <w:tcPr>
            <w:tcW w:w="1477" w:type="dxa"/>
            <w:vMerge w:val="restart"/>
            <w:tcBorders>
              <w:top w:val="single" w:sz="4" w:space="0" w:color="auto"/>
              <w:left w:val="single" w:sz="2" w:space="0" w:color="auto"/>
              <w:right w:val="double" w:sz="4" w:space="0" w:color="auto"/>
            </w:tcBorders>
            <w:vAlign w:val="center"/>
          </w:tcPr>
          <w:p w:rsidR="00251D2F" w:rsidRDefault="00424B53" w:rsidP="00FA23BB">
            <w:pPr>
              <w:jc w:val="center"/>
              <w:rPr>
                <w:b/>
              </w:rPr>
            </w:pPr>
            <w:r>
              <w:rPr>
                <w:b/>
              </w:rPr>
              <w:t>2</w:t>
            </w:r>
          </w:p>
          <w:p w:rsidR="00A353BA" w:rsidRPr="00A353BA" w:rsidRDefault="00A353BA" w:rsidP="00FA23BB">
            <w:pPr>
              <w:jc w:val="center"/>
              <w:rPr>
                <w:b/>
                <w:sz w:val="20"/>
                <w:szCs w:val="20"/>
              </w:rPr>
            </w:pPr>
          </w:p>
        </w:tc>
      </w:tr>
      <w:tr w:rsidR="00251D2F" w:rsidTr="00251D2F">
        <w:trPr>
          <w:trHeight w:val="397"/>
        </w:trPr>
        <w:tc>
          <w:tcPr>
            <w:tcW w:w="2160" w:type="dxa"/>
            <w:vMerge/>
            <w:tcBorders>
              <w:top w:val="single" w:sz="4" w:space="0" w:color="auto"/>
              <w:left w:val="double" w:sz="4" w:space="0" w:color="auto"/>
              <w:bottom w:val="single" w:sz="4" w:space="0" w:color="auto"/>
              <w:right w:val="single" w:sz="2" w:space="0" w:color="auto"/>
            </w:tcBorders>
            <w:shd w:val="clear" w:color="auto" w:fill="E0E0E0"/>
            <w:vAlign w:val="center"/>
          </w:tcPr>
          <w:p w:rsidR="00251D2F" w:rsidRDefault="00251D2F" w:rsidP="00FA23BB">
            <w:pPr>
              <w:jc w:val="both"/>
              <w:rPr>
                <w:sz w:val="22"/>
                <w:szCs w:val="22"/>
              </w:rPr>
            </w:pPr>
          </w:p>
        </w:tc>
        <w:tc>
          <w:tcPr>
            <w:tcW w:w="7364" w:type="dxa"/>
            <w:tcBorders>
              <w:top w:val="single" w:sz="4" w:space="0" w:color="auto"/>
              <w:left w:val="single" w:sz="2" w:space="0" w:color="auto"/>
              <w:bottom w:val="single" w:sz="4" w:space="0" w:color="auto"/>
              <w:right w:val="single" w:sz="2" w:space="0" w:color="auto"/>
            </w:tcBorders>
          </w:tcPr>
          <w:p w:rsidR="00251D2F" w:rsidRDefault="00251D2F" w:rsidP="009F6951">
            <w:pPr>
              <w:rPr>
                <w:b/>
              </w:rPr>
            </w:pPr>
            <w:r>
              <w:rPr>
                <w:sz w:val="22"/>
                <w:szCs w:val="22"/>
              </w:rPr>
              <w:t>Slovní zásoba</w:t>
            </w:r>
          </w:p>
        </w:tc>
        <w:tc>
          <w:tcPr>
            <w:tcW w:w="1477" w:type="dxa"/>
            <w:vMerge/>
            <w:tcBorders>
              <w:left w:val="single" w:sz="2" w:space="0" w:color="auto"/>
              <w:right w:val="double" w:sz="4" w:space="0" w:color="auto"/>
            </w:tcBorders>
            <w:vAlign w:val="center"/>
          </w:tcPr>
          <w:p w:rsidR="00251D2F" w:rsidRDefault="00251D2F" w:rsidP="00FA23BB">
            <w:pPr>
              <w:jc w:val="center"/>
              <w:rPr>
                <w:b/>
              </w:rPr>
            </w:pPr>
          </w:p>
        </w:tc>
      </w:tr>
      <w:tr w:rsidR="00251D2F" w:rsidTr="00251D2F">
        <w:trPr>
          <w:trHeight w:val="397"/>
        </w:trPr>
        <w:tc>
          <w:tcPr>
            <w:tcW w:w="2160" w:type="dxa"/>
            <w:vMerge/>
            <w:tcBorders>
              <w:top w:val="single" w:sz="4" w:space="0" w:color="auto"/>
              <w:left w:val="double" w:sz="4" w:space="0" w:color="auto"/>
              <w:bottom w:val="single" w:sz="4" w:space="0" w:color="auto"/>
              <w:right w:val="single" w:sz="2" w:space="0" w:color="auto"/>
            </w:tcBorders>
            <w:shd w:val="clear" w:color="auto" w:fill="E0E0E0"/>
            <w:vAlign w:val="center"/>
          </w:tcPr>
          <w:p w:rsidR="00251D2F" w:rsidRDefault="00251D2F" w:rsidP="00FA23BB">
            <w:pPr>
              <w:jc w:val="both"/>
              <w:rPr>
                <w:sz w:val="22"/>
                <w:szCs w:val="22"/>
              </w:rPr>
            </w:pPr>
          </w:p>
        </w:tc>
        <w:tc>
          <w:tcPr>
            <w:tcW w:w="7364" w:type="dxa"/>
            <w:tcBorders>
              <w:top w:val="single" w:sz="4" w:space="0" w:color="auto"/>
              <w:left w:val="single" w:sz="2" w:space="0" w:color="auto"/>
              <w:bottom w:val="single" w:sz="4" w:space="0" w:color="auto"/>
              <w:right w:val="single" w:sz="2" w:space="0" w:color="auto"/>
            </w:tcBorders>
          </w:tcPr>
          <w:p w:rsidR="00251D2F" w:rsidRDefault="00251D2F" w:rsidP="009F6951">
            <w:pPr>
              <w:rPr>
                <w:b/>
              </w:rPr>
            </w:pPr>
            <w:r>
              <w:rPr>
                <w:sz w:val="22"/>
                <w:szCs w:val="22"/>
              </w:rPr>
              <w:t>Koheze a koherence</w:t>
            </w:r>
          </w:p>
        </w:tc>
        <w:tc>
          <w:tcPr>
            <w:tcW w:w="1477" w:type="dxa"/>
            <w:vMerge/>
            <w:tcBorders>
              <w:left w:val="single" w:sz="2" w:space="0" w:color="auto"/>
              <w:right w:val="double" w:sz="4" w:space="0" w:color="auto"/>
            </w:tcBorders>
            <w:vAlign w:val="center"/>
          </w:tcPr>
          <w:p w:rsidR="00251D2F" w:rsidRDefault="00251D2F" w:rsidP="00FA23BB">
            <w:pPr>
              <w:jc w:val="center"/>
              <w:rPr>
                <w:b/>
              </w:rPr>
            </w:pPr>
          </w:p>
        </w:tc>
      </w:tr>
      <w:tr w:rsidR="00251D2F" w:rsidTr="00251D2F">
        <w:trPr>
          <w:trHeight w:val="397"/>
        </w:trPr>
        <w:tc>
          <w:tcPr>
            <w:tcW w:w="2160" w:type="dxa"/>
            <w:vMerge/>
            <w:tcBorders>
              <w:top w:val="single" w:sz="4" w:space="0" w:color="auto"/>
              <w:left w:val="double" w:sz="4" w:space="0" w:color="auto"/>
              <w:bottom w:val="single" w:sz="4" w:space="0" w:color="auto"/>
              <w:right w:val="single" w:sz="2" w:space="0" w:color="auto"/>
            </w:tcBorders>
            <w:shd w:val="clear" w:color="auto" w:fill="E0E0E0"/>
            <w:vAlign w:val="center"/>
          </w:tcPr>
          <w:p w:rsidR="00251D2F" w:rsidRDefault="00251D2F" w:rsidP="00FA23BB">
            <w:pPr>
              <w:jc w:val="both"/>
              <w:rPr>
                <w:sz w:val="22"/>
                <w:szCs w:val="22"/>
              </w:rPr>
            </w:pPr>
          </w:p>
        </w:tc>
        <w:tc>
          <w:tcPr>
            <w:tcW w:w="7364" w:type="dxa"/>
            <w:tcBorders>
              <w:top w:val="single" w:sz="4" w:space="0" w:color="auto"/>
              <w:left w:val="single" w:sz="2" w:space="0" w:color="auto"/>
              <w:bottom w:val="single" w:sz="4" w:space="0" w:color="auto"/>
              <w:right w:val="single" w:sz="2" w:space="0" w:color="auto"/>
            </w:tcBorders>
          </w:tcPr>
          <w:p w:rsidR="00251D2F" w:rsidRDefault="00251D2F" w:rsidP="009F6951">
            <w:pPr>
              <w:rPr>
                <w:b/>
              </w:rPr>
            </w:pPr>
            <w:r>
              <w:rPr>
                <w:sz w:val="22"/>
                <w:szCs w:val="22"/>
              </w:rPr>
              <w:t>Interpunkce a stylistické aspekty</w:t>
            </w:r>
          </w:p>
        </w:tc>
        <w:tc>
          <w:tcPr>
            <w:tcW w:w="1477" w:type="dxa"/>
            <w:vMerge/>
            <w:tcBorders>
              <w:left w:val="single" w:sz="2" w:space="0" w:color="auto"/>
              <w:bottom w:val="single" w:sz="4" w:space="0" w:color="auto"/>
              <w:right w:val="double" w:sz="4" w:space="0" w:color="auto"/>
            </w:tcBorders>
            <w:vAlign w:val="center"/>
          </w:tcPr>
          <w:p w:rsidR="00251D2F" w:rsidRDefault="00251D2F" w:rsidP="00FA23BB">
            <w:pPr>
              <w:jc w:val="center"/>
              <w:rPr>
                <w:b/>
              </w:rPr>
            </w:pPr>
          </w:p>
        </w:tc>
      </w:tr>
    </w:tbl>
    <w:p w:rsidR="00275CFE" w:rsidRDefault="00275CFE" w:rsidP="00C57D57">
      <w:pPr>
        <w:spacing w:before="120"/>
        <w:ind w:left="-360" w:right="-270"/>
        <w:jc w:val="both"/>
        <w:rPr>
          <w:b/>
        </w:rPr>
      </w:pPr>
    </w:p>
    <w:p w:rsidR="00FA23BB" w:rsidRDefault="00FA23BB" w:rsidP="00C57D57">
      <w:pPr>
        <w:spacing w:before="120"/>
        <w:ind w:left="-360" w:right="-270"/>
        <w:jc w:val="both"/>
        <w:rPr>
          <w:b/>
        </w:rPr>
      </w:pPr>
      <w:r>
        <w:rPr>
          <w:b/>
        </w:rPr>
        <w:t>Slovní vyjádření k hodnocení bakalářské práce:</w:t>
      </w:r>
    </w:p>
    <w:p w:rsidR="001E4FC9" w:rsidRPr="007E5C8A" w:rsidRDefault="001E4FC9" w:rsidP="00C57D57">
      <w:pPr>
        <w:ind w:left="-360" w:right="-270"/>
        <w:jc w:val="both"/>
        <w:rPr>
          <w:sz w:val="10"/>
          <w:szCs w:val="10"/>
          <w:lang w:val="en-GB"/>
        </w:rPr>
      </w:pPr>
    </w:p>
    <w:p w:rsidR="00953E7C" w:rsidRDefault="00424B53" w:rsidP="00C57D57">
      <w:pPr>
        <w:ind w:left="-360" w:right="-270"/>
        <w:jc w:val="both"/>
        <w:rPr>
          <w:lang w:val="en-GB"/>
        </w:rPr>
      </w:pPr>
      <w:r>
        <w:rPr>
          <w:lang w:val="en-GB"/>
        </w:rPr>
        <w:t>In this draft t</w:t>
      </w:r>
      <w:r w:rsidR="00F66237" w:rsidRPr="00D216F1">
        <w:rPr>
          <w:lang w:val="en-GB"/>
        </w:rPr>
        <w:t xml:space="preserve">he </w:t>
      </w:r>
      <w:r w:rsidR="00782BC7">
        <w:rPr>
          <w:lang w:val="en-GB"/>
        </w:rPr>
        <w:t>previously</w:t>
      </w:r>
      <w:r>
        <w:rPr>
          <w:lang w:val="en-GB"/>
        </w:rPr>
        <w:t xml:space="preserve"> sufficient </w:t>
      </w:r>
      <w:r w:rsidR="00844D96">
        <w:rPr>
          <w:lang w:val="en-GB"/>
        </w:rPr>
        <w:t>summary of post-war British culture</w:t>
      </w:r>
      <w:r w:rsidR="00D216F1" w:rsidRPr="00D216F1">
        <w:rPr>
          <w:lang w:val="en-GB"/>
        </w:rPr>
        <w:t xml:space="preserve"> </w:t>
      </w:r>
      <w:r w:rsidRPr="00D216F1">
        <w:rPr>
          <w:lang w:val="en-GB"/>
        </w:rPr>
        <w:t>in pages 10-14</w:t>
      </w:r>
      <w:r>
        <w:rPr>
          <w:lang w:val="en-GB"/>
        </w:rPr>
        <w:t xml:space="preserve"> </w:t>
      </w:r>
      <w:r w:rsidR="00844D96">
        <w:rPr>
          <w:lang w:val="en-GB"/>
        </w:rPr>
        <w:t>along with</w:t>
      </w:r>
      <w:r>
        <w:rPr>
          <w:lang w:val="en-GB"/>
        </w:rPr>
        <w:t xml:space="preserve"> the overview of British post-war science fiction in chapter 2 </w:t>
      </w:r>
      <w:r w:rsidR="00782BC7">
        <w:rPr>
          <w:lang w:val="en-GB"/>
        </w:rPr>
        <w:t>has</w:t>
      </w:r>
      <w:r>
        <w:rPr>
          <w:lang w:val="en-GB"/>
        </w:rPr>
        <w:t xml:space="preserve"> been supplemented by specific references to </w:t>
      </w:r>
      <w:r w:rsidR="00844D96" w:rsidRPr="00844D96">
        <w:rPr>
          <w:i/>
          <w:lang w:val="en-GB"/>
        </w:rPr>
        <w:t xml:space="preserve">The Day of the </w:t>
      </w:r>
      <w:proofErr w:type="spellStart"/>
      <w:r w:rsidR="00844D96" w:rsidRPr="00844D96">
        <w:rPr>
          <w:i/>
          <w:lang w:val="en-GB"/>
        </w:rPr>
        <w:t>Triffids</w:t>
      </w:r>
      <w:proofErr w:type="spellEnd"/>
      <w:r w:rsidR="00D52074">
        <w:rPr>
          <w:i/>
          <w:lang w:val="en-GB"/>
        </w:rPr>
        <w:t>.</w:t>
      </w:r>
      <w:r w:rsidR="00D52074">
        <w:rPr>
          <w:lang w:val="en-GB"/>
        </w:rPr>
        <w:t xml:space="preserve"> This serves three practical purposes:</w:t>
      </w:r>
      <w:r>
        <w:rPr>
          <w:lang w:val="en-GB"/>
        </w:rPr>
        <w:t xml:space="preserve"> </w:t>
      </w:r>
      <w:r w:rsidR="00D52074">
        <w:rPr>
          <w:lang w:val="en-GB"/>
        </w:rPr>
        <w:t xml:space="preserve">it places the novel in a clear </w:t>
      </w:r>
      <w:proofErr w:type="spellStart"/>
      <w:r w:rsidR="00D52074" w:rsidRPr="00D216F1">
        <w:rPr>
          <w:lang w:val="en-GB"/>
        </w:rPr>
        <w:t>historocultural</w:t>
      </w:r>
      <w:proofErr w:type="spellEnd"/>
      <w:r w:rsidR="00D52074" w:rsidRPr="00D216F1">
        <w:rPr>
          <w:lang w:val="en-GB"/>
        </w:rPr>
        <w:t xml:space="preserve"> context</w:t>
      </w:r>
      <w:r w:rsidR="00D52074">
        <w:rPr>
          <w:lang w:val="en-GB"/>
        </w:rPr>
        <w:t>,</w:t>
      </w:r>
      <w:r w:rsidR="00D52074" w:rsidRPr="00D216F1">
        <w:rPr>
          <w:lang w:val="en-GB"/>
        </w:rPr>
        <w:t xml:space="preserve"> </w:t>
      </w:r>
      <w:r w:rsidR="00D52074">
        <w:rPr>
          <w:lang w:val="en-GB"/>
        </w:rPr>
        <w:t>it</w:t>
      </w:r>
      <w:r>
        <w:rPr>
          <w:lang w:val="en-GB"/>
        </w:rPr>
        <w:t xml:space="preserve"> </w:t>
      </w:r>
      <w:r w:rsidR="00D52074">
        <w:rPr>
          <w:lang w:val="en-GB"/>
        </w:rPr>
        <w:t>adds</w:t>
      </w:r>
      <w:r>
        <w:rPr>
          <w:lang w:val="en-GB"/>
        </w:rPr>
        <w:t xml:space="preserve"> a level of depth to the analysis that follows in later chapters</w:t>
      </w:r>
      <w:r w:rsidR="00844D96">
        <w:rPr>
          <w:lang w:val="en-GB"/>
        </w:rPr>
        <w:t xml:space="preserve">, </w:t>
      </w:r>
      <w:r>
        <w:rPr>
          <w:lang w:val="en-GB"/>
        </w:rPr>
        <w:t xml:space="preserve">and </w:t>
      </w:r>
      <w:r w:rsidR="00D52074">
        <w:rPr>
          <w:lang w:val="en-GB"/>
        </w:rPr>
        <w:t xml:space="preserve">it </w:t>
      </w:r>
      <w:r w:rsidR="00844D96">
        <w:rPr>
          <w:lang w:val="en-GB"/>
        </w:rPr>
        <w:t xml:space="preserve">simply </w:t>
      </w:r>
      <w:r>
        <w:rPr>
          <w:lang w:val="en-GB"/>
        </w:rPr>
        <w:t xml:space="preserve">makes for a more </w:t>
      </w:r>
      <w:r>
        <w:rPr>
          <w:lang w:val="en-GB"/>
        </w:rPr>
        <w:lastRenderedPageBreak/>
        <w:t xml:space="preserve">well-rounded overall academic work. </w:t>
      </w:r>
      <w:r w:rsidR="00782BC7">
        <w:rPr>
          <w:lang w:val="en-GB"/>
        </w:rPr>
        <w:t>Still,</w:t>
      </w:r>
      <w:r w:rsidR="00D52074">
        <w:rPr>
          <w:lang w:val="en-GB"/>
        </w:rPr>
        <w:t xml:space="preserve"> </w:t>
      </w:r>
      <w:r w:rsidR="00844D96">
        <w:rPr>
          <w:lang w:val="en-GB"/>
        </w:rPr>
        <w:t>section 2.3 seems a bit long. T</w:t>
      </w:r>
      <w:r w:rsidR="00D216F1" w:rsidRPr="00D216F1">
        <w:rPr>
          <w:lang w:val="en-GB"/>
        </w:rPr>
        <w:t xml:space="preserve">he </w:t>
      </w:r>
      <w:r w:rsidR="00844D96">
        <w:rPr>
          <w:lang w:val="en-GB"/>
        </w:rPr>
        <w:t xml:space="preserve">point about </w:t>
      </w:r>
      <w:r w:rsidR="00D216F1" w:rsidRPr="00D216F1">
        <w:rPr>
          <w:lang w:val="en-GB"/>
        </w:rPr>
        <w:t xml:space="preserve">“opposite view” of </w:t>
      </w:r>
      <w:r w:rsidR="00D216F1">
        <w:rPr>
          <w:lang w:val="en-GB"/>
        </w:rPr>
        <w:t xml:space="preserve">politics and </w:t>
      </w:r>
      <w:r w:rsidR="00D216F1" w:rsidRPr="00D216F1">
        <w:rPr>
          <w:lang w:val="en-GB"/>
        </w:rPr>
        <w:t xml:space="preserve">society shown by </w:t>
      </w:r>
      <w:r w:rsidR="00844D96">
        <w:rPr>
          <w:lang w:val="en-GB"/>
        </w:rPr>
        <w:t xml:space="preserve">the </w:t>
      </w:r>
      <w:r w:rsidR="00844D96" w:rsidRPr="00D216F1">
        <w:rPr>
          <w:lang w:val="en-GB"/>
        </w:rPr>
        <w:t xml:space="preserve">Angry Young Men </w:t>
      </w:r>
      <w:r w:rsidR="00D216F1">
        <w:rPr>
          <w:lang w:val="en-GB"/>
        </w:rPr>
        <w:t>in relation to</w:t>
      </w:r>
      <w:r w:rsidR="00D216F1" w:rsidRPr="00D216F1">
        <w:rPr>
          <w:lang w:val="en-GB"/>
        </w:rPr>
        <w:t xml:space="preserve"> writers of cosy catastrophe fiction</w:t>
      </w:r>
      <w:r w:rsidR="00844D96">
        <w:rPr>
          <w:lang w:val="en-GB"/>
        </w:rPr>
        <w:t xml:space="preserve"> could have been made without a three-paragraph description and definition of </w:t>
      </w:r>
      <w:r w:rsidR="00983503" w:rsidRPr="00D216F1">
        <w:rPr>
          <w:lang w:val="en-GB"/>
        </w:rPr>
        <w:t>the Angry Young Men</w:t>
      </w:r>
      <w:r w:rsidR="00F037F2">
        <w:rPr>
          <w:lang w:val="en-GB"/>
        </w:rPr>
        <w:t>. This is one example of how at a few places in the text the points made could have been more clearly connected to the BP author’s main theses</w:t>
      </w:r>
      <w:r w:rsidR="00782BC7">
        <w:rPr>
          <w:lang w:val="en-GB"/>
        </w:rPr>
        <w:t>. These issues</w:t>
      </w:r>
      <w:r w:rsidR="00F037F2">
        <w:rPr>
          <w:lang w:val="en-GB"/>
        </w:rPr>
        <w:t xml:space="preserve"> </w:t>
      </w:r>
      <w:r w:rsidR="00782BC7">
        <w:rPr>
          <w:lang w:val="en-GB"/>
        </w:rPr>
        <w:t>take</w:t>
      </w:r>
      <w:r w:rsidR="00F037F2">
        <w:rPr>
          <w:lang w:val="en-GB"/>
        </w:rPr>
        <w:t xml:space="preserve"> away a bit from the </w:t>
      </w:r>
      <w:r w:rsidR="00D52074">
        <w:rPr>
          <w:lang w:val="en-GB"/>
        </w:rPr>
        <w:t>coherence and cohesion</w:t>
      </w:r>
      <w:r w:rsidR="00983503">
        <w:rPr>
          <w:lang w:val="en-GB"/>
        </w:rPr>
        <w:t xml:space="preserve"> of the BP</w:t>
      </w:r>
      <w:r w:rsidR="00D216F1" w:rsidRPr="00D216F1">
        <w:rPr>
          <w:lang w:val="en-GB"/>
        </w:rPr>
        <w:t xml:space="preserve">. </w:t>
      </w:r>
    </w:p>
    <w:p w:rsidR="00953E7C" w:rsidRPr="00F734BD" w:rsidRDefault="00953E7C" w:rsidP="00C57D57">
      <w:pPr>
        <w:ind w:left="-360" w:right="-270"/>
        <w:jc w:val="both"/>
        <w:rPr>
          <w:sz w:val="10"/>
          <w:szCs w:val="10"/>
          <w:lang w:val="en-GB"/>
        </w:rPr>
      </w:pPr>
    </w:p>
    <w:p w:rsidR="00E50A49" w:rsidRDefault="0049311E" w:rsidP="00C57D57">
      <w:pPr>
        <w:ind w:left="-360" w:right="-270"/>
        <w:jc w:val="both"/>
        <w:rPr>
          <w:lang w:val="en-GB"/>
        </w:rPr>
      </w:pPr>
      <w:r>
        <w:rPr>
          <w:lang w:val="en-GB"/>
        </w:rPr>
        <w:t>A</w:t>
      </w:r>
      <w:r>
        <w:rPr>
          <w:lang w:val="en-GB"/>
        </w:rPr>
        <w:t xml:space="preserve">lthough a bit unorganized and </w:t>
      </w:r>
      <w:r w:rsidR="00782BC7">
        <w:rPr>
          <w:lang w:val="en-GB"/>
        </w:rPr>
        <w:t>sometimes</w:t>
      </w:r>
      <w:r>
        <w:rPr>
          <w:lang w:val="en-GB"/>
        </w:rPr>
        <w:t xml:space="preserve"> off-topic, </w:t>
      </w:r>
      <w:r w:rsidR="001E4FC9">
        <w:rPr>
          <w:lang w:val="en-GB"/>
        </w:rPr>
        <w:t xml:space="preserve">chapter three </w:t>
      </w:r>
      <w:r>
        <w:rPr>
          <w:lang w:val="en-GB"/>
        </w:rPr>
        <w:t xml:space="preserve">concerning </w:t>
      </w:r>
      <w:r w:rsidR="00425460">
        <w:rPr>
          <w:lang w:val="en-GB"/>
        </w:rPr>
        <w:t>the overview of period science fiction</w:t>
      </w:r>
      <w:r>
        <w:rPr>
          <w:lang w:val="en-GB"/>
        </w:rPr>
        <w:t xml:space="preserve"> </w:t>
      </w:r>
      <w:r w:rsidR="00425460">
        <w:rPr>
          <w:lang w:val="en-GB"/>
        </w:rPr>
        <w:t xml:space="preserve">continues the trend of </w:t>
      </w:r>
      <w:r w:rsidR="00983503">
        <w:rPr>
          <w:lang w:val="en-GB"/>
        </w:rPr>
        <w:t>exemplifying</w:t>
      </w:r>
      <w:r w:rsidR="00425460">
        <w:rPr>
          <w:lang w:val="en-GB"/>
        </w:rPr>
        <w:t xml:space="preserve"> </w:t>
      </w:r>
      <w:r w:rsidR="00D52074">
        <w:rPr>
          <w:lang w:val="en-GB"/>
        </w:rPr>
        <w:t xml:space="preserve">the </w:t>
      </w:r>
      <w:r w:rsidR="00983503">
        <w:rPr>
          <w:lang w:val="en-GB"/>
        </w:rPr>
        <w:t>points made</w:t>
      </w:r>
      <w:r w:rsidR="00425460">
        <w:rPr>
          <w:lang w:val="en-GB"/>
        </w:rPr>
        <w:t xml:space="preserve"> with specific comparisons to </w:t>
      </w:r>
      <w:proofErr w:type="spellStart"/>
      <w:r w:rsidR="00425460" w:rsidRPr="00425460">
        <w:rPr>
          <w:i/>
          <w:lang w:val="en-GB"/>
        </w:rPr>
        <w:t>Triffids</w:t>
      </w:r>
      <w:proofErr w:type="spellEnd"/>
      <w:r w:rsidR="00425460" w:rsidRPr="00425460">
        <w:rPr>
          <w:lang w:val="en-GB"/>
        </w:rPr>
        <w:t xml:space="preserve">. </w:t>
      </w:r>
      <w:r w:rsidR="00953E7C">
        <w:rPr>
          <w:lang w:val="en-GB"/>
        </w:rPr>
        <w:t xml:space="preserve">The information presented in Chapter 4 on Wyndham and his legacy has also been supplemented with pertinent examples from the analysed novel, which foreshadows some of the main points made in the later analysis. Indeed, this combination of the presentation </w:t>
      </w:r>
      <w:r w:rsidR="00D52074">
        <w:rPr>
          <w:lang w:val="en-GB"/>
        </w:rPr>
        <w:t>of background with</w:t>
      </w:r>
      <w:r w:rsidR="00953E7C">
        <w:rPr>
          <w:lang w:val="en-GB"/>
        </w:rPr>
        <w:t xml:space="preserve"> bits of analysis in </w:t>
      </w:r>
      <w:r w:rsidR="00D52074">
        <w:rPr>
          <w:lang w:val="en-GB"/>
        </w:rPr>
        <w:t xml:space="preserve">this </w:t>
      </w:r>
      <w:r w:rsidR="00953E7C">
        <w:rPr>
          <w:lang w:val="en-GB"/>
        </w:rPr>
        <w:t>chapter shows quite a sophisticated approach for the bachelor level. The reader is thus encouraged to read on for the payoff</w:t>
      </w:r>
      <w:r w:rsidR="00F037F2">
        <w:rPr>
          <w:lang w:val="en-GB"/>
        </w:rPr>
        <w:t>s</w:t>
      </w:r>
      <w:r w:rsidR="00953E7C">
        <w:rPr>
          <w:lang w:val="en-GB"/>
        </w:rPr>
        <w:t xml:space="preserve"> that</w:t>
      </w:r>
      <w:r w:rsidR="00F037F2">
        <w:rPr>
          <w:lang w:val="en-GB"/>
        </w:rPr>
        <w:t xml:space="preserve"> come</w:t>
      </w:r>
      <w:r w:rsidR="00953E7C">
        <w:rPr>
          <w:lang w:val="en-GB"/>
        </w:rPr>
        <w:t xml:space="preserve"> in chapter 6.</w:t>
      </w:r>
    </w:p>
    <w:p w:rsidR="00953E7C" w:rsidRPr="00F734BD" w:rsidRDefault="00953E7C" w:rsidP="00C57D57">
      <w:pPr>
        <w:ind w:left="-360" w:right="-270"/>
        <w:jc w:val="both"/>
        <w:rPr>
          <w:sz w:val="10"/>
          <w:szCs w:val="10"/>
          <w:lang w:val="en-GB"/>
        </w:rPr>
      </w:pPr>
    </w:p>
    <w:p w:rsidR="00953E7C" w:rsidRDefault="0049311E" w:rsidP="00C57D57">
      <w:pPr>
        <w:ind w:left="-360" w:right="-270"/>
        <w:jc w:val="both"/>
        <w:rPr>
          <w:lang w:val="en-GB"/>
        </w:rPr>
      </w:pPr>
      <w:r>
        <w:rPr>
          <w:lang w:val="en-GB"/>
        </w:rPr>
        <w:t>C</w:t>
      </w:r>
      <w:r w:rsidR="00953E7C">
        <w:rPr>
          <w:lang w:val="en-GB"/>
        </w:rPr>
        <w:t>hapter 5</w:t>
      </w:r>
      <w:r>
        <w:rPr>
          <w:lang w:val="en-GB"/>
        </w:rPr>
        <w:t xml:space="preserve">, however, </w:t>
      </w:r>
      <w:r w:rsidR="00F037F2">
        <w:rPr>
          <w:lang w:val="en-GB"/>
        </w:rPr>
        <w:t>still seems a bit too long</w:t>
      </w:r>
      <w:r>
        <w:rPr>
          <w:lang w:val="en-GB"/>
        </w:rPr>
        <w:t>. T</w:t>
      </w:r>
      <w:r w:rsidR="00953E7C">
        <w:rPr>
          <w:lang w:val="en-GB"/>
        </w:rPr>
        <w:t xml:space="preserve">he plot description is done </w:t>
      </w:r>
      <w:r w:rsidR="00F037F2">
        <w:rPr>
          <w:lang w:val="en-GB"/>
        </w:rPr>
        <w:t>concisely</w:t>
      </w:r>
      <w:r w:rsidR="00472BF6">
        <w:rPr>
          <w:lang w:val="en-GB"/>
        </w:rPr>
        <w:t xml:space="preserve"> </w:t>
      </w:r>
      <w:r w:rsidR="00953E7C">
        <w:rPr>
          <w:lang w:val="en-GB"/>
        </w:rPr>
        <w:t>in one page</w:t>
      </w:r>
      <w:r>
        <w:rPr>
          <w:lang w:val="en-GB"/>
        </w:rPr>
        <w:t>, but</w:t>
      </w:r>
      <w:r w:rsidR="008169D6">
        <w:rPr>
          <w:lang w:val="en-GB"/>
        </w:rPr>
        <w:t xml:space="preserve"> t</w:t>
      </w:r>
      <w:r w:rsidR="00953E7C">
        <w:rPr>
          <w:lang w:val="en-GB"/>
        </w:rPr>
        <w:t xml:space="preserve">he character descriptions </w:t>
      </w:r>
      <w:r w:rsidR="00472BF6">
        <w:rPr>
          <w:lang w:val="en-GB"/>
        </w:rPr>
        <w:t xml:space="preserve">that follow </w:t>
      </w:r>
      <w:r w:rsidR="00953E7C">
        <w:rPr>
          <w:lang w:val="en-GB"/>
        </w:rPr>
        <w:t xml:space="preserve">do not really contribute to the main points made in the analysis that comes later. </w:t>
      </w:r>
      <w:r w:rsidR="008169D6">
        <w:rPr>
          <w:lang w:val="en-GB"/>
        </w:rPr>
        <w:t>Perhaps in a future draft of the work (to be published) the BP author will choose to skip this chapter</w:t>
      </w:r>
      <w:r w:rsidR="00472BF6">
        <w:rPr>
          <w:lang w:val="en-GB"/>
        </w:rPr>
        <w:t xml:space="preserve"> altogether</w:t>
      </w:r>
      <w:r w:rsidR="008169D6">
        <w:rPr>
          <w:lang w:val="en-GB"/>
        </w:rPr>
        <w:t xml:space="preserve">. Plot and character details can be incorporated piecemeal as needed during the course of her analysis. Having said this, this chapter has </w:t>
      </w:r>
      <w:r>
        <w:rPr>
          <w:lang w:val="en-GB"/>
        </w:rPr>
        <w:t xml:space="preserve">indeed </w:t>
      </w:r>
      <w:r w:rsidR="008169D6">
        <w:rPr>
          <w:lang w:val="en-GB"/>
        </w:rPr>
        <w:t xml:space="preserve">been streamlined into a clearly-written two and a half pages, so this small section of the BP </w:t>
      </w:r>
      <w:r w:rsidR="00472BF6">
        <w:rPr>
          <w:lang w:val="en-GB"/>
        </w:rPr>
        <w:t>c</w:t>
      </w:r>
      <w:r w:rsidR="008169D6">
        <w:rPr>
          <w:lang w:val="en-GB"/>
        </w:rPr>
        <w:t xml:space="preserve">ould </w:t>
      </w:r>
      <w:r w:rsidR="00472BF6">
        <w:rPr>
          <w:lang w:val="en-GB"/>
        </w:rPr>
        <w:t>possibly</w:t>
      </w:r>
      <w:r w:rsidR="008169D6">
        <w:rPr>
          <w:lang w:val="en-GB"/>
        </w:rPr>
        <w:t xml:space="preserve"> be suitable for younger </w:t>
      </w:r>
      <w:r w:rsidR="00472BF6">
        <w:rPr>
          <w:lang w:val="en-GB"/>
        </w:rPr>
        <w:t>learners</w:t>
      </w:r>
      <w:r w:rsidR="008169D6">
        <w:rPr>
          <w:lang w:val="en-GB"/>
        </w:rPr>
        <w:t xml:space="preserve"> who have not experienced the novel</w:t>
      </w:r>
      <w:r w:rsidR="00F037F2">
        <w:rPr>
          <w:lang w:val="en-GB"/>
        </w:rPr>
        <w:t>, but especially the character descriptions seem</w:t>
      </w:r>
      <w:r w:rsidR="00F037F2">
        <w:rPr>
          <w:lang w:val="en-GB"/>
        </w:rPr>
        <w:t xml:space="preserve"> out of place in an academic paper at this level</w:t>
      </w:r>
      <w:r w:rsidR="008169D6">
        <w:rPr>
          <w:lang w:val="en-GB"/>
        </w:rPr>
        <w:t>.</w:t>
      </w:r>
    </w:p>
    <w:p w:rsidR="008169D6" w:rsidRPr="00F734BD" w:rsidRDefault="008169D6" w:rsidP="00C57D57">
      <w:pPr>
        <w:ind w:left="-360" w:right="-270"/>
        <w:jc w:val="both"/>
        <w:rPr>
          <w:sz w:val="10"/>
          <w:szCs w:val="10"/>
          <w:lang w:val="en-GB"/>
        </w:rPr>
      </w:pPr>
    </w:p>
    <w:p w:rsidR="00E50A49" w:rsidRPr="008169D6" w:rsidRDefault="008169D6" w:rsidP="00C57D57">
      <w:pPr>
        <w:ind w:left="-360" w:right="-270"/>
        <w:jc w:val="both"/>
        <w:rPr>
          <w:sz w:val="10"/>
          <w:szCs w:val="10"/>
          <w:lang w:val="en-GB"/>
        </w:rPr>
      </w:pPr>
      <w:r>
        <w:rPr>
          <w:lang w:val="en-GB"/>
        </w:rPr>
        <w:t xml:space="preserve">The BP </w:t>
      </w:r>
      <w:r w:rsidR="0049311E">
        <w:rPr>
          <w:lang w:val="en-GB"/>
        </w:rPr>
        <w:t>hits its stride</w:t>
      </w:r>
      <w:r>
        <w:rPr>
          <w:lang w:val="en-GB"/>
        </w:rPr>
        <w:t xml:space="preserve"> in </w:t>
      </w:r>
      <w:r w:rsidR="008650BC">
        <w:rPr>
          <w:lang w:val="en-GB"/>
        </w:rPr>
        <w:t xml:space="preserve">the ten pages of </w:t>
      </w:r>
      <w:r w:rsidR="00472BF6">
        <w:rPr>
          <w:lang w:val="en-GB"/>
        </w:rPr>
        <w:t>chapter 6, whic</w:t>
      </w:r>
      <w:r>
        <w:rPr>
          <w:lang w:val="en-GB"/>
        </w:rPr>
        <w:t xml:space="preserve">h </w:t>
      </w:r>
      <w:r w:rsidR="00F037F2">
        <w:rPr>
          <w:lang w:val="en-GB"/>
        </w:rPr>
        <w:t>include</w:t>
      </w:r>
      <w:r>
        <w:rPr>
          <w:lang w:val="en-GB"/>
        </w:rPr>
        <w:t xml:space="preserve"> detailed and insightful analysis of </w:t>
      </w:r>
      <w:r w:rsidR="00472BF6">
        <w:rPr>
          <w:lang w:val="en-GB"/>
        </w:rPr>
        <w:t xml:space="preserve">reflections of the Cold War in </w:t>
      </w:r>
      <w:r>
        <w:rPr>
          <w:lang w:val="en-GB"/>
        </w:rPr>
        <w:t xml:space="preserve">the novel. </w:t>
      </w:r>
      <w:r w:rsidRPr="00983503">
        <w:rPr>
          <w:i/>
          <w:lang w:val="en-GB"/>
        </w:rPr>
        <w:t xml:space="preserve">The Day of the </w:t>
      </w:r>
      <w:proofErr w:type="spellStart"/>
      <w:r w:rsidRPr="00983503">
        <w:rPr>
          <w:i/>
          <w:lang w:val="en-GB"/>
        </w:rPr>
        <w:t>Triffids</w:t>
      </w:r>
      <w:proofErr w:type="spellEnd"/>
      <w:r>
        <w:rPr>
          <w:lang w:val="en-GB"/>
        </w:rPr>
        <w:t xml:space="preserve"> is not an overtly political work, yet the BP author has found </w:t>
      </w:r>
      <w:r w:rsidR="008650BC">
        <w:rPr>
          <w:lang w:val="en-GB"/>
        </w:rPr>
        <w:t xml:space="preserve">unequivocal connections to the events and figures of the novel with the attitudes and ideologies of Wyndham with regard to Cold War-era Britain, e.g. the nuclear threat, the relationships of early-50s Britain to the US and the USSR, the ideologies of communism, capitalism, liberalism, even feudalism and religious fanaticism. </w:t>
      </w:r>
      <w:r w:rsidR="00275CFE">
        <w:rPr>
          <w:lang w:val="en-GB"/>
        </w:rPr>
        <w:t>This is quite an ambitious undertaking</w:t>
      </w:r>
      <w:r w:rsidR="0049311E">
        <w:rPr>
          <w:lang w:val="en-GB"/>
        </w:rPr>
        <w:t>,</w:t>
      </w:r>
      <w:r w:rsidR="00275CFE">
        <w:rPr>
          <w:lang w:val="en-GB"/>
        </w:rPr>
        <w:t xml:space="preserve"> and </w:t>
      </w:r>
      <w:r w:rsidR="0049311E">
        <w:rPr>
          <w:lang w:val="en-GB"/>
        </w:rPr>
        <w:t xml:space="preserve">indeed sometimes the points made do not fit </w:t>
      </w:r>
      <w:r w:rsidR="004D6BC4">
        <w:rPr>
          <w:lang w:val="en-GB"/>
        </w:rPr>
        <w:t xml:space="preserve">precisely with </w:t>
      </w:r>
      <w:r w:rsidR="00782BC7">
        <w:rPr>
          <w:lang w:val="en-GB"/>
        </w:rPr>
        <w:t xml:space="preserve">the main topic of the Cold War or even </w:t>
      </w:r>
      <w:r w:rsidR="0049311E">
        <w:rPr>
          <w:lang w:val="en-GB"/>
        </w:rPr>
        <w:t xml:space="preserve">the titles of the subchapters (e.g. nuclear threat). Also the text is </w:t>
      </w:r>
      <w:r w:rsidR="00F037F2">
        <w:rPr>
          <w:lang w:val="en-GB"/>
        </w:rPr>
        <w:t xml:space="preserve">sometimes </w:t>
      </w:r>
      <w:r w:rsidR="0049311E">
        <w:rPr>
          <w:lang w:val="en-GB"/>
        </w:rPr>
        <w:t>choppy, with too many subchapters and not enough overall organization in the information presented. On the other hand, many of</w:t>
      </w:r>
      <w:r w:rsidR="00275CFE">
        <w:rPr>
          <w:lang w:val="en-GB"/>
        </w:rPr>
        <w:t xml:space="preserve"> the BP author’s specific examples and well-placed passages from the book </w:t>
      </w:r>
      <w:r w:rsidR="0049311E">
        <w:rPr>
          <w:lang w:val="en-GB"/>
        </w:rPr>
        <w:t xml:space="preserve">make clear and valid </w:t>
      </w:r>
      <w:r w:rsidR="00275CFE">
        <w:rPr>
          <w:lang w:val="en-GB"/>
        </w:rPr>
        <w:t xml:space="preserve">points. In 6.4 the BP author offers a profound critique of how the blind faith “in America [which] is so strong and deeply rooted in European cultures” </w:t>
      </w:r>
      <w:r w:rsidR="002E661D">
        <w:rPr>
          <w:lang w:val="en-GB"/>
        </w:rPr>
        <w:t xml:space="preserve">(p. 41) </w:t>
      </w:r>
      <w:r w:rsidR="00275CFE">
        <w:rPr>
          <w:lang w:val="en-GB"/>
        </w:rPr>
        <w:t>is implied in Wyndham’s piece of popular fiction</w:t>
      </w:r>
      <w:r w:rsidR="00782BC7">
        <w:rPr>
          <w:lang w:val="en-GB"/>
        </w:rPr>
        <w:t xml:space="preserve"> – this </w:t>
      </w:r>
      <w:r w:rsidR="004D6BC4">
        <w:rPr>
          <w:lang w:val="en-GB"/>
        </w:rPr>
        <w:t>is a</w:t>
      </w:r>
      <w:r w:rsidR="00782BC7">
        <w:rPr>
          <w:lang w:val="en-GB"/>
        </w:rPr>
        <w:t xml:space="preserve"> thoughtful insight </w:t>
      </w:r>
      <w:r w:rsidR="004D6BC4">
        <w:rPr>
          <w:lang w:val="en-GB"/>
        </w:rPr>
        <w:t xml:space="preserve">into the novel </w:t>
      </w:r>
      <w:r w:rsidR="00782BC7">
        <w:rPr>
          <w:lang w:val="en-GB"/>
        </w:rPr>
        <w:t>that the BP author seems to have found herself</w:t>
      </w:r>
      <w:r w:rsidR="00275CFE">
        <w:rPr>
          <w:lang w:val="en-GB"/>
        </w:rPr>
        <w:t xml:space="preserve">. </w:t>
      </w:r>
    </w:p>
    <w:p w:rsidR="00F66237" w:rsidRPr="007E5C8A" w:rsidRDefault="00F66237" w:rsidP="00C57D57">
      <w:pPr>
        <w:ind w:left="-360" w:right="-270"/>
        <w:jc w:val="both"/>
        <w:rPr>
          <w:sz w:val="10"/>
          <w:szCs w:val="10"/>
          <w:lang w:val="en-GB"/>
        </w:rPr>
      </w:pPr>
    </w:p>
    <w:p w:rsidR="00983503" w:rsidRPr="00983503" w:rsidRDefault="00275CFE" w:rsidP="00983503">
      <w:pPr>
        <w:ind w:left="-360" w:right="-270"/>
        <w:jc w:val="both"/>
        <w:rPr>
          <w:lang w:val="en-GB"/>
        </w:rPr>
      </w:pPr>
      <w:r>
        <w:rPr>
          <w:lang w:val="en-GB"/>
        </w:rPr>
        <w:t>All in all, t</w:t>
      </w:r>
      <w:r w:rsidR="00983503">
        <w:rPr>
          <w:lang w:val="en-GB"/>
        </w:rPr>
        <w:t xml:space="preserve">his BP is quite impressive in the presentation of </w:t>
      </w:r>
      <w:proofErr w:type="spellStart"/>
      <w:r w:rsidR="00983503" w:rsidRPr="00D216F1">
        <w:rPr>
          <w:lang w:val="en-GB"/>
        </w:rPr>
        <w:t>historocultural</w:t>
      </w:r>
      <w:proofErr w:type="spellEnd"/>
      <w:r w:rsidR="00983503">
        <w:rPr>
          <w:lang w:val="en-GB"/>
        </w:rPr>
        <w:t xml:space="preserve"> context, the examination of British science fiction in the post-war era as well as the use of this background to analyse </w:t>
      </w:r>
      <w:r w:rsidR="00983503" w:rsidRPr="00983503">
        <w:rPr>
          <w:i/>
          <w:lang w:val="en-GB"/>
        </w:rPr>
        <w:t xml:space="preserve">The Day of the </w:t>
      </w:r>
      <w:proofErr w:type="spellStart"/>
      <w:r w:rsidR="00983503" w:rsidRPr="00983503">
        <w:rPr>
          <w:i/>
          <w:lang w:val="en-GB"/>
        </w:rPr>
        <w:t>Triffids</w:t>
      </w:r>
      <w:proofErr w:type="spellEnd"/>
      <w:r w:rsidR="00983503">
        <w:rPr>
          <w:lang w:val="en-GB"/>
        </w:rPr>
        <w:t xml:space="preserve"> in terms of Cold War issues and ideology. Indeed, the BP author is to be commended for </w:t>
      </w:r>
      <w:r w:rsidR="0049311E">
        <w:rPr>
          <w:lang w:val="en-GB"/>
        </w:rPr>
        <w:t xml:space="preserve">at points </w:t>
      </w:r>
      <w:r w:rsidR="00983503">
        <w:rPr>
          <w:lang w:val="en-GB"/>
        </w:rPr>
        <w:t>going further in her analysis than could typically be expected at this level of study.</w:t>
      </w:r>
      <w:r>
        <w:rPr>
          <w:lang w:val="en-GB"/>
        </w:rPr>
        <w:t xml:space="preserve"> This </w:t>
      </w:r>
      <w:r w:rsidR="00F734BD">
        <w:rPr>
          <w:lang w:val="en-GB"/>
        </w:rPr>
        <w:t>direction</w:t>
      </w:r>
      <w:r>
        <w:rPr>
          <w:lang w:val="en-GB"/>
        </w:rPr>
        <w:t xml:space="preserve"> of research and presentation </w:t>
      </w:r>
      <w:r w:rsidR="00F734BD">
        <w:rPr>
          <w:lang w:val="en-GB"/>
        </w:rPr>
        <w:t xml:space="preserve">of results – for example studying other aspects of this novel or analysing Cold War attitudes in other works – </w:t>
      </w:r>
      <w:r>
        <w:rPr>
          <w:lang w:val="en-GB"/>
        </w:rPr>
        <w:t>could certainly be pursued in study at the master’s level.</w:t>
      </w:r>
    </w:p>
    <w:p w:rsidR="00016839" w:rsidRPr="00782BC7" w:rsidRDefault="00016839" w:rsidP="00C57D57">
      <w:pPr>
        <w:ind w:left="-360" w:right="-270"/>
        <w:jc w:val="both"/>
        <w:rPr>
          <w:sz w:val="12"/>
          <w:szCs w:val="12"/>
        </w:rPr>
      </w:pPr>
    </w:p>
    <w:p w:rsidR="00BA027E" w:rsidRDefault="00FA23BB" w:rsidP="00C57D57">
      <w:pPr>
        <w:ind w:left="-360" w:right="-270"/>
        <w:jc w:val="both"/>
        <w:rPr>
          <w:bCs/>
        </w:rPr>
      </w:pPr>
      <w:r>
        <w:rPr>
          <w:b/>
          <w:bCs/>
        </w:rPr>
        <w:t>Návrh otázek a podnětů pro diskusi při obhajobě:</w:t>
      </w:r>
      <w:r w:rsidR="00C57D57">
        <w:rPr>
          <w:b/>
          <w:bCs/>
        </w:rPr>
        <w:t xml:space="preserve"> </w:t>
      </w:r>
      <w:proofErr w:type="spellStart"/>
      <w:r w:rsidR="0049311E">
        <w:rPr>
          <w:bCs/>
        </w:rPr>
        <w:t>see</w:t>
      </w:r>
      <w:proofErr w:type="spellEnd"/>
      <w:r w:rsidR="0049311E">
        <w:rPr>
          <w:bCs/>
        </w:rPr>
        <w:t xml:space="preserve"> </w:t>
      </w:r>
      <w:proofErr w:type="spellStart"/>
      <w:r w:rsidR="0049311E">
        <w:rPr>
          <w:bCs/>
        </w:rPr>
        <w:t>above</w:t>
      </w:r>
      <w:proofErr w:type="spellEnd"/>
    </w:p>
    <w:p w:rsidR="00275CFE" w:rsidRDefault="00275CFE" w:rsidP="00C57D57">
      <w:pPr>
        <w:ind w:left="-360" w:right="-270"/>
        <w:jc w:val="both"/>
        <w:rPr>
          <w:bCs/>
          <w:sz w:val="16"/>
          <w:szCs w:val="16"/>
        </w:rPr>
      </w:pPr>
    </w:p>
    <w:p w:rsidR="00782BC7" w:rsidRPr="00F734BD" w:rsidRDefault="00782BC7" w:rsidP="00C57D57">
      <w:pPr>
        <w:ind w:left="-360" w:right="-270"/>
        <w:jc w:val="both"/>
        <w:rPr>
          <w:bCs/>
          <w:sz w:val="16"/>
          <w:szCs w:val="16"/>
        </w:rPr>
      </w:pPr>
    </w:p>
    <w:p w:rsidR="00FA23BB" w:rsidRPr="00F734BD" w:rsidRDefault="00FA23BB" w:rsidP="00FA23BB">
      <w:pPr>
        <w:jc w:val="both"/>
        <w:rPr>
          <w:sz w:val="16"/>
          <w:szCs w:val="16"/>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ayout w:type="fixed"/>
        <w:tblLook w:val="01E0" w:firstRow="1" w:lastRow="1" w:firstColumn="1" w:lastColumn="1" w:noHBand="0" w:noVBand="0"/>
      </w:tblPr>
      <w:tblGrid>
        <w:gridCol w:w="7488"/>
        <w:gridCol w:w="2151"/>
      </w:tblGrid>
      <w:tr w:rsidR="00FA23BB" w:rsidTr="00FA23BB">
        <w:trPr>
          <w:trHeight w:val="851"/>
        </w:trPr>
        <w:tc>
          <w:tcPr>
            <w:tcW w:w="7488" w:type="dxa"/>
            <w:tcBorders>
              <w:top w:val="double" w:sz="4" w:space="0" w:color="auto"/>
              <w:left w:val="double" w:sz="4" w:space="0" w:color="auto"/>
              <w:bottom w:val="double" w:sz="4" w:space="0" w:color="auto"/>
              <w:right w:val="single" w:sz="4" w:space="0" w:color="auto"/>
            </w:tcBorders>
            <w:vAlign w:val="center"/>
          </w:tcPr>
          <w:p w:rsidR="00057C14" w:rsidRDefault="00FA23BB" w:rsidP="00FA23BB">
            <w:pPr>
              <w:jc w:val="both"/>
              <w:rPr>
                <w:b/>
                <w:sz w:val="32"/>
                <w:szCs w:val="32"/>
              </w:rPr>
            </w:pPr>
            <w:proofErr w:type="gramStart"/>
            <w:r>
              <w:rPr>
                <w:b/>
                <w:sz w:val="28"/>
                <w:szCs w:val="28"/>
              </w:rPr>
              <w:t>V ý s l e d n á   k l a s i f i k a c e</w:t>
            </w:r>
            <w:r w:rsidR="0098138A">
              <w:rPr>
                <w:b/>
                <w:sz w:val="28"/>
                <w:szCs w:val="28"/>
              </w:rPr>
              <w:t>*</w:t>
            </w:r>
            <w:proofErr w:type="gramEnd"/>
          </w:p>
          <w:p w:rsidR="00FA23BB" w:rsidRDefault="00FA23BB" w:rsidP="00FA23BB">
            <w:pPr>
              <w:jc w:val="both"/>
              <w:rPr>
                <w:b/>
              </w:rPr>
            </w:pPr>
            <w:r w:rsidRPr="002173C8">
              <w:t xml:space="preserve">(možnosti klasifikace - </w:t>
            </w:r>
            <w:r w:rsidRPr="0049311E">
              <w:t>výborně</w:t>
            </w:r>
            <w:r w:rsidR="005371D3">
              <w:t xml:space="preserve">, </w:t>
            </w:r>
            <w:r w:rsidRPr="0049311E">
              <w:rPr>
                <w:b/>
                <w:u w:val="single"/>
              </w:rPr>
              <w:t>velmi dobře</w:t>
            </w:r>
            <w:r w:rsidRPr="0062569C">
              <w:t>,</w:t>
            </w:r>
            <w:r w:rsidRPr="002173C8">
              <w:t xml:space="preserve"> </w:t>
            </w:r>
            <w:r w:rsidRPr="00EF2216">
              <w:t>dobře</w:t>
            </w:r>
            <w:r w:rsidRPr="002173C8">
              <w:t xml:space="preserve">, </w:t>
            </w:r>
            <w:r w:rsidRPr="00424B53">
              <w:t>nevyhověl</w:t>
            </w:r>
            <w:r w:rsidRPr="002173C8">
              <w:t>)</w:t>
            </w:r>
          </w:p>
        </w:tc>
        <w:tc>
          <w:tcPr>
            <w:tcW w:w="2151" w:type="dxa"/>
            <w:tcBorders>
              <w:top w:val="double" w:sz="4" w:space="0" w:color="auto"/>
              <w:left w:val="single" w:sz="4" w:space="0" w:color="auto"/>
              <w:bottom w:val="double" w:sz="4" w:space="0" w:color="auto"/>
              <w:right w:val="double" w:sz="4" w:space="0" w:color="auto"/>
            </w:tcBorders>
          </w:tcPr>
          <w:p w:rsidR="00FB47A6" w:rsidRDefault="00FB47A6" w:rsidP="00FA23BB">
            <w:pPr>
              <w:spacing w:line="360" w:lineRule="auto"/>
              <w:jc w:val="both"/>
              <w:rPr>
                <w:b/>
              </w:rPr>
            </w:pPr>
          </w:p>
          <w:p w:rsidR="00FA23BB" w:rsidRPr="00424B53" w:rsidRDefault="0049311E" w:rsidP="00FB47A6">
            <w:pPr>
              <w:spacing w:line="360" w:lineRule="auto"/>
              <w:jc w:val="center"/>
            </w:pPr>
            <w:r w:rsidRPr="00A353BA">
              <w:t>velmi dobře</w:t>
            </w:r>
          </w:p>
        </w:tc>
      </w:tr>
    </w:tbl>
    <w:p w:rsidR="00782BC7" w:rsidRPr="00782BC7" w:rsidRDefault="00782BC7" w:rsidP="00472BF6">
      <w:pPr>
        <w:spacing w:before="120" w:line="360" w:lineRule="auto"/>
        <w:jc w:val="center"/>
        <w:rPr>
          <w:b/>
          <w:sz w:val="20"/>
          <w:szCs w:val="20"/>
        </w:rPr>
      </w:pPr>
    </w:p>
    <w:p w:rsidR="00FA23BB" w:rsidRPr="00472BF6" w:rsidRDefault="00FA23BB" w:rsidP="00472BF6">
      <w:pPr>
        <w:spacing w:before="120" w:line="360" w:lineRule="auto"/>
        <w:jc w:val="center"/>
        <w:rPr>
          <w:b/>
          <w:sz w:val="28"/>
          <w:szCs w:val="28"/>
        </w:rPr>
      </w:pPr>
      <w:r w:rsidRPr="00424B53">
        <w:rPr>
          <w:b/>
          <w:sz w:val="28"/>
          <w:szCs w:val="28"/>
        </w:rPr>
        <w:t>Doporučuji</w:t>
      </w:r>
      <w:r>
        <w:rPr>
          <w:b/>
          <w:sz w:val="28"/>
          <w:szCs w:val="28"/>
        </w:rPr>
        <w:t xml:space="preserve"> / </w:t>
      </w:r>
      <w:r w:rsidRPr="00424B53">
        <w:rPr>
          <w:b/>
          <w:strike/>
          <w:sz w:val="28"/>
          <w:szCs w:val="28"/>
        </w:rPr>
        <w:t>nedoporučuji</w:t>
      </w:r>
      <w:r w:rsidR="0098138A">
        <w:rPr>
          <w:b/>
          <w:sz w:val="28"/>
          <w:szCs w:val="28"/>
        </w:rPr>
        <w:t>**</w:t>
      </w:r>
      <w:r>
        <w:rPr>
          <w:b/>
          <w:sz w:val="28"/>
          <w:szCs w:val="28"/>
        </w:rPr>
        <w:t xml:space="preserve"> bakalářskou práci k obhajobě.</w:t>
      </w:r>
    </w:p>
    <w:p w:rsidR="00FA23BB" w:rsidRDefault="00FA23BB" w:rsidP="00FA23BB">
      <w:pPr>
        <w:jc w:val="both"/>
      </w:pPr>
      <w:r>
        <w:t>Dne:</w:t>
      </w:r>
      <w:r>
        <w:tab/>
      </w:r>
      <w:proofErr w:type="gramStart"/>
      <w:r w:rsidR="00424B53">
        <w:t>23</w:t>
      </w:r>
      <w:r w:rsidR="00275CFE">
        <w:t>.</w:t>
      </w:r>
      <w:r w:rsidR="00424B53">
        <w:t>1.</w:t>
      </w:r>
      <w:r w:rsidR="002B65C8">
        <w:t>201</w:t>
      </w:r>
      <w:r w:rsidR="00424B53">
        <w:t>4</w:t>
      </w:r>
      <w:proofErr w:type="gramEnd"/>
      <w:r>
        <w:tab/>
      </w:r>
      <w:r>
        <w:tab/>
      </w:r>
      <w:r>
        <w:tab/>
      </w:r>
      <w:r>
        <w:tab/>
      </w:r>
      <w:r>
        <w:tab/>
      </w:r>
      <w:r>
        <w:tab/>
      </w:r>
      <w:r w:rsidR="00FB47A6">
        <w:t xml:space="preserve">D. </w:t>
      </w:r>
      <w:proofErr w:type="gramStart"/>
      <w:r w:rsidR="00FB47A6">
        <w:t>Sampey</w:t>
      </w:r>
      <w:r>
        <w:t>...........................</w:t>
      </w:r>
      <w:r w:rsidR="007063EC">
        <w:t>.....</w:t>
      </w:r>
      <w:proofErr w:type="gramEnd"/>
    </w:p>
    <w:p w:rsidR="00FA23BB" w:rsidRPr="003654D9" w:rsidRDefault="00FA23BB" w:rsidP="00FA23BB">
      <w:pPr>
        <w:jc w:val="both"/>
      </w:pPr>
      <w:r>
        <w:tab/>
      </w:r>
      <w:r>
        <w:tab/>
      </w:r>
      <w:r>
        <w:tab/>
      </w:r>
      <w:r>
        <w:tab/>
      </w:r>
      <w:r>
        <w:tab/>
      </w:r>
      <w:r>
        <w:tab/>
      </w:r>
      <w:r>
        <w:tab/>
      </w:r>
      <w:r>
        <w:tab/>
      </w:r>
      <w:bookmarkStart w:id="0" w:name="_GoBack"/>
      <w:bookmarkEnd w:id="0"/>
      <w:r w:rsidR="003654D9" w:rsidRPr="003654D9">
        <w:t>Podpis vedoucího práce</w:t>
      </w:r>
    </w:p>
    <w:sectPr w:rsidR="00FA23BB" w:rsidRPr="003654D9" w:rsidSect="00472BF6">
      <w:pgSz w:w="11906" w:h="16838"/>
      <w:pgMar w:top="900" w:right="926" w:bottom="990" w:left="12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D3456A"/>
    <w:multiLevelType w:val="hybridMultilevel"/>
    <w:tmpl w:val="A57E6308"/>
    <w:lvl w:ilvl="0" w:tplc="C4EE87C8">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
    <w:nsid w:val="2D641690"/>
    <w:multiLevelType w:val="hybridMultilevel"/>
    <w:tmpl w:val="23421878"/>
    <w:lvl w:ilvl="0" w:tplc="5FDCDE06">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23BB"/>
    <w:rsid w:val="00012A78"/>
    <w:rsid w:val="00016839"/>
    <w:rsid w:val="00043CD3"/>
    <w:rsid w:val="000474EA"/>
    <w:rsid w:val="00057C14"/>
    <w:rsid w:val="00063156"/>
    <w:rsid w:val="00096768"/>
    <w:rsid w:val="000A0C25"/>
    <w:rsid w:val="000C6CF6"/>
    <w:rsid w:val="000D7944"/>
    <w:rsid w:val="000E6BFF"/>
    <w:rsid w:val="00102656"/>
    <w:rsid w:val="00103F52"/>
    <w:rsid w:val="00127BB0"/>
    <w:rsid w:val="001805BC"/>
    <w:rsid w:val="001D7373"/>
    <w:rsid w:val="001E4FC9"/>
    <w:rsid w:val="001E5C2B"/>
    <w:rsid w:val="001E6C8D"/>
    <w:rsid w:val="002173C8"/>
    <w:rsid w:val="002278EB"/>
    <w:rsid w:val="0023410E"/>
    <w:rsid w:val="00250F8F"/>
    <w:rsid w:val="00251D2F"/>
    <w:rsid w:val="00261ABD"/>
    <w:rsid w:val="00265DEA"/>
    <w:rsid w:val="00275CFE"/>
    <w:rsid w:val="002A34E4"/>
    <w:rsid w:val="002A7640"/>
    <w:rsid w:val="002B533C"/>
    <w:rsid w:val="002B65C8"/>
    <w:rsid w:val="002C55AD"/>
    <w:rsid w:val="002C7821"/>
    <w:rsid w:val="002D6335"/>
    <w:rsid w:val="002E661D"/>
    <w:rsid w:val="002E76D1"/>
    <w:rsid w:val="00305C53"/>
    <w:rsid w:val="00314626"/>
    <w:rsid w:val="0032101D"/>
    <w:rsid w:val="0036205C"/>
    <w:rsid w:val="003654D9"/>
    <w:rsid w:val="00366F39"/>
    <w:rsid w:val="003D0434"/>
    <w:rsid w:val="00403935"/>
    <w:rsid w:val="00406632"/>
    <w:rsid w:val="00424B53"/>
    <w:rsid w:val="00425460"/>
    <w:rsid w:val="004424EF"/>
    <w:rsid w:val="004655AD"/>
    <w:rsid w:val="00472BF6"/>
    <w:rsid w:val="0049311E"/>
    <w:rsid w:val="004A2848"/>
    <w:rsid w:val="004A68B9"/>
    <w:rsid w:val="004B26EB"/>
    <w:rsid w:val="004D6BC4"/>
    <w:rsid w:val="004E414D"/>
    <w:rsid w:val="005003C2"/>
    <w:rsid w:val="005015E0"/>
    <w:rsid w:val="0051466D"/>
    <w:rsid w:val="005371D3"/>
    <w:rsid w:val="00544730"/>
    <w:rsid w:val="00557689"/>
    <w:rsid w:val="00594958"/>
    <w:rsid w:val="005A3144"/>
    <w:rsid w:val="005B2528"/>
    <w:rsid w:val="005C062D"/>
    <w:rsid w:val="005C5E84"/>
    <w:rsid w:val="005D1ECE"/>
    <w:rsid w:val="005E606D"/>
    <w:rsid w:val="006000B1"/>
    <w:rsid w:val="00617A93"/>
    <w:rsid w:val="0062569C"/>
    <w:rsid w:val="006266B0"/>
    <w:rsid w:val="0063184F"/>
    <w:rsid w:val="006335AC"/>
    <w:rsid w:val="0063601A"/>
    <w:rsid w:val="006416A1"/>
    <w:rsid w:val="006456F0"/>
    <w:rsid w:val="00685636"/>
    <w:rsid w:val="006D564B"/>
    <w:rsid w:val="006D6770"/>
    <w:rsid w:val="006D6B6A"/>
    <w:rsid w:val="007054EB"/>
    <w:rsid w:val="007063EC"/>
    <w:rsid w:val="00743291"/>
    <w:rsid w:val="007660E2"/>
    <w:rsid w:val="00782BC7"/>
    <w:rsid w:val="007921C6"/>
    <w:rsid w:val="007A7426"/>
    <w:rsid w:val="007B43AD"/>
    <w:rsid w:val="007E5C8A"/>
    <w:rsid w:val="00805AF8"/>
    <w:rsid w:val="008169D6"/>
    <w:rsid w:val="00820E26"/>
    <w:rsid w:val="00844D96"/>
    <w:rsid w:val="008650BC"/>
    <w:rsid w:val="008C270E"/>
    <w:rsid w:val="008C43B2"/>
    <w:rsid w:val="00900BCB"/>
    <w:rsid w:val="009031E0"/>
    <w:rsid w:val="00907746"/>
    <w:rsid w:val="0091265B"/>
    <w:rsid w:val="00947FF9"/>
    <w:rsid w:val="00953E7C"/>
    <w:rsid w:val="009652AB"/>
    <w:rsid w:val="009759E8"/>
    <w:rsid w:val="0098011A"/>
    <w:rsid w:val="0098138A"/>
    <w:rsid w:val="00983503"/>
    <w:rsid w:val="00990113"/>
    <w:rsid w:val="009F5166"/>
    <w:rsid w:val="009F6951"/>
    <w:rsid w:val="00A07363"/>
    <w:rsid w:val="00A163B4"/>
    <w:rsid w:val="00A17BE9"/>
    <w:rsid w:val="00A258AD"/>
    <w:rsid w:val="00A353BA"/>
    <w:rsid w:val="00A6389C"/>
    <w:rsid w:val="00B03B63"/>
    <w:rsid w:val="00B110A9"/>
    <w:rsid w:val="00B134BD"/>
    <w:rsid w:val="00B24804"/>
    <w:rsid w:val="00B46042"/>
    <w:rsid w:val="00B55547"/>
    <w:rsid w:val="00B73722"/>
    <w:rsid w:val="00B93F79"/>
    <w:rsid w:val="00BA027E"/>
    <w:rsid w:val="00BB246F"/>
    <w:rsid w:val="00BC2CA4"/>
    <w:rsid w:val="00BC4009"/>
    <w:rsid w:val="00BF4658"/>
    <w:rsid w:val="00C1076B"/>
    <w:rsid w:val="00C57D57"/>
    <w:rsid w:val="00C71D25"/>
    <w:rsid w:val="00C81484"/>
    <w:rsid w:val="00C81F83"/>
    <w:rsid w:val="00CC5A6E"/>
    <w:rsid w:val="00CD656D"/>
    <w:rsid w:val="00CE2FEF"/>
    <w:rsid w:val="00CF5487"/>
    <w:rsid w:val="00D01159"/>
    <w:rsid w:val="00D216F1"/>
    <w:rsid w:val="00D31B22"/>
    <w:rsid w:val="00D3601F"/>
    <w:rsid w:val="00D36177"/>
    <w:rsid w:val="00D52074"/>
    <w:rsid w:val="00D576EA"/>
    <w:rsid w:val="00D710B3"/>
    <w:rsid w:val="00D75F54"/>
    <w:rsid w:val="00D84554"/>
    <w:rsid w:val="00DD787F"/>
    <w:rsid w:val="00DF3B09"/>
    <w:rsid w:val="00DF5501"/>
    <w:rsid w:val="00E02AD3"/>
    <w:rsid w:val="00E07986"/>
    <w:rsid w:val="00E50A49"/>
    <w:rsid w:val="00EB0837"/>
    <w:rsid w:val="00EF2216"/>
    <w:rsid w:val="00EF755F"/>
    <w:rsid w:val="00F037F2"/>
    <w:rsid w:val="00F11663"/>
    <w:rsid w:val="00F271CF"/>
    <w:rsid w:val="00F34C6C"/>
    <w:rsid w:val="00F34C70"/>
    <w:rsid w:val="00F4006E"/>
    <w:rsid w:val="00F40E06"/>
    <w:rsid w:val="00F65B6A"/>
    <w:rsid w:val="00F66237"/>
    <w:rsid w:val="00F734BD"/>
    <w:rsid w:val="00FA23BB"/>
    <w:rsid w:val="00FA3F69"/>
    <w:rsid w:val="00FB47A6"/>
    <w:rsid w:val="00FF36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135951B-F026-4619-811C-990AF7013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23BB"/>
    <w:rPr>
      <w:sz w:val="24"/>
      <w:szCs w:val="24"/>
      <w:lang w:val="cs-CZ" w:eastAsia="cs-CZ"/>
    </w:rPr>
  </w:style>
  <w:style w:type="paragraph" w:styleId="Heading4">
    <w:name w:val="heading 4"/>
    <w:basedOn w:val="Normal"/>
    <w:next w:val="Normal"/>
    <w:qFormat/>
    <w:rsid w:val="00FA23BB"/>
    <w:pPr>
      <w:keepNext/>
      <w:jc w:val="both"/>
      <w:outlineLvl w:val="3"/>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ps">
    <w:name w:val="hps"/>
    <w:basedOn w:val="DefaultParagraphFont"/>
    <w:rsid w:val="00FB47A6"/>
  </w:style>
  <w:style w:type="character" w:styleId="Hyperlink">
    <w:name w:val="Hyperlink"/>
    <w:rsid w:val="00B55547"/>
    <w:rPr>
      <w:color w:val="0000FF"/>
      <w:u w:val="single"/>
    </w:rPr>
  </w:style>
  <w:style w:type="character" w:styleId="Emphasis">
    <w:name w:val="Emphasis"/>
    <w:uiPriority w:val="20"/>
    <w:qFormat/>
    <w:rsid w:val="00424B5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542750">
      <w:bodyDiv w:val="1"/>
      <w:marLeft w:val="0"/>
      <w:marRight w:val="0"/>
      <w:marTop w:val="0"/>
      <w:marBottom w:val="0"/>
      <w:divBdr>
        <w:top w:val="none" w:sz="0" w:space="0" w:color="auto"/>
        <w:left w:val="none" w:sz="0" w:space="0" w:color="auto"/>
        <w:bottom w:val="none" w:sz="0" w:space="0" w:color="auto"/>
        <w:right w:val="none" w:sz="0" w:space="0" w:color="auto"/>
      </w:divBdr>
      <w:divsChild>
        <w:div w:id="1761560832">
          <w:marLeft w:val="0"/>
          <w:marRight w:val="0"/>
          <w:marTop w:val="0"/>
          <w:marBottom w:val="0"/>
          <w:divBdr>
            <w:top w:val="none" w:sz="0" w:space="0" w:color="auto"/>
            <w:left w:val="none" w:sz="0" w:space="0" w:color="auto"/>
            <w:bottom w:val="none" w:sz="0" w:space="0" w:color="auto"/>
            <w:right w:val="none" w:sz="0" w:space="0" w:color="auto"/>
          </w:divBdr>
        </w:div>
      </w:divsChild>
    </w:div>
    <w:div w:id="1462726466">
      <w:bodyDiv w:val="1"/>
      <w:marLeft w:val="0"/>
      <w:marRight w:val="0"/>
      <w:marTop w:val="0"/>
      <w:marBottom w:val="0"/>
      <w:divBdr>
        <w:top w:val="none" w:sz="0" w:space="0" w:color="auto"/>
        <w:left w:val="none" w:sz="0" w:space="0" w:color="auto"/>
        <w:bottom w:val="none" w:sz="0" w:space="0" w:color="auto"/>
        <w:right w:val="none" w:sz="0" w:space="0" w:color="auto"/>
      </w:divBdr>
      <w:divsChild>
        <w:div w:id="1136676018">
          <w:marLeft w:val="0"/>
          <w:marRight w:val="0"/>
          <w:marTop w:val="0"/>
          <w:marBottom w:val="0"/>
          <w:divBdr>
            <w:top w:val="none" w:sz="0" w:space="0" w:color="auto"/>
            <w:left w:val="none" w:sz="0" w:space="0" w:color="auto"/>
            <w:bottom w:val="none" w:sz="0" w:space="0" w:color="auto"/>
            <w:right w:val="none" w:sz="0" w:space="0" w:color="auto"/>
          </w:divBdr>
          <w:divsChild>
            <w:div w:id="709693069">
              <w:marLeft w:val="0"/>
              <w:marRight w:val="0"/>
              <w:marTop w:val="0"/>
              <w:marBottom w:val="0"/>
              <w:divBdr>
                <w:top w:val="none" w:sz="0" w:space="0" w:color="auto"/>
                <w:left w:val="none" w:sz="0" w:space="0" w:color="auto"/>
                <w:bottom w:val="none" w:sz="0" w:space="0" w:color="auto"/>
                <w:right w:val="none" w:sz="0" w:space="0" w:color="auto"/>
              </w:divBdr>
              <w:divsChild>
                <w:div w:id="1852527466">
                  <w:marLeft w:val="0"/>
                  <w:marRight w:val="0"/>
                  <w:marTop w:val="0"/>
                  <w:marBottom w:val="0"/>
                  <w:divBdr>
                    <w:top w:val="none" w:sz="0" w:space="0" w:color="auto"/>
                    <w:left w:val="none" w:sz="0" w:space="0" w:color="auto"/>
                    <w:bottom w:val="none" w:sz="0" w:space="0" w:color="auto"/>
                    <w:right w:val="none" w:sz="0" w:space="0" w:color="auto"/>
                  </w:divBdr>
                  <w:divsChild>
                    <w:div w:id="502358152">
                      <w:marLeft w:val="0"/>
                      <w:marRight w:val="0"/>
                      <w:marTop w:val="0"/>
                      <w:marBottom w:val="0"/>
                      <w:divBdr>
                        <w:top w:val="none" w:sz="0" w:space="0" w:color="auto"/>
                        <w:left w:val="none" w:sz="0" w:space="0" w:color="auto"/>
                        <w:bottom w:val="none" w:sz="0" w:space="0" w:color="auto"/>
                        <w:right w:val="none" w:sz="0" w:space="0" w:color="auto"/>
                      </w:divBdr>
                      <w:divsChild>
                        <w:div w:id="524486267">
                          <w:marLeft w:val="0"/>
                          <w:marRight w:val="0"/>
                          <w:marTop w:val="0"/>
                          <w:marBottom w:val="0"/>
                          <w:divBdr>
                            <w:top w:val="none" w:sz="0" w:space="0" w:color="auto"/>
                            <w:left w:val="none" w:sz="0" w:space="0" w:color="auto"/>
                            <w:bottom w:val="none" w:sz="0" w:space="0" w:color="auto"/>
                            <w:right w:val="none" w:sz="0" w:space="0" w:color="auto"/>
                          </w:divBdr>
                          <w:divsChild>
                            <w:div w:id="1650283813">
                              <w:marLeft w:val="0"/>
                              <w:marRight w:val="0"/>
                              <w:marTop w:val="0"/>
                              <w:marBottom w:val="0"/>
                              <w:divBdr>
                                <w:top w:val="none" w:sz="0" w:space="0" w:color="auto"/>
                                <w:left w:val="none" w:sz="0" w:space="0" w:color="auto"/>
                                <w:bottom w:val="none" w:sz="0" w:space="0" w:color="auto"/>
                                <w:right w:val="none" w:sz="0" w:space="0" w:color="auto"/>
                              </w:divBdr>
                              <w:divsChild>
                                <w:div w:id="189125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upce.cz/ff/kaa/seznam-zamestnancu/lv.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2</Pages>
  <Words>905</Words>
  <Characters>5159</Characters>
  <Application>Microsoft Office Word</Application>
  <DocSecurity>0</DocSecurity>
  <Lines>42</Lines>
  <Paragraphs>12</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UNIVERZITA PARDUBICE</vt:lpstr>
      <vt:lpstr>UNIVERZITA PARDUBICE</vt:lpstr>
    </vt:vector>
  </TitlesOfParts>
  <Company>UPa</Company>
  <LinksUpToDate>false</LinksUpToDate>
  <CharactersWithSpaces>6052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UNIVERZITA PARDUBICE</dc:title>
  <dc:subject/>
  <dc:creator>UPa</dc:creator>
  <cp:keywords/>
  <dc:description/>
  <cp:lastModifiedBy>Dan Sampey</cp:lastModifiedBy>
  <cp:revision>5</cp:revision>
  <cp:lastPrinted>2012-01-03T09:09:00Z</cp:lastPrinted>
  <dcterms:created xsi:type="dcterms:W3CDTF">2014-01-23T20:32:00Z</dcterms:created>
  <dcterms:modified xsi:type="dcterms:W3CDTF">2014-01-24T10:08:00Z</dcterms:modified>
</cp:coreProperties>
</file>