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E8A68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6490A8EC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739D3523" w14:textId="77777777" w:rsidR="00BA4A52" w:rsidRDefault="00086BC2" w:rsidP="00086BC2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BA4A52" w:rsidRPr="00BA4A52">
        <w:rPr>
          <w:rFonts w:eastAsia="Calibri"/>
          <w:i/>
          <w:iCs/>
          <w:szCs w:val="24"/>
        </w:rPr>
        <w:t>Postcolonial</w:t>
      </w:r>
      <w:proofErr w:type="spellEnd"/>
      <w:r w:rsidR="00BA4A52" w:rsidRPr="00BA4A52">
        <w:rPr>
          <w:rFonts w:eastAsia="Calibri"/>
          <w:i/>
          <w:iCs/>
          <w:szCs w:val="24"/>
        </w:rPr>
        <w:t xml:space="preserve"> Trauma in </w:t>
      </w:r>
      <w:proofErr w:type="spellStart"/>
      <w:r w:rsidR="00BA4A52" w:rsidRPr="00BA4A52">
        <w:rPr>
          <w:rFonts w:eastAsia="Calibri"/>
          <w:i/>
          <w:iCs/>
          <w:szCs w:val="24"/>
        </w:rPr>
        <w:t>Vietnamese</w:t>
      </w:r>
      <w:proofErr w:type="spellEnd"/>
      <w:r w:rsidR="00BA4A52" w:rsidRPr="00BA4A52">
        <w:rPr>
          <w:rFonts w:eastAsia="Calibri"/>
          <w:i/>
          <w:iCs/>
          <w:szCs w:val="24"/>
        </w:rPr>
        <w:t xml:space="preserve"> American Fiction </w:t>
      </w:r>
    </w:p>
    <w:p w14:paraId="3F0AA974" w14:textId="61205954" w:rsidR="00086BC2" w:rsidRPr="000D71AE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Bc. </w:t>
      </w:r>
      <w:r w:rsidR="00BA4A52" w:rsidRPr="00BA4A52">
        <w:rPr>
          <w:rFonts w:eastAsia="Calibri"/>
          <w:szCs w:val="24"/>
        </w:rPr>
        <w:t xml:space="preserve">Lucie Vokálová </w:t>
      </w:r>
    </w:p>
    <w:p w14:paraId="17138E8D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64506EAB" w14:textId="257BE9D0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 xml:space="preserve">: </w:t>
      </w:r>
      <w:r w:rsidR="00BA4A52" w:rsidRPr="00A50C25">
        <w:rPr>
          <w:szCs w:val="24"/>
        </w:rPr>
        <w:t xml:space="preserve">Mgr. </w:t>
      </w:r>
      <w:r w:rsidR="00BA4A52">
        <w:rPr>
          <w:szCs w:val="24"/>
        </w:rPr>
        <w:t xml:space="preserve">Petra Kohlová </w:t>
      </w:r>
    </w:p>
    <w:p w14:paraId="7CB27FD7" w14:textId="1DC585D7" w:rsidR="00086BC2" w:rsidRPr="00A50C25" w:rsidRDefault="00086BC2" w:rsidP="00086BC2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BA4A52" w:rsidRPr="00120D5F">
        <w:rPr>
          <w:rFonts w:eastAsia="Calibri"/>
          <w:szCs w:val="24"/>
        </w:rPr>
        <w:t>doc. Mgr. Šárka Bubíková, Ph.D.</w:t>
      </w:r>
    </w:p>
    <w:p w14:paraId="66DF669F" w14:textId="77777777" w:rsidR="00086BC2" w:rsidRPr="00120D5F" w:rsidRDefault="00086BC2" w:rsidP="00086BC2">
      <w:pPr>
        <w:rPr>
          <w:rFonts w:eastAsia="Calibri"/>
          <w:szCs w:val="24"/>
        </w:rPr>
      </w:pPr>
    </w:p>
    <w:p w14:paraId="0B315787" w14:textId="0CA49567" w:rsidR="00BA4A52" w:rsidRDefault="00BA4A52" w:rsidP="00BA4A52">
      <w:pPr>
        <w:rPr>
          <w:rFonts w:eastAsia="Calibri"/>
          <w:szCs w:val="24"/>
        </w:rPr>
      </w:pPr>
      <w:r>
        <w:rPr>
          <w:rFonts w:eastAsia="Calibri"/>
          <w:szCs w:val="24"/>
        </w:rPr>
        <w:t>D</w:t>
      </w:r>
      <w:r w:rsidR="00086BC2" w:rsidRPr="00120D5F">
        <w:rPr>
          <w:rFonts w:eastAsia="Calibri"/>
          <w:szCs w:val="24"/>
        </w:rPr>
        <w:t>iplomov</w:t>
      </w:r>
      <w:r w:rsidR="00086BC2">
        <w:rPr>
          <w:rFonts w:eastAsia="Calibri"/>
          <w:szCs w:val="24"/>
        </w:rPr>
        <w:t>á</w:t>
      </w:r>
      <w:r w:rsidR="00086BC2"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 xml:space="preserve">Lucie Vokálové </w:t>
      </w:r>
      <w:r w:rsidR="00086BC2">
        <w:rPr>
          <w:rFonts w:eastAsia="Calibri"/>
          <w:szCs w:val="24"/>
        </w:rPr>
        <w:t xml:space="preserve">se věnuje </w:t>
      </w:r>
      <w:r>
        <w:rPr>
          <w:rFonts w:eastAsia="Calibri"/>
          <w:szCs w:val="24"/>
        </w:rPr>
        <w:t>vietnamsko-americké literatuře</w:t>
      </w:r>
      <w:r w:rsidR="004B2506">
        <w:rPr>
          <w:rFonts w:eastAsia="Calibri"/>
          <w:szCs w:val="24"/>
        </w:rPr>
        <w:t>, specificky problematice postkoloniálního traumatu v</w:t>
      </w:r>
      <w:r>
        <w:rPr>
          <w:rFonts w:eastAsia="Calibri"/>
          <w:szCs w:val="24"/>
        </w:rPr>
        <w:t xml:space="preserve">e dvou románech této literární </w:t>
      </w:r>
      <w:r w:rsidR="004B2506">
        <w:rPr>
          <w:rFonts w:eastAsia="Calibri"/>
          <w:szCs w:val="24"/>
        </w:rPr>
        <w:t xml:space="preserve">tradice </w:t>
      </w:r>
      <w:r w:rsidR="00E867CA">
        <w:rPr>
          <w:rFonts w:eastAsia="Calibri"/>
          <w:szCs w:val="24"/>
        </w:rPr>
        <w:t xml:space="preserve">– </w:t>
      </w:r>
      <w:proofErr w:type="spellStart"/>
      <w:r w:rsidR="00E867CA" w:rsidRPr="00E867CA">
        <w:rPr>
          <w:rFonts w:eastAsia="Calibri"/>
          <w:i/>
          <w:iCs/>
          <w:szCs w:val="24"/>
        </w:rPr>
        <w:t>The</w:t>
      </w:r>
      <w:proofErr w:type="spellEnd"/>
      <w:r w:rsidR="004B2506" w:rsidRPr="00E867CA">
        <w:rPr>
          <w:rFonts w:eastAsia="Calibri"/>
          <w:i/>
          <w:iCs/>
          <w:szCs w:val="24"/>
        </w:rPr>
        <w:t xml:space="preserve"> </w:t>
      </w:r>
      <w:r w:rsidR="004B2506" w:rsidRPr="004B2506">
        <w:rPr>
          <w:rFonts w:eastAsia="Calibri"/>
          <w:i/>
          <w:iCs/>
          <w:szCs w:val="24"/>
        </w:rPr>
        <w:t xml:space="preserve">Gangster </w:t>
      </w:r>
      <w:proofErr w:type="spellStart"/>
      <w:r w:rsidR="004B2506" w:rsidRPr="004B2506">
        <w:rPr>
          <w:rFonts w:eastAsia="Calibri"/>
          <w:i/>
          <w:iCs/>
          <w:szCs w:val="24"/>
        </w:rPr>
        <w:t>We</w:t>
      </w:r>
      <w:proofErr w:type="spellEnd"/>
      <w:r w:rsidR="004B2506" w:rsidRPr="004B2506">
        <w:rPr>
          <w:rFonts w:eastAsia="Calibri"/>
          <w:i/>
          <w:iCs/>
          <w:szCs w:val="24"/>
        </w:rPr>
        <w:t xml:space="preserve"> Are All </w:t>
      </w:r>
      <w:proofErr w:type="spellStart"/>
      <w:r w:rsidR="004B2506" w:rsidRPr="004B2506">
        <w:rPr>
          <w:rFonts w:eastAsia="Calibri"/>
          <w:i/>
          <w:iCs/>
          <w:szCs w:val="24"/>
        </w:rPr>
        <w:t>Looking</w:t>
      </w:r>
      <w:proofErr w:type="spellEnd"/>
      <w:r w:rsidR="004B2506" w:rsidRPr="004B2506">
        <w:rPr>
          <w:rFonts w:eastAsia="Calibri"/>
          <w:i/>
          <w:iCs/>
          <w:szCs w:val="24"/>
        </w:rPr>
        <w:t xml:space="preserve"> For</w:t>
      </w:r>
      <w:r w:rsidR="004B2506" w:rsidRPr="004B2506">
        <w:rPr>
          <w:rFonts w:eastAsia="Calibri"/>
          <w:szCs w:val="24"/>
        </w:rPr>
        <w:t xml:space="preserve"> </w:t>
      </w:r>
      <w:r w:rsidR="004B2506">
        <w:rPr>
          <w:rFonts w:eastAsia="Calibri"/>
          <w:szCs w:val="24"/>
        </w:rPr>
        <w:t>spisovatelky</w:t>
      </w:r>
      <w:r w:rsidR="004B2506" w:rsidRPr="004B2506">
        <w:rPr>
          <w:rFonts w:eastAsia="Calibri"/>
          <w:szCs w:val="24"/>
        </w:rPr>
        <w:t xml:space="preserve"> </w:t>
      </w:r>
      <w:proofErr w:type="spellStart"/>
      <w:r w:rsidR="004B2506" w:rsidRPr="004B2506">
        <w:rPr>
          <w:rFonts w:eastAsia="Calibri"/>
          <w:szCs w:val="24"/>
        </w:rPr>
        <w:t>Lê</w:t>
      </w:r>
      <w:proofErr w:type="spellEnd"/>
      <w:r w:rsidR="004B2506" w:rsidRPr="004B2506">
        <w:rPr>
          <w:rFonts w:eastAsia="Calibri"/>
          <w:szCs w:val="24"/>
        </w:rPr>
        <w:t xml:space="preserve"> Thi Diem </w:t>
      </w:r>
      <w:proofErr w:type="spellStart"/>
      <w:r w:rsidR="004B2506" w:rsidRPr="004B2506">
        <w:rPr>
          <w:rFonts w:eastAsia="Calibri"/>
          <w:szCs w:val="24"/>
        </w:rPr>
        <w:t>Thúy</w:t>
      </w:r>
      <w:proofErr w:type="spellEnd"/>
      <w:r w:rsidR="00E867CA">
        <w:rPr>
          <w:rFonts w:eastAsia="Calibri"/>
          <w:szCs w:val="24"/>
        </w:rPr>
        <w:t xml:space="preserve"> (2003) a </w:t>
      </w:r>
      <w:r w:rsidR="00E867CA" w:rsidRPr="004B2506">
        <w:rPr>
          <w:rFonts w:eastAsia="Calibri"/>
          <w:i/>
          <w:iCs/>
          <w:szCs w:val="24"/>
        </w:rPr>
        <w:t xml:space="preserve">On </w:t>
      </w:r>
      <w:proofErr w:type="spellStart"/>
      <w:r w:rsidR="00E867CA" w:rsidRPr="004B2506">
        <w:rPr>
          <w:rFonts w:eastAsia="Calibri"/>
          <w:i/>
          <w:iCs/>
          <w:szCs w:val="24"/>
        </w:rPr>
        <w:t>Earth</w:t>
      </w:r>
      <w:proofErr w:type="spellEnd"/>
      <w:r w:rsidR="00E867CA" w:rsidRPr="004B2506">
        <w:rPr>
          <w:rFonts w:eastAsia="Calibri"/>
          <w:i/>
          <w:iCs/>
          <w:szCs w:val="24"/>
        </w:rPr>
        <w:t xml:space="preserve"> </w:t>
      </w:r>
      <w:proofErr w:type="spellStart"/>
      <w:r w:rsidR="00E867CA" w:rsidRPr="004B2506">
        <w:rPr>
          <w:rFonts w:eastAsia="Calibri"/>
          <w:i/>
          <w:iCs/>
          <w:szCs w:val="24"/>
        </w:rPr>
        <w:t>We’re</w:t>
      </w:r>
      <w:proofErr w:type="spellEnd"/>
      <w:r w:rsidR="00E867CA" w:rsidRPr="004B2506">
        <w:rPr>
          <w:rFonts w:eastAsia="Calibri"/>
          <w:i/>
          <w:iCs/>
          <w:szCs w:val="24"/>
        </w:rPr>
        <w:t xml:space="preserve"> </w:t>
      </w:r>
      <w:proofErr w:type="spellStart"/>
      <w:r w:rsidR="00E867CA" w:rsidRPr="004B2506">
        <w:rPr>
          <w:rFonts w:eastAsia="Calibri"/>
          <w:i/>
          <w:iCs/>
          <w:szCs w:val="24"/>
        </w:rPr>
        <w:t>Briefly</w:t>
      </w:r>
      <w:proofErr w:type="spellEnd"/>
      <w:r w:rsidR="00E867CA" w:rsidRPr="004B2506">
        <w:rPr>
          <w:rFonts w:eastAsia="Calibri"/>
          <w:i/>
          <w:iCs/>
          <w:szCs w:val="24"/>
        </w:rPr>
        <w:t xml:space="preserve"> </w:t>
      </w:r>
      <w:proofErr w:type="spellStart"/>
      <w:r w:rsidR="00E867CA" w:rsidRPr="004B2506">
        <w:rPr>
          <w:rFonts w:eastAsia="Calibri"/>
          <w:i/>
          <w:iCs/>
          <w:szCs w:val="24"/>
        </w:rPr>
        <w:t>Gorgeous</w:t>
      </w:r>
      <w:proofErr w:type="spellEnd"/>
      <w:r w:rsidR="00E867CA" w:rsidRPr="004B2506">
        <w:rPr>
          <w:rFonts w:eastAsia="Calibri"/>
          <w:szCs w:val="24"/>
        </w:rPr>
        <w:t xml:space="preserve"> </w:t>
      </w:r>
      <w:r w:rsidR="00E867CA">
        <w:rPr>
          <w:rFonts w:eastAsia="Calibri"/>
          <w:szCs w:val="24"/>
        </w:rPr>
        <w:t xml:space="preserve">(2019) </w:t>
      </w:r>
      <w:proofErr w:type="spellStart"/>
      <w:r w:rsidR="00E867CA" w:rsidRPr="004B2506">
        <w:rPr>
          <w:rFonts w:eastAsia="Calibri"/>
          <w:szCs w:val="24"/>
        </w:rPr>
        <w:t>Ocean</w:t>
      </w:r>
      <w:r w:rsidR="00E867CA">
        <w:rPr>
          <w:rFonts w:eastAsia="Calibri"/>
          <w:szCs w:val="24"/>
        </w:rPr>
        <w:t>a</w:t>
      </w:r>
      <w:proofErr w:type="spellEnd"/>
      <w:r w:rsidR="00E867CA" w:rsidRPr="004B2506">
        <w:rPr>
          <w:rFonts w:eastAsia="Calibri"/>
          <w:szCs w:val="24"/>
        </w:rPr>
        <w:t xml:space="preserve"> </w:t>
      </w:r>
      <w:proofErr w:type="spellStart"/>
      <w:r w:rsidR="00E867CA" w:rsidRPr="004B2506">
        <w:rPr>
          <w:rFonts w:eastAsia="Calibri"/>
          <w:szCs w:val="24"/>
        </w:rPr>
        <w:t>Vuong</w:t>
      </w:r>
      <w:r w:rsidR="00E867CA">
        <w:rPr>
          <w:rFonts w:eastAsia="Calibri"/>
          <w:szCs w:val="24"/>
        </w:rPr>
        <w:t>a</w:t>
      </w:r>
      <w:proofErr w:type="spellEnd"/>
      <w:r>
        <w:rPr>
          <w:rFonts w:eastAsia="Calibri"/>
          <w:szCs w:val="24"/>
        </w:rPr>
        <w:t xml:space="preserve">. </w:t>
      </w:r>
      <w:r w:rsidR="00E867CA">
        <w:rPr>
          <w:rFonts w:eastAsia="Calibri"/>
          <w:szCs w:val="24"/>
        </w:rPr>
        <w:t xml:space="preserve">Hned v úvodu je třeba ocenit neotřelou volbu tématu a u nás dosud málo </w:t>
      </w:r>
      <w:r w:rsidR="00F67EC4">
        <w:rPr>
          <w:rFonts w:eastAsia="Calibri"/>
          <w:szCs w:val="24"/>
        </w:rPr>
        <w:t>znám</w:t>
      </w:r>
      <w:r w:rsidR="00243B19">
        <w:rPr>
          <w:rFonts w:eastAsia="Calibri"/>
          <w:szCs w:val="24"/>
        </w:rPr>
        <w:t>ých</w:t>
      </w:r>
      <w:r w:rsidR="00F67EC4">
        <w:rPr>
          <w:rFonts w:eastAsia="Calibri"/>
          <w:szCs w:val="24"/>
        </w:rPr>
        <w:t xml:space="preserve"> primární</w:t>
      </w:r>
      <w:r w:rsidR="00243B19">
        <w:rPr>
          <w:rFonts w:eastAsia="Calibri"/>
          <w:szCs w:val="24"/>
        </w:rPr>
        <w:t>ch</w:t>
      </w:r>
      <w:r w:rsidR="00F67EC4">
        <w:rPr>
          <w:rFonts w:eastAsia="Calibri"/>
          <w:szCs w:val="24"/>
        </w:rPr>
        <w:t xml:space="preserve"> text</w:t>
      </w:r>
      <w:r w:rsidR="00243B19">
        <w:rPr>
          <w:rFonts w:eastAsia="Calibri"/>
          <w:szCs w:val="24"/>
        </w:rPr>
        <w:t>ů</w:t>
      </w:r>
      <w:r w:rsidR="00F67EC4">
        <w:rPr>
          <w:rFonts w:eastAsia="Calibri"/>
          <w:szCs w:val="24"/>
        </w:rPr>
        <w:t xml:space="preserve">. </w:t>
      </w:r>
    </w:p>
    <w:p w14:paraId="330B5800" w14:textId="3F54DDDA" w:rsidR="00820C4F" w:rsidRDefault="00F67EC4" w:rsidP="00D55E2E">
      <w:pPr>
        <w:rPr>
          <w:rFonts w:eastAsia="Calibri"/>
          <w:szCs w:val="24"/>
        </w:rPr>
      </w:pPr>
      <w:r>
        <w:rPr>
          <w:rFonts w:eastAsia="Calibri"/>
          <w:szCs w:val="24"/>
        </w:rPr>
        <w:tab/>
        <w:t xml:space="preserve">V úvodní části práce diplomantka přibližuje historický a literární kontext zvolených děl – stručně uvádí podstatné historické milníky a společensko-politické aspekty vietnamské války a rovněž její širší dopady. Vzhledem ke zvolenému tématu následně objasňuje pojem „postkoloniální“ (vhodné je mj. i prosté vysvětlení rozdílu v užívání pojmu post-koloniální a postkoloniální) a podrobněji pojednává o traumatu. </w:t>
      </w:r>
      <w:r w:rsidR="00A364A7">
        <w:rPr>
          <w:rFonts w:eastAsia="Calibri"/>
          <w:szCs w:val="24"/>
        </w:rPr>
        <w:t>Přibližuje nejprve</w:t>
      </w:r>
      <w:r w:rsidR="00A364A7" w:rsidRPr="00A364A7">
        <w:rPr>
          <w:rFonts w:eastAsia="Calibri"/>
          <w:szCs w:val="24"/>
        </w:rPr>
        <w:t xml:space="preserve"> tradiční rámce </w:t>
      </w:r>
      <w:r w:rsidR="00A364A7">
        <w:rPr>
          <w:rFonts w:eastAsia="Calibri"/>
          <w:szCs w:val="24"/>
        </w:rPr>
        <w:t xml:space="preserve">tzv. </w:t>
      </w:r>
      <w:r w:rsidR="00A364A7" w:rsidRPr="00A364A7">
        <w:rPr>
          <w:rFonts w:eastAsia="Calibri"/>
          <w:szCs w:val="24"/>
        </w:rPr>
        <w:t xml:space="preserve">trauma </w:t>
      </w:r>
      <w:proofErr w:type="spellStart"/>
      <w:r w:rsidR="00A364A7" w:rsidRPr="00A364A7">
        <w:rPr>
          <w:rFonts w:eastAsia="Calibri"/>
          <w:szCs w:val="24"/>
        </w:rPr>
        <w:t>studies</w:t>
      </w:r>
      <w:proofErr w:type="spellEnd"/>
      <w:r w:rsidR="00A364A7" w:rsidRPr="00A364A7">
        <w:rPr>
          <w:rFonts w:eastAsia="Calibri"/>
          <w:szCs w:val="24"/>
        </w:rPr>
        <w:t xml:space="preserve">, jak jej formuluje například </w:t>
      </w:r>
      <w:proofErr w:type="spellStart"/>
      <w:r w:rsidR="00A364A7" w:rsidRPr="00A364A7">
        <w:rPr>
          <w:rFonts w:eastAsia="Calibri"/>
          <w:szCs w:val="24"/>
        </w:rPr>
        <w:t>Cathy</w:t>
      </w:r>
      <w:proofErr w:type="spellEnd"/>
      <w:r w:rsidR="00A364A7" w:rsidRPr="00A364A7">
        <w:rPr>
          <w:rFonts w:eastAsia="Calibri"/>
          <w:szCs w:val="24"/>
        </w:rPr>
        <w:t xml:space="preserve"> </w:t>
      </w:r>
      <w:proofErr w:type="spellStart"/>
      <w:r w:rsidR="00A364A7" w:rsidRPr="00A364A7">
        <w:rPr>
          <w:rFonts w:eastAsia="Calibri"/>
          <w:szCs w:val="24"/>
        </w:rPr>
        <w:t>Caruth</w:t>
      </w:r>
      <w:proofErr w:type="spellEnd"/>
      <w:r w:rsidR="00A364A7" w:rsidRPr="00A364A7">
        <w:rPr>
          <w:rFonts w:eastAsia="Calibri"/>
          <w:szCs w:val="24"/>
        </w:rPr>
        <w:t xml:space="preserve">, </w:t>
      </w:r>
      <w:r w:rsidR="00A364A7">
        <w:rPr>
          <w:rFonts w:eastAsia="Calibri"/>
          <w:szCs w:val="24"/>
        </w:rPr>
        <w:t>dále</w:t>
      </w:r>
      <w:r w:rsidR="00A364A7" w:rsidRPr="00A364A7">
        <w:rPr>
          <w:rFonts w:eastAsia="Calibri"/>
          <w:szCs w:val="24"/>
        </w:rPr>
        <w:t xml:space="preserve"> však upozorňuje na jeho limity dané eurocentrickým pohledem. </w:t>
      </w:r>
      <w:r w:rsidR="00A364A7">
        <w:rPr>
          <w:rFonts w:eastAsia="Calibri"/>
          <w:szCs w:val="24"/>
        </w:rPr>
        <w:t>S odkazem na relevantní zdroje diplomantka poukazuje na to, že t</w:t>
      </w:r>
      <w:r w:rsidR="00A364A7" w:rsidRPr="00A364A7">
        <w:rPr>
          <w:rFonts w:eastAsia="Calibri"/>
          <w:szCs w:val="24"/>
        </w:rPr>
        <w:t>rauma se dotýká všech kultur, a proto je nezbytné rozšířit analytické nástroje o postkoloniální perspektivu</w:t>
      </w:r>
      <w:r w:rsidR="00A364A7">
        <w:rPr>
          <w:rFonts w:eastAsia="Calibri"/>
          <w:szCs w:val="24"/>
        </w:rPr>
        <w:t>, což</w:t>
      </w:r>
      <w:r w:rsidR="00A364A7" w:rsidRPr="00A364A7">
        <w:rPr>
          <w:rFonts w:eastAsia="Calibri"/>
          <w:szCs w:val="24"/>
        </w:rPr>
        <w:t xml:space="preserve"> umožňuje reflektovat specifické historické, kulturní a epistemologické kontexty, v nichž trauma vzniká a je prožíváno</w:t>
      </w:r>
      <w:r w:rsidR="00A364A7">
        <w:rPr>
          <w:rFonts w:eastAsia="Calibri"/>
          <w:szCs w:val="24"/>
        </w:rPr>
        <w:t>. Již v</w:t>
      </w:r>
      <w:r w:rsidR="0012355B">
        <w:rPr>
          <w:rFonts w:eastAsia="Calibri"/>
          <w:szCs w:val="24"/>
        </w:rPr>
        <w:t xml:space="preserve"> tomto </w:t>
      </w:r>
      <w:r w:rsidR="00A364A7">
        <w:rPr>
          <w:rFonts w:eastAsia="Calibri"/>
          <w:szCs w:val="24"/>
        </w:rPr>
        <w:t>teoretickém rámci jsou tedy hlavní důrazy práce propojeny a jsou uvedeny nejvýznamnější studie</w:t>
      </w:r>
      <w:r w:rsidR="00196595">
        <w:rPr>
          <w:rFonts w:eastAsia="Calibri"/>
          <w:szCs w:val="24"/>
        </w:rPr>
        <w:t xml:space="preserve"> věnující se specifické aplikaci teorií traumatu na vietnamský kontext. </w:t>
      </w:r>
      <w:r w:rsidR="004C6999">
        <w:rPr>
          <w:rFonts w:eastAsia="Calibri"/>
          <w:szCs w:val="24"/>
        </w:rPr>
        <w:t xml:space="preserve">V podobném duchu pak diplomantka </w:t>
      </w:r>
      <w:r w:rsidR="00D55E2E">
        <w:rPr>
          <w:rFonts w:eastAsia="Calibri"/>
          <w:szCs w:val="24"/>
        </w:rPr>
        <w:t>pokračuje v celé práci. P</w:t>
      </w:r>
      <w:r w:rsidR="00196595">
        <w:rPr>
          <w:rFonts w:eastAsia="Calibri"/>
          <w:szCs w:val="24"/>
        </w:rPr>
        <w:t xml:space="preserve">ojednává </w:t>
      </w:r>
      <w:r w:rsidR="00D55E2E">
        <w:rPr>
          <w:rFonts w:eastAsia="Calibri"/>
          <w:szCs w:val="24"/>
        </w:rPr>
        <w:t xml:space="preserve">dále </w:t>
      </w:r>
      <w:r w:rsidR="00196595">
        <w:rPr>
          <w:rFonts w:eastAsia="Calibri"/>
          <w:szCs w:val="24"/>
        </w:rPr>
        <w:t>o PTSD</w:t>
      </w:r>
      <w:r w:rsidR="00CF34F4">
        <w:rPr>
          <w:rFonts w:eastAsia="Calibri"/>
          <w:szCs w:val="24"/>
        </w:rPr>
        <w:t xml:space="preserve"> a mezigeneračním přenosu traumatu</w:t>
      </w:r>
      <w:r w:rsidR="00196595">
        <w:rPr>
          <w:rFonts w:eastAsia="Calibri"/>
          <w:szCs w:val="24"/>
        </w:rPr>
        <w:t>, opět ve spojitosti se specifiky vietnamské války</w:t>
      </w:r>
      <w:r w:rsidR="00A364A7">
        <w:rPr>
          <w:rFonts w:eastAsia="Calibri"/>
          <w:szCs w:val="24"/>
        </w:rPr>
        <w:t xml:space="preserve"> </w:t>
      </w:r>
      <w:r w:rsidR="00196595">
        <w:rPr>
          <w:rFonts w:eastAsia="Calibri"/>
          <w:szCs w:val="24"/>
        </w:rPr>
        <w:t>a jejích následků. Teoretický rámec je tedy celkově nejen dobře zpracovaný a opřený o relevantní zdroje, ale i koherentní a adekvátně sevřený.</w:t>
      </w:r>
      <w:r w:rsidR="00323B8B">
        <w:rPr>
          <w:rFonts w:eastAsia="Calibri"/>
          <w:szCs w:val="24"/>
        </w:rPr>
        <w:t xml:space="preserve"> </w:t>
      </w:r>
      <w:r w:rsidR="003510C6">
        <w:rPr>
          <w:rFonts w:eastAsia="Calibri"/>
          <w:szCs w:val="24"/>
        </w:rPr>
        <w:t>V</w:t>
      </w:r>
      <w:r w:rsidR="00115A52">
        <w:rPr>
          <w:rFonts w:eastAsia="Calibri"/>
          <w:szCs w:val="24"/>
        </w:rPr>
        <w:t xml:space="preserve">e </w:t>
      </w:r>
      <w:r w:rsidR="00F02F1C">
        <w:rPr>
          <w:rFonts w:eastAsia="Calibri"/>
          <w:szCs w:val="24"/>
        </w:rPr>
        <w:t>všech kapitol</w:t>
      </w:r>
      <w:r w:rsidR="00115A52">
        <w:rPr>
          <w:rFonts w:eastAsia="Calibri"/>
          <w:szCs w:val="24"/>
        </w:rPr>
        <w:t>ách</w:t>
      </w:r>
      <w:r w:rsidR="00323B8B">
        <w:rPr>
          <w:rFonts w:eastAsia="Calibri"/>
          <w:szCs w:val="24"/>
        </w:rPr>
        <w:t xml:space="preserve"> </w:t>
      </w:r>
      <w:r w:rsidR="003510C6">
        <w:rPr>
          <w:rFonts w:eastAsia="Calibri"/>
          <w:szCs w:val="24"/>
        </w:rPr>
        <w:t xml:space="preserve">jsou </w:t>
      </w:r>
      <w:r w:rsidR="00323B8B">
        <w:rPr>
          <w:rFonts w:eastAsia="Calibri"/>
          <w:szCs w:val="24"/>
        </w:rPr>
        <w:t>pro</w:t>
      </w:r>
      <w:r w:rsidR="00364DBE">
        <w:rPr>
          <w:rFonts w:eastAsia="Calibri"/>
          <w:szCs w:val="24"/>
        </w:rPr>
        <w:t>vázány</w:t>
      </w:r>
      <w:r w:rsidR="00323B8B">
        <w:rPr>
          <w:rFonts w:eastAsia="Calibri"/>
          <w:szCs w:val="24"/>
        </w:rPr>
        <w:t xml:space="preserve"> </w:t>
      </w:r>
      <w:r w:rsidR="00115A52">
        <w:rPr>
          <w:rFonts w:eastAsia="Calibri"/>
          <w:szCs w:val="24"/>
        </w:rPr>
        <w:t xml:space="preserve">teoretické koncepty </w:t>
      </w:r>
      <w:r w:rsidR="00323B8B">
        <w:rPr>
          <w:rFonts w:eastAsia="Calibri"/>
          <w:szCs w:val="24"/>
        </w:rPr>
        <w:t xml:space="preserve">s analýzou románů, </w:t>
      </w:r>
      <w:r w:rsidR="00F83545">
        <w:rPr>
          <w:rFonts w:eastAsia="Calibri"/>
          <w:szCs w:val="24"/>
        </w:rPr>
        <w:t xml:space="preserve">takže oceňuji, že se práce „nerozpadá“ na dvě části (teoretickou a analytickou), ale teorie a analýzy jsou organicky propojené. </w:t>
      </w:r>
      <w:r w:rsidR="00157E40">
        <w:rPr>
          <w:rFonts w:eastAsia="Calibri"/>
          <w:szCs w:val="24"/>
        </w:rPr>
        <w:t>Stejně tak</w:t>
      </w:r>
      <w:r w:rsidR="00F83545">
        <w:rPr>
          <w:rFonts w:eastAsia="Calibri"/>
          <w:szCs w:val="24"/>
        </w:rPr>
        <w:t xml:space="preserve"> následující pojednání nejprve uvád</w:t>
      </w:r>
      <w:r w:rsidR="00157E40">
        <w:rPr>
          <w:rFonts w:eastAsia="Calibri"/>
          <w:szCs w:val="24"/>
        </w:rPr>
        <w:t>ěj</w:t>
      </w:r>
      <w:r w:rsidR="00F83545">
        <w:rPr>
          <w:rFonts w:eastAsia="Calibri"/>
          <w:szCs w:val="24"/>
        </w:rPr>
        <w:t xml:space="preserve">í teoretické koncepty (hybridity, </w:t>
      </w:r>
      <w:proofErr w:type="spellStart"/>
      <w:r w:rsidR="00F83545">
        <w:rPr>
          <w:rFonts w:eastAsia="Calibri"/>
          <w:szCs w:val="24"/>
        </w:rPr>
        <w:t>Thirdspace</w:t>
      </w:r>
      <w:proofErr w:type="spellEnd"/>
      <w:r w:rsidR="00820C4F">
        <w:rPr>
          <w:rFonts w:eastAsia="Calibri"/>
          <w:szCs w:val="24"/>
        </w:rPr>
        <w:t xml:space="preserve">, </w:t>
      </w:r>
      <w:proofErr w:type="spellStart"/>
      <w:r w:rsidR="00820C4F">
        <w:rPr>
          <w:rFonts w:eastAsia="Calibri"/>
          <w:szCs w:val="24"/>
        </w:rPr>
        <w:t>memory</w:t>
      </w:r>
      <w:proofErr w:type="spellEnd"/>
      <w:r w:rsidR="00AD7F25">
        <w:rPr>
          <w:rFonts w:eastAsia="Calibri"/>
          <w:szCs w:val="24"/>
        </w:rPr>
        <w:t xml:space="preserve">, </w:t>
      </w:r>
      <w:proofErr w:type="spellStart"/>
      <w:r w:rsidR="00AD7F25">
        <w:rPr>
          <w:rFonts w:eastAsia="Calibri"/>
          <w:szCs w:val="24"/>
        </w:rPr>
        <w:t>appropriation</w:t>
      </w:r>
      <w:proofErr w:type="spellEnd"/>
      <w:r w:rsidR="00397E1B">
        <w:rPr>
          <w:rFonts w:eastAsia="Calibri"/>
          <w:szCs w:val="24"/>
        </w:rPr>
        <w:t xml:space="preserve">, </w:t>
      </w:r>
      <w:proofErr w:type="spellStart"/>
      <w:r w:rsidR="00397E1B">
        <w:rPr>
          <w:rFonts w:eastAsia="Calibri"/>
          <w:szCs w:val="24"/>
        </w:rPr>
        <w:t>subaltern</w:t>
      </w:r>
      <w:proofErr w:type="spellEnd"/>
      <w:r w:rsidR="00397E1B">
        <w:rPr>
          <w:rFonts w:eastAsia="Calibri"/>
          <w:szCs w:val="24"/>
        </w:rPr>
        <w:t xml:space="preserve">, </w:t>
      </w:r>
      <w:proofErr w:type="spellStart"/>
      <w:r w:rsidR="00397E1B">
        <w:rPr>
          <w:rFonts w:eastAsia="Calibri"/>
          <w:szCs w:val="24"/>
        </w:rPr>
        <w:t>otherness</w:t>
      </w:r>
      <w:proofErr w:type="spellEnd"/>
      <w:r w:rsidR="00F83545">
        <w:rPr>
          <w:rFonts w:eastAsia="Calibri"/>
          <w:szCs w:val="24"/>
        </w:rPr>
        <w:t>), ale vzápětí ukazuj</w:t>
      </w:r>
      <w:r w:rsidR="00157E40">
        <w:rPr>
          <w:rFonts w:eastAsia="Calibri"/>
          <w:szCs w:val="24"/>
        </w:rPr>
        <w:t>í</w:t>
      </w:r>
      <w:r w:rsidR="00F83545">
        <w:rPr>
          <w:rFonts w:eastAsia="Calibri"/>
          <w:szCs w:val="24"/>
        </w:rPr>
        <w:t xml:space="preserve">, jak se </w:t>
      </w:r>
      <w:r w:rsidR="005F4663">
        <w:rPr>
          <w:rFonts w:eastAsia="Calibri"/>
          <w:szCs w:val="24"/>
        </w:rPr>
        <w:t xml:space="preserve">tyto koncepty </w:t>
      </w:r>
      <w:r w:rsidR="00F83545">
        <w:rPr>
          <w:rFonts w:eastAsia="Calibri"/>
          <w:szCs w:val="24"/>
        </w:rPr>
        <w:t>vztahují k oběma dílům</w:t>
      </w:r>
      <w:r w:rsidR="00820C4F">
        <w:rPr>
          <w:rFonts w:eastAsia="Calibri"/>
          <w:szCs w:val="24"/>
        </w:rPr>
        <w:t xml:space="preserve">, nejen v rovině tematické, ale i narativní, tj. jak jsou vtělena do </w:t>
      </w:r>
      <w:r w:rsidR="005F4663">
        <w:rPr>
          <w:rFonts w:eastAsia="Calibri"/>
          <w:szCs w:val="24"/>
        </w:rPr>
        <w:t>(</w:t>
      </w:r>
      <w:r w:rsidR="005F4663">
        <w:rPr>
          <w:rFonts w:eastAsia="Calibri"/>
          <w:szCs w:val="24"/>
        </w:rPr>
        <w:t xml:space="preserve">často </w:t>
      </w:r>
      <w:r w:rsidR="00820C4F">
        <w:rPr>
          <w:rFonts w:eastAsia="Calibri"/>
          <w:szCs w:val="24"/>
        </w:rPr>
        <w:t>nelineární</w:t>
      </w:r>
      <w:r w:rsidR="005F4663">
        <w:rPr>
          <w:rFonts w:eastAsia="Calibri"/>
          <w:szCs w:val="24"/>
        </w:rPr>
        <w:t>)</w:t>
      </w:r>
      <w:r w:rsidR="00820C4F">
        <w:rPr>
          <w:rFonts w:eastAsia="Calibri"/>
          <w:szCs w:val="24"/>
        </w:rPr>
        <w:t xml:space="preserve"> narace. </w:t>
      </w:r>
    </w:p>
    <w:p w14:paraId="58C38F4D" w14:textId="77777777" w:rsidR="001A12D8" w:rsidRDefault="00AD7F25" w:rsidP="001A12D8">
      <w:pPr>
        <w:rPr>
          <w:rFonts w:eastAsia="Calibri"/>
          <w:szCs w:val="24"/>
        </w:rPr>
      </w:pPr>
      <w:r>
        <w:rPr>
          <w:rFonts w:eastAsia="Calibri"/>
          <w:szCs w:val="24"/>
        </w:rPr>
        <w:tab/>
        <w:t xml:space="preserve">Diplomantčiny literární analýzy jsou přesvědčivé. Opírá je o kvalitní kritické zdroje, dokládá výstižnými ukázkami a podtrhuje důslednou komparací. Za zmínku stojí mj. téma mlčení, ticha, </w:t>
      </w:r>
      <w:r w:rsidR="00397E1B">
        <w:rPr>
          <w:rFonts w:eastAsia="Calibri"/>
          <w:szCs w:val="24"/>
        </w:rPr>
        <w:t xml:space="preserve">role </w:t>
      </w:r>
      <w:r>
        <w:rPr>
          <w:rFonts w:eastAsia="Calibri"/>
          <w:szCs w:val="24"/>
        </w:rPr>
        <w:t xml:space="preserve">osobních jmen </w:t>
      </w:r>
      <w:r w:rsidR="00397E1B">
        <w:rPr>
          <w:rFonts w:eastAsia="Calibri"/>
          <w:szCs w:val="24"/>
        </w:rPr>
        <w:t xml:space="preserve">a </w:t>
      </w:r>
      <w:r w:rsidR="001A12D8">
        <w:rPr>
          <w:rFonts w:eastAsia="Calibri"/>
          <w:szCs w:val="24"/>
        </w:rPr>
        <w:t>znalosti jazyka</w:t>
      </w:r>
      <w:r w:rsidR="00397E1B">
        <w:rPr>
          <w:rFonts w:eastAsia="Calibri"/>
          <w:szCs w:val="24"/>
        </w:rPr>
        <w:t xml:space="preserve">, </w:t>
      </w:r>
      <w:r>
        <w:rPr>
          <w:rFonts w:eastAsia="Calibri"/>
          <w:szCs w:val="24"/>
        </w:rPr>
        <w:t>či motiv motýla</w:t>
      </w:r>
      <w:r w:rsidR="0006187F">
        <w:rPr>
          <w:rFonts w:eastAsia="Calibri"/>
          <w:szCs w:val="24"/>
        </w:rPr>
        <w:t xml:space="preserve"> nebo</w:t>
      </w:r>
      <w:r w:rsidR="00397E1B">
        <w:rPr>
          <w:rFonts w:eastAsia="Calibri"/>
          <w:szCs w:val="24"/>
        </w:rPr>
        <w:t xml:space="preserve"> glóbusu </w:t>
      </w:r>
      <w:r w:rsidR="0006187F">
        <w:rPr>
          <w:rFonts w:eastAsia="Calibri"/>
          <w:szCs w:val="24"/>
        </w:rPr>
        <w:t xml:space="preserve">jako identifikátoru </w:t>
      </w:r>
      <w:r w:rsidR="00397E1B">
        <w:rPr>
          <w:rFonts w:eastAsia="Calibri"/>
          <w:szCs w:val="24"/>
        </w:rPr>
        <w:t>identity</w:t>
      </w:r>
      <w:r w:rsidR="0006187F">
        <w:rPr>
          <w:rFonts w:eastAsia="Calibri"/>
          <w:szCs w:val="24"/>
        </w:rPr>
        <w:t xml:space="preserve">. </w:t>
      </w:r>
    </w:p>
    <w:p w14:paraId="05C472FA" w14:textId="77777777" w:rsidR="008F32E0" w:rsidRDefault="001A12D8" w:rsidP="001A12D8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Celkově práce n</w:t>
      </w:r>
      <w:r w:rsidRPr="003F3009">
        <w:rPr>
          <w:rFonts w:eastAsia="Calibri"/>
          <w:szCs w:val="24"/>
        </w:rPr>
        <w:t xml:space="preserve">aplňuje požadavky na rozsah, </w:t>
      </w:r>
      <w:r>
        <w:rPr>
          <w:rFonts w:eastAsia="Calibri"/>
          <w:szCs w:val="24"/>
        </w:rPr>
        <w:t xml:space="preserve">kvalitu obsahu, </w:t>
      </w:r>
      <w:r w:rsidRPr="003F3009">
        <w:rPr>
          <w:rFonts w:eastAsia="Calibri"/>
          <w:szCs w:val="24"/>
        </w:rPr>
        <w:t>strukturu</w:t>
      </w:r>
      <w:r>
        <w:rPr>
          <w:rFonts w:eastAsia="Calibri"/>
          <w:szCs w:val="24"/>
        </w:rPr>
        <w:t>, práci se zdroji</w:t>
      </w:r>
      <w:r w:rsidRPr="003F3009">
        <w:rPr>
          <w:rFonts w:eastAsia="Calibri"/>
          <w:szCs w:val="24"/>
        </w:rPr>
        <w:t xml:space="preserve"> i citační normu. </w:t>
      </w:r>
      <w:r>
        <w:rPr>
          <w:rFonts w:eastAsia="Calibri"/>
          <w:szCs w:val="24"/>
        </w:rPr>
        <w:t xml:space="preserve">Závěry analýz by si ovšem zasloužily formulovat razantněji v části </w:t>
      </w:r>
      <w:proofErr w:type="spellStart"/>
      <w:r>
        <w:rPr>
          <w:rFonts w:eastAsia="Calibri"/>
          <w:szCs w:val="24"/>
        </w:rPr>
        <w:t>Conclusion</w:t>
      </w:r>
      <w:proofErr w:type="spellEnd"/>
      <w:r>
        <w:rPr>
          <w:rFonts w:eastAsia="Calibri"/>
          <w:szCs w:val="24"/>
        </w:rPr>
        <w:t xml:space="preserve">, která má spíše povahu anglického resumé. Rovněž v českém resumé chybí shrnutí poznatků diplomantčiných analýz. S ohledem na to, že analyzované romány jsou současné a u nás málo známé, mohly být oba v úvodu představeny trochu podrobněji (dějiště, postavy, nástin dějové linie), aby následné odkazy byly srozumitelnější. </w:t>
      </w:r>
    </w:p>
    <w:p w14:paraId="301F8BBA" w14:textId="3DC4CD38" w:rsidR="00323B8B" w:rsidRDefault="001A12D8" w:rsidP="001A12D8">
      <w:pPr>
        <w:ind w:firstLine="708"/>
        <w:rPr>
          <w:rFonts w:eastAsia="Calibri"/>
          <w:szCs w:val="24"/>
        </w:rPr>
      </w:pPr>
      <w:r w:rsidRPr="003F3009">
        <w:rPr>
          <w:rFonts w:eastAsia="Calibri"/>
          <w:szCs w:val="24"/>
        </w:rPr>
        <w:t>Po jazykové stránce je text na adekvátní úrovni, je psán kvalitní odbornou angličtinou</w:t>
      </w:r>
      <w:r>
        <w:rPr>
          <w:rFonts w:eastAsia="Calibri"/>
          <w:szCs w:val="24"/>
        </w:rPr>
        <w:t xml:space="preserve"> a zároveň si zachovává </w:t>
      </w:r>
      <w:r w:rsidRPr="003F3009">
        <w:rPr>
          <w:rFonts w:eastAsia="Calibri"/>
          <w:szCs w:val="24"/>
        </w:rPr>
        <w:t>čtiv</w:t>
      </w:r>
      <w:r>
        <w:rPr>
          <w:rFonts w:eastAsia="Calibri"/>
          <w:szCs w:val="24"/>
        </w:rPr>
        <w:t>ost</w:t>
      </w:r>
      <w:r w:rsidRPr="003F3009">
        <w:rPr>
          <w:rFonts w:eastAsia="Calibri"/>
          <w:szCs w:val="24"/>
        </w:rPr>
        <w:t>.</w:t>
      </w:r>
      <w:r>
        <w:rPr>
          <w:rFonts w:eastAsia="Calibri"/>
          <w:szCs w:val="24"/>
        </w:rPr>
        <w:t xml:space="preserve"> </w:t>
      </w:r>
      <w:r w:rsidR="009275AD">
        <w:rPr>
          <w:rFonts w:eastAsia="Calibri"/>
          <w:szCs w:val="24"/>
        </w:rPr>
        <w:t xml:space="preserve">Formální požadavky jsou rovněž naplněny. </w:t>
      </w:r>
      <w:r w:rsidR="00323B8B">
        <w:rPr>
          <w:rFonts w:eastAsia="Calibri"/>
          <w:szCs w:val="24"/>
        </w:rPr>
        <w:t xml:space="preserve">Drobnou námitku </w:t>
      </w:r>
      <w:r w:rsidR="00323B8B">
        <w:rPr>
          <w:rFonts w:eastAsia="Calibri"/>
          <w:szCs w:val="24"/>
        </w:rPr>
        <w:lastRenderedPageBreak/>
        <w:t xml:space="preserve">mám k charakterizaci citovaných odborníků – </w:t>
      </w:r>
      <w:r>
        <w:rPr>
          <w:rFonts w:eastAsia="Calibri"/>
          <w:szCs w:val="24"/>
        </w:rPr>
        <w:t>spíše</w:t>
      </w:r>
      <w:r w:rsidR="00323B8B">
        <w:rPr>
          <w:rFonts w:eastAsia="Calibri"/>
          <w:szCs w:val="24"/>
        </w:rPr>
        <w:t xml:space="preserve"> než pokaždé </w:t>
      </w:r>
      <w:r>
        <w:rPr>
          <w:rFonts w:eastAsia="Calibri"/>
          <w:szCs w:val="24"/>
        </w:rPr>
        <w:t>vypisovat</w:t>
      </w:r>
      <w:r w:rsidR="00323B8B">
        <w:rPr>
          <w:rFonts w:eastAsia="Calibri"/>
          <w:szCs w:val="24"/>
        </w:rPr>
        <w:t xml:space="preserve"> jejich univerzitní afiliaci</w:t>
      </w:r>
      <w:r w:rsidR="00DC577B">
        <w:rPr>
          <w:rFonts w:eastAsia="Calibri"/>
          <w:szCs w:val="24"/>
        </w:rPr>
        <w:t>,</w:t>
      </w:r>
      <w:r w:rsidR="00323B8B">
        <w:rPr>
          <w:rFonts w:eastAsia="Calibri"/>
          <w:szCs w:val="24"/>
        </w:rPr>
        <w:t xml:space="preserve"> je vhodnější </w:t>
      </w:r>
      <w:r>
        <w:rPr>
          <w:rFonts w:eastAsia="Calibri"/>
          <w:szCs w:val="24"/>
        </w:rPr>
        <w:t xml:space="preserve">uvádět </w:t>
      </w:r>
      <w:r w:rsidR="00323B8B">
        <w:rPr>
          <w:rFonts w:eastAsia="Calibri"/>
          <w:szCs w:val="24"/>
        </w:rPr>
        <w:t>jejich odbornost.</w:t>
      </w:r>
    </w:p>
    <w:p w14:paraId="035E85EE" w14:textId="77777777" w:rsidR="00323B8B" w:rsidRDefault="00323B8B" w:rsidP="00196D33">
      <w:pPr>
        <w:ind w:firstLine="708"/>
        <w:rPr>
          <w:rFonts w:eastAsia="Calibri"/>
          <w:szCs w:val="24"/>
        </w:rPr>
      </w:pPr>
    </w:p>
    <w:p w14:paraId="373023B5" w14:textId="55E622DE" w:rsidR="00086BC2" w:rsidRPr="003F3009" w:rsidRDefault="001A12D8" w:rsidP="009275AD">
      <w:pPr>
        <w:spacing w:line="271" w:lineRule="auto"/>
        <w:rPr>
          <w:rFonts w:eastAsia="Calibri"/>
          <w:szCs w:val="24"/>
        </w:rPr>
      </w:pPr>
      <w:r>
        <w:rPr>
          <w:rFonts w:eastAsia="Calibri"/>
          <w:szCs w:val="24"/>
        </w:rPr>
        <w:t>I přes drobné výtky pokládám práci za kvalitní, doporučuji ji k obhajobě a hodnotím ji jako slabší výbornou.</w:t>
      </w:r>
    </w:p>
    <w:p w14:paraId="4CD69BEA" w14:textId="77777777" w:rsidR="00086BC2" w:rsidRDefault="00086BC2" w:rsidP="00086BC2">
      <w:pPr>
        <w:spacing w:line="360" w:lineRule="auto"/>
        <w:ind w:firstLine="708"/>
        <w:rPr>
          <w:rFonts w:eastAsia="Calibri"/>
          <w:szCs w:val="24"/>
        </w:rPr>
      </w:pPr>
    </w:p>
    <w:p w14:paraId="60282C95" w14:textId="46B2FD09" w:rsidR="00086BC2" w:rsidRPr="00035074" w:rsidRDefault="00086BC2" w:rsidP="00086BC2">
      <w:pPr>
        <w:spacing w:line="360" w:lineRule="auto"/>
        <w:rPr>
          <w:rFonts w:eastAsia="Calibri"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1A12D8">
        <w:rPr>
          <w:rFonts w:eastAsia="Calibri"/>
          <w:b/>
          <w:bCs/>
          <w:szCs w:val="24"/>
        </w:rPr>
        <w:t>B</w:t>
      </w:r>
    </w:p>
    <w:p w14:paraId="00434266" w14:textId="77777777" w:rsidR="00086BC2" w:rsidRDefault="00086BC2" w:rsidP="00086BC2">
      <w:pPr>
        <w:spacing w:line="271" w:lineRule="auto"/>
        <w:rPr>
          <w:rFonts w:eastAsia="Times New Roman"/>
          <w:lang w:eastAsia="cs-CZ"/>
        </w:rPr>
      </w:pPr>
    </w:p>
    <w:p w14:paraId="2F56F69B" w14:textId="77777777" w:rsidR="00086BC2" w:rsidRPr="00F36B4F" w:rsidRDefault="00086BC2" w:rsidP="00086BC2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b/>
          <w:bCs/>
          <w:lang w:eastAsia="cs-CZ"/>
        </w:rPr>
        <w:t>Podněty</w:t>
      </w:r>
      <w:r w:rsidRPr="00E43140">
        <w:rPr>
          <w:rFonts w:eastAsia="Times New Roman"/>
          <w:b/>
          <w:bCs/>
          <w:lang w:eastAsia="cs-CZ"/>
        </w:rPr>
        <w:t xml:space="preserve"> k obhajobě</w:t>
      </w:r>
      <w:r>
        <w:rPr>
          <w:rFonts w:eastAsia="Times New Roman"/>
          <w:lang w:eastAsia="cs-CZ"/>
        </w:rPr>
        <w:t xml:space="preserve">: </w:t>
      </w:r>
    </w:p>
    <w:p w14:paraId="5A4C2B90" w14:textId="443517B8" w:rsidR="00086BC2" w:rsidRDefault="001A12D8" w:rsidP="00086BC2">
      <w:pPr>
        <w:rPr>
          <w:lang w:val="en-US"/>
        </w:rPr>
      </w:pPr>
      <w:r w:rsidRPr="001A12D8">
        <w:rPr>
          <w:lang w:val="en-US"/>
        </w:rPr>
        <w:t xml:space="preserve">Do you see any (interesting) parallels </w:t>
      </w:r>
      <w:r>
        <w:rPr>
          <w:lang w:val="en-US"/>
        </w:rPr>
        <w:t xml:space="preserve">between these Vietnamese American novels and some of the American ethnic writing discussed in our </w:t>
      </w:r>
      <w:r w:rsidR="00041FB2">
        <w:rPr>
          <w:lang w:val="en-US"/>
        </w:rPr>
        <w:t>MELI class?</w:t>
      </w:r>
      <w:r>
        <w:rPr>
          <w:lang w:val="en-US"/>
        </w:rPr>
        <w:t xml:space="preserve">  </w:t>
      </w:r>
    </w:p>
    <w:p w14:paraId="61AAD4B1" w14:textId="77777777" w:rsidR="00041FB2" w:rsidRDefault="00041FB2" w:rsidP="00086BC2">
      <w:pPr>
        <w:rPr>
          <w:lang w:val="en-US"/>
        </w:rPr>
      </w:pPr>
    </w:p>
    <w:p w14:paraId="4E499C73" w14:textId="77777777" w:rsidR="00041FB2" w:rsidRDefault="00041FB2" w:rsidP="00086BC2">
      <w:pPr>
        <w:rPr>
          <w:lang w:val="en-US"/>
        </w:rPr>
      </w:pPr>
    </w:p>
    <w:p w14:paraId="0B6C9615" w14:textId="77777777" w:rsidR="009275AD" w:rsidRDefault="009275AD" w:rsidP="00041FB2">
      <w:pPr>
        <w:spacing w:line="271" w:lineRule="auto"/>
        <w:rPr>
          <w:rFonts w:eastAsia="Times New Roman"/>
          <w:lang w:eastAsia="cs-CZ"/>
        </w:rPr>
      </w:pPr>
    </w:p>
    <w:p w14:paraId="5A16554D" w14:textId="77777777" w:rsidR="009275AD" w:rsidRDefault="009275AD" w:rsidP="00041FB2">
      <w:pPr>
        <w:spacing w:line="271" w:lineRule="auto"/>
        <w:rPr>
          <w:rFonts w:eastAsia="Times New Roman"/>
          <w:lang w:eastAsia="cs-CZ"/>
        </w:rPr>
      </w:pPr>
    </w:p>
    <w:p w14:paraId="39703E48" w14:textId="77777777" w:rsidR="009275AD" w:rsidRDefault="009275AD" w:rsidP="00041FB2">
      <w:pPr>
        <w:spacing w:line="271" w:lineRule="auto"/>
        <w:rPr>
          <w:rFonts w:eastAsia="Times New Roman"/>
          <w:lang w:eastAsia="cs-CZ"/>
        </w:rPr>
      </w:pPr>
    </w:p>
    <w:p w14:paraId="556BBA56" w14:textId="25D36256" w:rsidR="00041FB2" w:rsidRPr="00627FA3" w:rsidRDefault="00041FB2" w:rsidP="00041FB2">
      <w:pPr>
        <w:spacing w:line="271" w:lineRule="auto"/>
        <w:rPr>
          <w:rFonts w:eastAsia="Times New Roman"/>
          <w:lang w:eastAsia="cs-CZ"/>
        </w:rPr>
      </w:pPr>
      <w:r w:rsidRPr="00627FA3">
        <w:rPr>
          <w:rFonts w:eastAsia="Times New Roman"/>
          <w:lang w:eastAsia="cs-CZ"/>
        </w:rPr>
        <w:t>Doc. Mgr. Šárka Bubíková, Ph.D.</w:t>
      </w:r>
    </w:p>
    <w:p w14:paraId="20D86A95" w14:textId="77777777" w:rsidR="00041FB2" w:rsidRPr="00627FA3" w:rsidRDefault="00041FB2" w:rsidP="00041FB2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oponent</w:t>
      </w:r>
    </w:p>
    <w:p w14:paraId="297D9AD7" w14:textId="77777777" w:rsidR="00041FB2" w:rsidRPr="00627FA3" w:rsidRDefault="00041FB2" w:rsidP="00041FB2">
      <w:pPr>
        <w:spacing w:line="271" w:lineRule="auto"/>
        <w:ind w:firstLine="708"/>
        <w:jc w:val="left"/>
        <w:rPr>
          <w:rFonts w:eastAsia="Times New Roman"/>
          <w:b/>
          <w:lang w:eastAsia="cs-CZ"/>
        </w:rPr>
      </w:pPr>
    </w:p>
    <w:p w14:paraId="52A9F33C" w14:textId="77777777" w:rsidR="00041FB2" w:rsidRPr="00627FA3" w:rsidRDefault="00041FB2" w:rsidP="00041FB2">
      <w:pPr>
        <w:spacing w:line="271" w:lineRule="auto"/>
        <w:jc w:val="right"/>
        <w:rPr>
          <w:rFonts w:eastAsia="Times New Roman"/>
          <w:lang w:eastAsia="cs-CZ"/>
        </w:rPr>
      </w:pPr>
    </w:p>
    <w:p w14:paraId="5CE5296D" w14:textId="7F90821B" w:rsidR="00041FB2" w:rsidRPr="00627FA3" w:rsidRDefault="00041FB2" w:rsidP="00041FB2">
      <w:pPr>
        <w:spacing w:line="271" w:lineRule="auto"/>
        <w:jc w:val="right"/>
        <w:rPr>
          <w:rFonts w:eastAsia="Times New Roman"/>
          <w:lang w:eastAsia="cs-CZ"/>
        </w:rPr>
      </w:pPr>
      <w:r w:rsidRPr="00627FA3">
        <w:rPr>
          <w:rFonts w:eastAsia="Times New Roman"/>
          <w:lang w:eastAsia="cs-CZ"/>
        </w:rPr>
        <w:t>V Pardubicích 1</w:t>
      </w:r>
      <w:r>
        <w:rPr>
          <w:rFonts w:eastAsia="Times New Roman"/>
          <w:lang w:eastAsia="cs-CZ"/>
        </w:rPr>
        <w:t>5</w:t>
      </w:r>
      <w:r w:rsidRPr="00627FA3">
        <w:rPr>
          <w:rFonts w:eastAsia="Times New Roman"/>
          <w:lang w:eastAsia="cs-CZ"/>
        </w:rPr>
        <w:t xml:space="preserve">. </w:t>
      </w:r>
      <w:r>
        <w:rPr>
          <w:rFonts w:eastAsia="Times New Roman"/>
          <w:lang w:eastAsia="cs-CZ"/>
        </w:rPr>
        <w:t>srp</w:t>
      </w:r>
      <w:r w:rsidRPr="00627FA3">
        <w:rPr>
          <w:rFonts w:eastAsia="Times New Roman"/>
          <w:lang w:eastAsia="cs-CZ"/>
        </w:rPr>
        <w:t xml:space="preserve">na 2025                                           </w:t>
      </w:r>
    </w:p>
    <w:p w14:paraId="233578E5" w14:textId="77777777" w:rsidR="00041FB2" w:rsidRPr="001A12D8" w:rsidRDefault="00041FB2" w:rsidP="00086BC2">
      <w:pPr>
        <w:rPr>
          <w:lang w:val="en-US"/>
        </w:rPr>
      </w:pPr>
    </w:p>
    <w:sectPr w:rsidR="00041FB2" w:rsidRPr="001A12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BC2"/>
    <w:rsid w:val="0001362D"/>
    <w:rsid w:val="00041FB2"/>
    <w:rsid w:val="0006187F"/>
    <w:rsid w:val="00086BC2"/>
    <w:rsid w:val="000A2AA0"/>
    <w:rsid w:val="000B7F9D"/>
    <w:rsid w:val="00115A52"/>
    <w:rsid w:val="0012355B"/>
    <w:rsid w:val="00143E2A"/>
    <w:rsid w:val="00157E40"/>
    <w:rsid w:val="00196595"/>
    <w:rsid w:val="00196D33"/>
    <w:rsid w:val="001A12D8"/>
    <w:rsid w:val="001B50CC"/>
    <w:rsid w:val="001D6AD0"/>
    <w:rsid w:val="001F4B2B"/>
    <w:rsid w:val="00243B19"/>
    <w:rsid w:val="00272090"/>
    <w:rsid w:val="00277716"/>
    <w:rsid w:val="00285C63"/>
    <w:rsid w:val="00296782"/>
    <w:rsid w:val="002E7E13"/>
    <w:rsid w:val="00303511"/>
    <w:rsid w:val="003072E6"/>
    <w:rsid w:val="00323B8B"/>
    <w:rsid w:val="00342379"/>
    <w:rsid w:val="003510C6"/>
    <w:rsid w:val="00364DBE"/>
    <w:rsid w:val="00367472"/>
    <w:rsid w:val="00397E1B"/>
    <w:rsid w:val="003C25AA"/>
    <w:rsid w:val="0040625E"/>
    <w:rsid w:val="00414E61"/>
    <w:rsid w:val="004218AA"/>
    <w:rsid w:val="00447D37"/>
    <w:rsid w:val="004847A8"/>
    <w:rsid w:val="004B2506"/>
    <w:rsid w:val="004C6999"/>
    <w:rsid w:val="0050108E"/>
    <w:rsid w:val="005638A9"/>
    <w:rsid w:val="00575A9E"/>
    <w:rsid w:val="005F4663"/>
    <w:rsid w:val="00602F4F"/>
    <w:rsid w:val="0064523F"/>
    <w:rsid w:val="006A6CBF"/>
    <w:rsid w:val="006B0DC2"/>
    <w:rsid w:val="006F1B4A"/>
    <w:rsid w:val="006F45EA"/>
    <w:rsid w:val="007508F3"/>
    <w:rsid w:val="00764620"/>
    <w:rsid w:val="007B1351"/>
    <w:rsid w:val="007C5589"/>
    <w:rsid w:val="007D27EA"/>
    <w:rsid w:val="00810B9C"/>
    <w:rsid w:val="00820C4F"/>
    <w:rsid w:val="00824636"/>
    <w:rsid w:val="00844944"/>
    <w:rsid w:val="00880A3B"/>
    <w:rsid w:val="00893263"/>
    <w:rsid w:val="00896C87"/>
    <w:rsid w:val="008F32E0"/>
    <w:rsid w:val="0091298A"/>
    <w:rsid w:val="009275AD"/>
    <w:rsid w:val="00972139"/>
    <w:rsid w:val="009A529C"/>
    <w:rsid w:val="009E6A3C"/>
    <w:rsid w:val="009F0C78"/>
    <w:rsid w:val="00A00335"/>
    <w:rsid w:val="00A14808"/>
    <w:rsid w:val="00A25F0E"/>
    <w:rsid w:val="00A364A7"/>
    <w:rsid w:val="00AD7F25"/>
    <w:rsid w:val="00B443B6"/>
    <w:rsid w:val="00B81802"/>
    <w:rsid w:val="00BA4A52"/>
    <w:rsid w:val="00BA5135"/>
    <w:rsid w:val="00BC61BC"/>
    <w:rsid w:val="00C55CDB"/>
    <w:rsid w:val="00CA5075"/>
    <w:rsid w:val="00CD0F7A"/>
    <w:rsid w:val="00CF34F4"/>
    <w:rsid w:val="00CF37AF"/>
    <w:rsid w:val="00D31B2B"/>
    <w:rsid w:val="00D3246D"/>
    <w:rsid w:val="00D451CA"/>
    <w:rsid w:val="00D55E2E"/>
    <w:rsid w:val="00D90C2E"/>
    <w:rsid w:val="00D9597D"/>
    <w:rsid w:val="00DB296C"/>
    <w:rsid w:val="00DC30B2"/>
    <w:rsid w:val="00DC577B"/>
    <w:rsid w:val="00DE07D1"/>
    <w:rsid w:val="00DF4D97"/>
    <w:rsid w:val="00E05949"/>
    <w:rsid w:val="00E655F1"/>
    <w:rsid w:val="00E826B1"/>
    <w:rsid w:val="00E867CA"/>
    <w:rsid w:val="00EB543C"/>
    <w:rsid w:val="00EC0A2E"/>
    <w:rsid w:val="00ED3014"/>
    <w:rsid w:val="00EE4EC1"/>
    <w:rsid w:val="00F02F1C"/>
    <w:rsid w:val="00F221BD"/>
    <w:rsid w:val="00F34B83"/>
    <w:rsid w:val="00F367FB"/>
    <w:rsid w:val="00F67EC4"/>
    <w:rsid w:val="00F83545"/>
    <w:rsid w:val="00FB3C0E"/>
    <w:rsid w:val="00FC70D6"/>
    <w:rsid w:val="00FE5E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D8F989"/>
  <w15:chartTrackingRefBased/>
  <w15:docId w15:val="{7F91E86E-7210-40D4-882A-540AAA3C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6BC2"/>
    <w:rPr>
      <w:kern w:val="0"/>
      <w:sz w:val="24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086B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86B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86BC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86BC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86B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86BC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86BC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86BC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86BC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6BC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86BC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86BC2"/>
    <w:rPr>
      <w:rFonts w:asciiTheme="minorHAnsi" w:eastAsiaTheme="majorEastAsia" w:hAnsiTheme="min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86BC2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86BC2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86BC2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86BC2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086B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86B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86BC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86BC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86BC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86BC2"/>
    <w:rPr>
      <w:i/>
      <w:iCs/>
      <w:color w:val="404040" w:themeColor="text1" w:themeTint="BF"/>
      <w:sz w:val="24"/>
    </w:rPr>
  </w:style>
  <w:style w:type="paragraph" w:styleId="Odstavecseseznamem">
    <w:name w:val="List Paragraph"/>
    <w:basedOn w:val="Normln"/>
    <w:uiPriority w:val="34"/>
    <w:qFormat/>
    <w:rsid w:val="00086BC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86BC2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86BC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86BC2"/>
    <w:rPr>
      <w:i/>
      <w:iCs/>
      <w:color w:val="2E74B5" w:themeColor="accent1" w:themeShade="BF"/>
      <w:sz w:val="24"/>
    </w:rPr>
  </w:style>
  <w:style w:type="character" w:styleId="Odkazintenzivn">
    <w:name w:val="Intense Reference"/>
    <w:basedOn w:val="Standardnpsmoodstavce"/>
    <w:uiPriority w:val="32"/>
    <w:qFormat/>
    <w:rsid w:val="00086BC2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2B5F3245-243C-4257-8C8A-A956E52E6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565</Words>
  <Characters>3437</Characters>
  <Application>Microsoft Office Word</Application>
  <DocSecurity>0</DocSecurity>
  <Lines>66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reviewer</cp:lastModifiedBy>
  <cp:revision>15</cp:revision>
  <dcterms:created xsi:type="dcterms:W3CDTF">2025-08-17T21:47:00Z</dcterms:created>
  <dcterms:modified xsi:type="dcterms:W3CDTF">2025-08-18T08:15:00Z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867009d3-5b8e-4628-a86e-bf3e6cc89a1a</vt:lpwstr>
  </property>
</Properties>
</file>