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A48" w:rsidRPr="00497A48" w:rsidRDefault="00497A48" w:rsidP="003C58C2">
      <w:pPr>
        <w:rPr>
          <w:b/>
          <w:snapToGrid w:val="0"/>
          <w:sz w:val="28"/>
          <w:szCs w:val="28"/>
        </w:rPr>
      </w:pPr>
      <w:bookmarkStart w:id="0" w:name="_GoBack"/>
      <w:bookmarkEnd w:id="0"/>
      <w:r w:rsidRPr="00497A48">
        <w:rPr>
          <w:b/>
          <w:snapToGrid w:val="0"/>
          <w:sz w:val="28"/>
          <w:szCs w:val="28"/>
        </w:rPr>
        <w:t>Tadeáš Baláček: Klub československých turistů v Krkonoších v letech 1918-1938.</w:t>
      </w:r>
    </w:p>
    <w:p w:rsidR="001A7C8F" w:rsidRPr="00497A48" w:rsidRDefault="001A7C8F" w:rsidP="003C58C2">
      <w:pPr>
        <w:rPr>
          <w:snapToGrid w:val="0"/>
          <w:sz w:val="28"/>
          <w:szCs w:val="28"/>
        </w:rPr>
      </w:pPr>
      <w:r w:rsidRPr="00497A48">
        <w:rPr>
          <w:snapToGrid w:val="0"/>
          <w:sz w:val="28"/>
          <w:szCs w:val="28"/>
        </w:rPr>
        <w:t xml:space="preserve">Diplomová práce. </w:t>
      </w:r>
      <w:r w:rsidR="000F4D38" w:rsidRPr="00497A48">
        <w:rPr>
          <w:snapToGrid w:val="0"/>
          <w:sz w:val="28"/>
          <w:szCs w:val="28"/>
        </w:rPr>
        <w:t>Ústav</w:t>
      </w:r>
      <w:r w:rsidRPr="00497A48">
        <w:rPr>
          <w:snapToGrid w:val="0"/>
          <w:sz w:val="28"/>
          <w:szCs w:val="28"/>
        </w:rPr>
        <w:t xml:space="preserve"> historických věd </w:t>
      </w:r>
      <w:r w:rsidR="00464E35" w:rsidRPr="00497A48">
        <w:rPr>
          <w:snapToGrid w:val="0"/>
          <w:sz w:val="28"/>
          <w:szCs w:val="28"/>
        </w:rPr>
        <w:t>Filosofické f</w:t>
      </w:r>
      <w:r w:rsidRPr="00497A48">
        <w:rPr>
          <w:snapToGrid w:val="0"/>
          <w:sz w:val="28"/>
          <w:szCs w:val="28"/>
        </w:rPr>
        <w:t>akulty University Pardubice, Pardubice 20</w:t>
      </w:r>
      <w:r w:rsidR="00497A48" w:rsidRPr="00497A48">
        <w:rPr>
          <w:snapToGrid w:val="0"/>
          <w:sz w:val="28"/>
          <w:szCs w:val="28"/>
        </w:rPr>
        <w:t>21</w:t>
      </w:r>
      <w:r w:rsidRPr="00497A48">
        <w:rPr>
          <w:snapToGrid w:val="0"/>
          <w:sz w:val="28"/>
          <w:szCs w:val="28"/>
        </w:rPr>
        <w:t>.</w:t>
      </w:r>
    </w:p>
    <w:p w:rsidR="001A7C8F" w:rsidRPr="00497A48" w:rsidRDefault="001A7C8F" w:rsidP="003C58C2">
      <w:pPr>
        <w:rPr>
          <w:snapToGrid w:val="0"/>
          <w:sz w:val="28"/>
          <w:szCs w:val="28"/>
        </w:rPr>
      </w:pPr>
      <w:r w:rsidRPr="00497A48">
        <w:rPr>
          <w:snapToGrid w:val="0"/>
          <w:sz w:val="28"/>
          <w:szCs w:val="28"/>
        </w:rPr>
        <w:t>Oponentský p</w:t>
      </w:r>
      <w:r w:rsidR="00497A48" w:rsidRPr="00497A48">
        <w:rPr>
          <w:snapToGrid w:val="0"/>
          <w:sz w:val="28"/>
          <w:szCs w:val="28"/>
        </w:rPr>
        <w:t>osudek</w:t>
      </w:r>
    </w:p>
    <w:p w:rsidR="001A7C8F" w:rsidRPr="00497A48" w:rsidRDefault="001A7C8F" w:rsidP="003C58C2">
      <w:pPr>
        <w:rPr>
          <w:snapToGrid w:val="0"/>
          <w:sz w:val="28"/>
          <w:szCs w:val="28"/>
        </w:rPr>
      </w:pPr>
    </w:p>
    <w:p w:rsidR="00497A48" w:rsidRPr="00497A48" w:rsidRDefault="00497A48" w:rsidP="003C58C2">
      <w:pPr>
        <w:jc w:val="both"/>
        <w:rPr>
          <w:snapToGrid w:val="0"/>
          <w:sz w:val="28"/>
          <w:szCs w:val="28"/>
        </w:rPr>
      </w:pPr>
      <w:r w:rsidRPr="00497A48">
        <w:rPr>
          <w:snapToGrid w:val="0"/>
          <w:sz w:val="28"/>
          <w:szCs w:val="28"/>
        </w:rPr>
        <w:tab/>
        <w:t xml:space="preserve">Tadeáš Baláček ve své diplomové práci navázal na práci bakalářskou, v níž řešil podobnou otázku pro léta před první světovou válkou. </w:t>
      </w:r>
    </w:p>
    <w:p w:rsidR="004F7BC6" w:rsidRDefault="004F7BC6" w:rsidP="003C58C2">
      <w:pPr>
        <w:jc w:val="both"/>
        <w:rPr>
          <w:snapToGrid w:val="0"/>
          <w:sz w:val="28"/>
          <w:szCs w:val="28"/>
        </w:rPr>
      </w:pPr>
      <w:r w:rsidRPr="004F7BC6">
        <w:rPr>
          <w:snapToGrid w:val="0"/>
          <w:sz w:val="28"/>
          <w:szCs w:val="28"/>
        </w:rPr>
        <w:tab/>
        <w:t>V úvodu autor nastínil stavbu práce</w:t>
      </w:r>
      <w:r>
        <w:rPr>
          <w:snapToGrid w:val="0"/>
          <w:sz w:val="28"/>
          <w:szCs w:val="28"/>
        </w:rPr>
        <w:t>, podrobně rozebral a zhodnotil použi</w:t>
      </w:r>
      <w:r w:rsidR="003C58C2">
        <w:rPr>
          <w:snapToGrid w:val="0"/>
          <w:sz w:val="28"/>
          <w:szCs w:val="28"/>
        </w:rPr>
        <w:softHyphen/>
      </w:r>
      <w:r>
        <w:rPr>
          <w:snapToGrid w:val="0"/>
          <w:sz w:val="28"/>
          <w:szCs w:val="28"/>
        </w:rPr>
        <w:t xml:space="preserve">tou literaturu a prameny. Vše je náležitě citováno. </w:t>
      </w:r>
    </w:p>
    <w:p w:rsidR="004F7BC6" w:rsidRDefault="004F7BC6" w:rsidP="003C58C2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První kapitola práce nabízí stručné dějiny Klubu českých turistů před vznikem ČSR, navazuje kapitola o vývoji turismu v Československu, v další je věnována </w:t>
      </w:r>
      <w:r w:rsidR="000B40EC">
        <w:rPr>
          <w:snapToGrid w:val="0"/>
          <w:sz w:val="28"/>
          <w:szCs w:val="28"/>
        </w:rPr>
        <w:t>pozornost Slovensku jakožto dosti novému poli působnosti pro turisty. Autor píše o organisačních změnách v KČ(S)T a vzniku místních slovenských odborů, publikační činnosti, postojích Slováků</w:t>
      </w:r>
      <w:r w:rsidR="003C58C2">
        <w:rPr>
          <w:snapToGrid w:val="0"/>
          <w:sz w:val="28"/>
          <w:szCs w:val="28"/>
        </w:rPr>
        <w:t>. V</w:t>
      </w:r>
      <w:r w:rsidR="000B40EC">
        <w:rPr>
          <w:snapToGrid w:val="0"/>
          <w:sz w:val="28"/>
          <w:szCs w:val="28"/>
        </w:rPr>
        <w:t> následující kapitole se zaměřil na řešení vnitřních záležitostí sílícího klubu, mimo jiné zakládáním regionálních žup. Jednou z důležitých složek činnosti klubu, jejíž plody přetrvávají dodnes, bylo značkování turistických tras. Tomu je rovněž věnován náležitý pro</w:t>
      </w:r>
      <w:r w:rsidR="00881A61">
        <w:rPr>
          <w:snapToGrid w:val="0"/>
          <w:sz w:val="28"/>
          <w:szCs w:val="28"/>
        </w:rPr>
        <w:t xml:space="preserve">stor, </w:t>
      </w:r>
      <w:r w:rsidR="004D6EB1">
        <w:rPr>
          <w:snapToGrid w:val="0"/>
          <w:sz w:val="28"/>
          <w:szCs w:val="28"/>
        </w:rPr>
        <w:t xml:space="preserve">je popsán vývoj značení, </w:t>
      </w:r>
      <w:r w:rsidR="00881A61">
        <w:rPr>
          <w:snapToGrid w:val="0"/>
          <w:sz w:val="28"/>
          <w:szCs w:val="28"/>
        </w:rPr>
        <w:t>zajímavé jsou zmínky o soupeření německých a českoslo</w:t>
      </w:r>
      <w:r w:rsidR="003C58C2">
        <w:rPr>
          <w:snapToGrid w:val="0"/>
          <w:sz w:val="28"/>
          <w:szCs w:val="28"/>
        </w:rPr>
        <w:softHyphen/>
      </w:r>
      <w:r w:rsidR="00881A61">
        <w:rPr>
          <w:snapToGrid w:val="0"/>
          <w:sz w:val="28"/>
          <w:szCs w:val="28"/>
        </w:rPr>
        <w:t xml:space="preserve">venských klubů a „značkařů“ na tomto poli. </w:t>
      </w:r>
      <w:r w:rsidR="00213BBE">
        <w:rPr>
          <w:snapToGrid w:val="0"/>
          <w:sz w:val="28"/>
          <w:szCs w:val="28"/>
        </w:rPr>
        <w:t>Vzhledem k vývoji vnitřních po</w:t>
      </w:r>
      <w:r w:rsidR="003C58C2">
        <w:rPr>
          <w:snapToGrid w:val="0"/>
          <w:sz w:val="28"/>
          <w:szCs w:val="28"/>
        </w:rPr>
        <w:softHyphen/>
      </w:r>
      <w:r w:rsidR="00213BBE">
        <w:rPr>
          <w:snapToGrid w:val="0"/>
          <w:sz w:val="28"/>
          <w:szCs w:val="28"/>
        </w:rPr>
        <w:t>měrů v ČSR i mezinárodních vztahů je zcela namístě kapitola šestá, pojednáva</w:t>
      </w:r>
      <w:r w:rsidR="003C58C2">
        <w:rPr>
          <w:snapToGrid w:val="0"/>
          <w:sz w:val="28"/>
          <w:szCs w:val="28"/>
        </w:rPr>
        <w:softHyphen/>
      </w:r>
      <w:r w:rsidR="00213BBE">
        <w:rPr>
          <w:snapToGrid w:val="0"/>
          <w:sz w:val="28"/>
          <w:szCs w:val="28"/>
        </w:rPr>
        <w:t>jící</w:t>
      </w:r>
      <w:r w:rsidR="003C58C2">
        <w:rPr>
          <w:snapToGrid w:val="0"/>
          <w:sz w:val="28"/>
          <w:szCs w:val="28"/>
        </w:rPr>
        <w:t xml:space="preserve">          </w:t>
      </w:r>
      <w:r w:rsidR="00213BBE">
        <w:rPr>
          <w:snapToGrid w:val="0"/>
          <w:sz w:val="28"/>
          <w:szCs w:val="28"/>
        </w:rPr>
        <w:t xml:space="preserve"> o vztahu KČST k brannosti, jenž měl i podporu státních úřadů. Důležitou činností bylo vydávání turistických map</w:t>
      </w:r>
      <w:r w:rsidR="00241FF8">
        <w:rPr>
          <w:snapToGrid w:val="0"/>
          <w:sz w:val="28"/>
          <w:szCs w:val="28"/>
        </w:rPr>
        <w:t>, práce s mladou generací, provozování ubytovacích zařízení, z nichž zejména studentské noclehárny měly pro nemajet</w:t>
      </w:r>
      <w:r w:rsidR="003C58C2">
        <w:rPr>
          <w:snapToGrid w:val="0"/>
          <w:sz w:val="28"/>
          <w:szCs w:val="28"/>
        </w:rPr>
        <w:softHyphen/>
      </w:r>
      <w:r w:rsidR="00241FF8">
        <w:rPr>
          <w:snapToGrid w:val="0"/>
          <w:sz w:val="28"/>
          <w:szCs w:val="28"/>
        </w:rPr>
        <w:t>nou mládež velký význam. Osmá kapitola pojednává o historii turistiky v Krko</w:t>
      </w:r>
      <w:r w:rsidR="003C58C2">
        <w:rPr>
          <w:snapToGrid w:val="0"/>
          <w:sz w:val="28"/>
          <w:szCs w:val="28"/>
        </w:rPr>
        <w:softHyphen/>
      </w:r>
      <w:r w:rsidR="00241FF8">
        <w:rPr>
          <w:snapToGrid w:val="0"/>
          <w:sz w:val="28"/>
          <w:szCs w:val="28"/>
        </w:rPr>
        <w:t xml:space="preserve">noších před velkou válkou, následuje výklad o pozdějším vývoji. Vše je dobře zasazeno do politických souvislostí a řešení česko – německých vztahů. </w:t>
      </w:r>
      <w:r w:rsidR="00FD6D6C">
        <w:rPr>
          <w:snapToGrid w:val="0"/>
          <w:sz w:val="28"/>
          <w:szCs w:val="28"/>
        </w:rPr>
        <w:t xml:space="preserve">Tyto dvě kapitoly možná měly být předsunuty, v dřívějším výkladu o KČ(S)T a jeho vztazích s německými protějšky by </w:t>
      </w:r>
      <w:r w:rsidR="003C58C2">
        <w:rPr>
          <w:snapToGrid w:val="0"/>
          <w:sz w:val="28"/>
          <w:szCs w:val="28"/>
        </w:rPr>
        <w:t xml:space="preserve">díky tomu </w:t>
      </w:r>
      <w:r w:rsidR="00FD6D6C">
        <w:rPr>
          <w:snapToGrid w:val="0"/>
          <w:sz w:val="28"/>
          <w:szCs w:val="28"/>
        </w:rPr>
        <w:t xml:space="preserve">byly některé věci jasnější, nicméně výklad je podrobný, dobře podložený. Podobně důkladně je zpracována i otázka typického krkonošského prvku, totiž bud, jejichž majitelé se stále více zaměřovali na služby turistům. </w:t>
      </w:r>
      <w:r w:rsidR="00A14B5C">
        <w:rPr>
          <w:snapToGrid w:val="0"/>
          <w:sz w:val="28"/>
          <w:szCs w:val="28"/>
        </w:rPr>
        <w:t>Správní turisté se nejraději pohybují pěšky, zejména v dané době to platilo, ale do příslušné oblasti se musili nějak dopravit. Této záležitosti</w:t>
      </w:r>
      <w:r w:rsidR="003C58C2">
        <w:rPr>
          <w:snapToGrid w:val="0"/>
          <w:sz w:val="28"/>
          <w:szCs w:val="28"/>
        </w:rPr>
        <w:t>, dopravě železniční a silniční,</w:t>
      </w:r>
      <w:r w:rsidR="00A14B5C">
        <w:rPr>
          <w:snapToGrid w:val="0"/>
          <w:sz w:val="28"/>
          <w:szCs w:val="28"/>
        </w:rPr>
        <w:t xml:space="preserve"> je věnována kapitola třináctá.</w:t>
      </w:r>
      <w:r w:rsidR="002E5763">
        <w:rPr>
          <w:snapToGrid w:val="0"/>
          <w:sz w:val="28"/>
          <w:szCs w:val="28"/>
        </w:rPr>
        <w:t xml:space="preserve"> Ná</w:t>
      </w:r>
      <w:r w:rsidR="003C58C2">
        <w:rPr>
          <w:snapToGrid w:val="0"/>
          <w:sz w:val="28"/>
          <w:szCs w:val="28"/>
        </w:rPr>
        <w:softHyphen/>
      </w:r>
      <w:r w:rsidR="002E5763">
        <w:rPr>
          <w:snapToGrid w:val="0"/>
          <w:sz w:val="28"/>
          <w:szCs w:val="28"/>
        </w:rPr>
        <w:t>sledně je řeč o tu</w:t>
      </w:r>
      <w:r w:rsidR="003C58C2">
        <w:rPr>
          <w:snapToGrid w:val="0"/>
          <w:sz w:val="28"/>
          <w:szCs w:val="28"/>
        </w:rPr>
        <w:t>-</w:t>
      </w:r>
      <w:r w:rsidR="002E5763">
        <w:rPr>
          <w:snapToGrid w:val="0"/>
          <w:sz w:val="28"/>
          <w:szCs w:val="28"/>
        </w:rPr>
        <w:t xml:space="preserve">ristických trasách a organisovaných výletech, pominuta není ani zimní turistika s lyžováním a dalšími zimními sporty. Důležitou organisací dones je krkonošská horská služba, </w:t>
      </w:r>
      <w:r w:rsidR="00C84CE3">
        <w:rPr>
          <w:snapToGrid w:val="0"/>
          <w:sz w:val="28"/>
          <w:szCs w:val="28"/>
        </w:rPr>
        <w:t>jež má kořeny v 19. století.</w:t>
      </w:r>
      <w:r w:rsidR="00143AFD">
        <w:rPr>
          <w:snapToGrid w:val="0"/>
          <w:sz w:val="28"/>
          <w:szCs w:val="28"/>
        </w:rPr>
        <w:t xml:space="preserve"> Práci zakončuje shrnující závěr</w:t>
      </w:r>
      <w:r w:rsidR="003C58C2">
        <w:rPr>
          <w:snapToGrid w:val="0"/>
          <w:sz w:val="28"/>
          <w:szCs w:val="28"/>
        </w:rPr>
        <w:t xml:space="preserve"> a bo-hatý seznam pramenů a literatury</w:t>
      </w:r>
      <w:r w:rsidR="00143AFD">
        <w:rPr>
          <w:snapToGrid w:val="0"/>
          <w:sz w:val="28"/>
          <w:szCs w:val="28"/>
        </w:rPr>
        <w:t xml:space="preserve">. </w:t>
      </w:r>
    </w:p>
    <w:p w:rsidR="004F7BC6" w:rsidRPr="00143AFD" w:rsidRDefault="00143AFD" w:rsidP="003C58C2">
      <w:pPr>
        <w:jc w:val="both"/>
        <w:rPr>
          <w:b/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 xml:space="preserve">Práce je logicky uspořádána (až na výše uvedenou výjimku), kapitoly na sebe vzájemně dobře navazují. </w:t>
      </w:r>
      <w:r w:rsidR="0080782A" w:rsidRPr="00A46623">
        <w:rPr>
          <w:snapToGrid w:val="0"/>
          <w:sz w:val="28"/>
          <w:szCs w:val="28"/>
        </w:rPr>
        <w:t>Formální náležitosti práce</w:t>
      </w:r>
      <w:r w:rsidR="00A46623" w:rsidRPr="00A46623">
        <w:rPr>
          <w:snapToGrid w:val="0"/>
          <w:sz w:val="28"/>
          <w:szCs w:val="28"/>
        </w:rPr>
        <w:t xml:space="preserve"> jsou převážně v po</w:t>
      </w:r>
      <w:r w:rsidR="003C58C2">
        <w:rPr>
          <w:snapToGrid w:val="0"/>
          <w:sz w:val="28"/>
          <w:szCs w:val="28"/>
        </w:rPr>
        <w:softHyphen/>
      </w:r>
      <w:r w:rsidR="00A46623" w:rsidRPr="00A46623">
        <w:rPr>
          <w:snapToGrid w:val="0"/>
          <w:sz w:val="28"/>
          <w:szCs w:val="28"/>
        </w:rPr>
        <w:t xml:space="preserve">řádku. </w:t>
      </w:r>
      <w:r w:rsidR="00A14B5C">
        <w:rPr>
          <w:snapToGrid w:val="0"/>
          <w:sz w:val="28"/>
          <w:szCs w:val="28"/>
        </w:rPr>
        <w:t xml:space="preserve">Práce je psána </w:t>
      </w:r>
      <w:r w:rsidR="002E5763">
        <w:rPr>
          <w:snapToGrid w:val="0"/>
          <w:sz w:val="28"/>
          <w:szCs w:val="28"/>
        </w:rPr>
        <w:t xml:space="preserve">pěkným, </w:t>
      </w:r>
      <w:r w:rsidR="00A14B5C">
        <w:rPr>
          <w:snapToGrid w:val="0"/>
          <w:sz w:val="28"/>
          <w:szCs w:val="28"/>
        </w:rPr>
        <w:t>čtivým jazykem, autor ovšem přehlédl velmi četné c</w:t>
      </w:r>
      <w:r w:rsidR="004F7BC6" w:rsidRPr="004F7BC6">
        <w:rPr>
          <w:snapToGrid w:val="0"/>
          <w:sz w:val="28"/>
          <w:szCs w:val="28"/>
        </w:rPr>
        <w:t>hyby v</w:t>
      </w:r>
      <w:r w:rsidR="004D6EB1">
        <w:rPr>
          <w:snapToGrid w:val="0"/>
          <w:sz w:val="28"/>
          <w:szCs w:val="28"/>
        </w:rPr>
        <w:t> </w:t>
      </w:r>
      <w:r w:rsidR="004F7BC6" w:rsidRPr="004F7BC6">
        <w:rPr>
          <w:snapToGrid w:val="0"/>
          <w:sz w:val="28"/>
          <w:szCs w:val="28"/>
        </w:rPr>
        <w:t>interpunkci</w:t>
      </w:r>
      <w:r w:rsidR="004D6EB1">
        <w:rPr>
          <w:snapToGrid w:val="0"/>
          <w:sz w:val="28"/>
          <w:szCs w:val="28"/>
        </w:rPr>
        <w:t xml:space="preserve">, </w:t>
      </w:r>
      <w:r>
        <w:rPr>
          <w:snapToGrid w:val="0"/>
          <w:sz w:val="28"/>
          <w:szCs w:val="28"/>
        </w:rPr>
        <w:t xml:space="preserve">v psaní velkých písmen, </w:t>
      </w:r>
      <w:r w:rsidR="004D6EB1">
        <w:rPr>
          <w:snapToGrid w:val="0"/>
          <w:sz w:val="28"/>
          <w:szCs w:val="28"/>
        </w:rPr>
        <w:t>hrub</w:t>
      </w:r>
      <w:r w:rsidR="003C58C2">
        <w:rPr>
          <w:snapToGrid w:val="0"/>
          <w:sz w:val="28"/>
          <w:szCs w:val="28"/>
        </w:rPr>
        <w:t>ou chybu</w:t>
      </w:r>
      <w:r w:rsidR="004D6EB1">
        <w:rPr>
          <w:snapToGrid w:val="0"/>
          <w:sz w:val="28"/>
          <w:szCs w:val="28"/>
        </w:rPr>
        <w:t xml:space="preserve"> (s. 39)</w:t>
      </w:r>
      <w:r w:rsidR="003C58C2">
        <w:rPr>
          <w:snapToGrid w:val="0"/>
          <w:sz w:val="28"/>
          <w:szCs w:val="28"/>
        </w:rPr>
        <w:t xml:space="preserve"> a</w:t>
      </w:r>
      <w:r w:rsidR="00213BBE">
        <w:rPr>
          <w:snapToGrid w:val="0"/>
          <w:sz w:val="28"/>
          <w:szCs w:val="28"/>
        </w:rPr>
        <w:t xml:space="preserve"> ob</w:t>
      </w:r>
      <w:r w:rsidR="003C58C2">
        <w:rPr>
          <w:snapToGrid w:val="0"/>
          <w:sz w:val="28"/>
          <w:szCs w:val="28"/>
        </w:rPr>
        <w:softHyphen/>
      </w:r>
      <w:r w:rsidR="00213BBE">
        <w:rPr>
          <w:snapToGrid w:val="0"/>
          <w:sz w:val="28"/>
          <w:szCs w:val="28"/>
        </w:rPr>
        <w:t>časné překlepy</w:t>
      </w:r>
      <w:r>
        <w:rPr>
          <w:snapToGrid w:val="0"/>
          <w:sz w:val="28"/>
          <w:szCs w:val="28"/>
        </w:rPr>
        <w:t>.</w:t>
      </w:r>
      <w:r w:rsidR="00213BBE">
        <w:rPr>
          <w:snapToGrid w:val="0"/>
          <w:sz w:val="28"/>
          <w:szCs w:val="28"/>
        </w:rPr>
        <w:t xml:space="preserve"> V odborné práci není vhodné používat praesens historicum. </w:t>
      </w:r>
    </w:p>
    <w:p w:rsidR="00143AFD" w:rsidRDefault="00143AFD" w:rsidP="003C58C2">
      <w:pPr>
        <w:ind w:firstLine="720"/>
        <w:jc w:val="both"/>
        <w:rPr>
          <w:snapToGrid w:val="0"/>
          <w:sz w:val="28"/>
          <w:szCs w:val="28"/>
        </w:rPr>
      </w:pPr>
      <w:r w:rsidRPr="00143AFD">
        <w:rPr>
          <w:snapToGrid w:val="0"/>
          <w:sz w:val="28"/>
          <w:szCs w:val="28"/>
        </w:rPr>
        <w:lastRenderedPageBreak/>
        <w:t xml:space="preserve">Celkově práce </w:t>
      </w:r>
      <w:r w:rsidRPr="003C58C2">
        <w:rPr>
          <w:snapToGrid w:val="0"/>
          <w:sz w:val="28"/>
          <w:szCs w:val="28"/>
        </w:rPr>
        <w:t xml:space="preserve">Tadeáše Baláčka přehledně shrnuje dané téma, přináší řadu nových poznatků. </w:t>
      </w:r>
      <w:r w:rsidR="00D7349B" w:rsidRPr="003C58C2">
        <w:rPr>
          <w:snapToGrid w:val="0"/>
          <w:sz w:val="28"/>
          <w:szCs w:val="28"/>
        </w:rPr>
        <w:t>Autor pracoval s bohatým výběrem literatury</w:t>
      </w:r>
      <w:r w:rsidR="00FD6D6C" w:rsidRPr="003C58C2">
        <w:rPr>
          <w:snapToGrid w:val="0"/>
          <w:sz w:val="28"/>
          <w:szCs w:val="28"/>
        </w:rPr>
        <w:t xml:space="preserve"> (české, německé anglické)</w:t>
      </w:r>
      <w:r w:rsidR="00D7349B" w:rsidRPr="003C58C2">
        <w:rPr>
          <w:snapToGrid w:val="0"/>
          <w:sz w:val="28"/>
          <w:szCs w:val="28"/>
        </w:rPr>
        <w:t>, nepublikovanými</w:t>
      </w:r>
      <w:r w:rsidR="00D7349B" w:rsidRPr="00D7349B">
        <w:rPr>
          <w:snapToGrid w:val="0"/>
          <w:sz w:val="28"/>
          <w:szCs w:val="28"/>
        </w:rPr>
        <w:t xml:space="preserve"> prameny z jilemnického musea a dobovým tiskem</w:t>
      </w:r>
      <w:r>
        <w:rPr>
          <w:snapToGrid w:val="0"/>
          <w:sz w:val="28"/>
          <w:szCs w:val="28"/>
        </w:rPr>
        <w:t>. Cíle byl</w:t>
      </w:r>
      <w:r w:rsidR="003C58C2">
        <w:rPr>
          <w:snapToGrid w:val="0"/>
          <w:sz w:val="28"/>
          <w:szCs w:val="28"/>
        </w:rPr>
        <w:t>y</w:t>
      </w:r>
      <w:r>
        <w:rPr>
          <w:snapToGrid w:val="0"/>
          <w:sz w:val="28"/>
          <w:szCs w:val="28"/>
        </w:rPr>
        <w:t xml:space="preserve"> nepochybně splněny. </w:t>
      </w:r>
    </w:p>
    <w:p w:rsidR="003C58C2" w:rsidRDefault="003C58C2" w:rsidP="003C58C2">
      <w:pPr>
        <w:ind w:firstLine="720"/>
        <w:jc w:val="both"/>
        <w:rPr>
          <w:snapToGrid w:val="0"/>
          <w:sz w:val="28"/>
          <w:szCs w:val="28"/>
        </w:rPr>
      </w:pPr>
    </w:p>
    <w:p w:rsidR="00D7349B" w:rsidRPr="00143AFD" w:rsidRDefault="00143AFD" w:rsidP="003C58C2">
      <w:pPr>
        <w:ind w:firstLine="720"/>
        <w:jc w:val="both"/>
        <w:rPr>
          <w:b/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Doporučuji práci k obhajobě a </w:t>
      </w:r>
      <w:r w:rsidR="003C58C2">
        <w:rPr>
          <w:snapToGrid w:val="0"/>
          <w:sz w:val="28"/>
          <w:szCs w:val="28"/>
        </w:rPr>
        <w:t xml:space="preserve">– vzhledem k jazykovým nedostatkům - </w:t>
      </w:r>
      <w:r>
        <w:rPr>
          <w:snapToGrid w:val="0"/>
          <w:sz w:val="28"/>
          <w:szCs w:val="28"/>
        </w:rPr>
        <w:t>navrhuji hodnocení</w:t>
      </w:r>
      <w:r w:rsidR="00D7349B" w:rsidRPr="00D7349B">
        <w:rPr>
          <w:snapToGrid w:val="0"/>
          <w:sz w:val="28"/>
          <w:szCs w:val="28"/>
        </w:rPr>
        <w:t xml:space="preserve"> </w:t>
      </w:r>
      <w:r w:rsidR="003C58C2" w:rsidRPr="003C58C2">
        <w:rPr>
          <w:b/>
          <w:snapToGrid w:val="0"/>
          <w:sz w:val="28"/>
          <w:szCs w:val="28"/>
        </w:rPr>
        <w:t xml:space="preserve">výborně </w:t>
      </w:r>
      <w:r w:rsidR="00A264B3">
        <w:rPr>
          <w:b/>
          <w:snapToGrid w:val="0"/>
          <w:sz w:val="28"/>
          <w:szCs w:val="28"/>
        </w:rPr>
        <w:t>minus</w:t>
      </w:r>
      <w:r w:rsidR="003C58C2" w:rsidRPr="003C58C2">
        <w:rPr>
          <w:b/>
          <w:snapToGrid w:val="0"/>
          <w:sz w:val="28"/>
          <w:szCs w:val="28"/>
        </w:rPr>
        <w:t>, tj. B</w:t>
      </w:r>
      <w:r w:rsidR="003C58C2">
        <w:rPr>
          <w:snapToGrid w:val="0"/>
          <w:sz w:val="28"/>
          <w:szCs w:val="28"/>
        </w:rPr>
        <w:t>.</w:t>
      </w:r>
    </w:p>
    <w:p w:rsidR="000F4D38" w:rsidRDefault="000F4D38" w:rsidP="003C58C2">
      <w:pPr>
        <w:rPr>
          <w:b/>
          <w:snapToGrid w:val="0"/>
          <w:sz w:val="28"/>
          <w:szCs w:val="28"/>
        </w:rPr>
      </w:pPr>
    </w:p>
    <w:p w:rsidR="003C58C2" w:rsidRDefault="003C58C2" w:rsidP="003C58C2">
      <w:pPr>
        <w:rPr>
          <w:snapToGrid w:val="0"/>
          <w:sz w:val="28"/>
          <w:szCs w:val="28"/>
        </w:rPr>
      </w:pPr>
      <w:r w:rsidRPr="003C58C2">
        <w:rPr>
          <w:snapToGrid w:val="0"/>
          <w:sz w:val="28"/>
          <w:szCs w:val="28"/>
        </w:rPr>
        <w:t>Pardubice 22. srpna 2021</w:t>
      </w:r>
    </w:p>
    <w:p w:rsidR="003C58C2" w:rsidRPr="003C58C2" w:rsidRDefault="003C58C2" w:rsidP="003C58C2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  <w:t>doc. PhDr. Tomáš Jiránek, Ph.D.</w:t>
      </w:r>
    </w:p>
    <w:sectPr w:rsidR="003C58C2" w:rsidRPr="003C58C2" w:rsidSect="00881A61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B40EC"/>
    <w:rsid w:val="000F4D38"/>
    <w:rsid w:val="00143AFD"/>
    <w:rsid w:val="001A7C8F"/>
    <w:rsid w:val="00213BBE"/>
    <w:rsid w:val="00241FF8"/>
    <w:rsid w:val="002E5763"/>
    <w:rsid w:val="003C58C2"/>
    <w:rsid w:val="00464E35"/>
    <w:rsid w:val="004741E6"/>
    <w:rsid w:val="00487FD6"/>
    <w:rsid w:val="00495D29"/>
    <w:rsid w:val="00497A48"/>
    <w:rsid w:val="004C3651"/>
    <w:rsid w:val="004D6EB1"/>
    <w:rsid w:val="004F7BC6"/>
    <w:rsid w:val="0080782A"/>
    <w:rsid w:val="00881A61"/>
    <w:rsid w:val="00A14B5C"/>
    <w:rsid w:val="00A264B3"/>
    <w:rsid w:val="00A46623"/>
    <w:rsid w:val="00AF4456"/>
    <w:rsid w:val="00BC5A9C"/>
    <w:rsid w:val="00C84CE3"/>
    <w:rsid w:val="00D7349B"/>
    <w:rsid w:val="00FD6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496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2021-08-23T08:37:00Z</dcterms:created>
  <dcterms:modified xsi:type="dcterms:W3CDTF">2021-08-23T08:37:00Z</dcterms:modified>
</cp:coreProperties>
</file>