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F65F8" w14:textId="0E163CA2" w:rsidR="00525FAA" w:rsidRPr="007303D7" w:rsidRDefault="00EC2EBB" w:rsidP="007303D7">
      <w:pPr>
        <w:spacing w:after="0" w:line="360" w:lineRule="auto"/>
        <w:jc w:val="right"/>
        <w:rPr>
          <w:sz w:val="24"/>
          <w:szCs w:val="24"/>
        </w:rPr>
      </w:pPr>
      <w:r w:rsidRPr="007303D7">
        <w:rPr>
          <w:sz w:val="24"/>
          <w:szCs w:val="24"/>
        </w:rPr>
        <w:t>V Pardubicích 10. ledna 2023</w:t>
      </w:r>
    </w:p>
    <w:p w14:paraId="35453515" w14:textId="77777777" w:rsidR="00EC2EBB" w:rsidRPr="007303D7" w:rsidRDefault="00EC2EBB" w:rsidP="007303D7">
      <w:pPr>
        <w:spacing w:after="0" w:line="360" w:lineRule="auto"/>
        <w:jc w:val="right"/>
        <w:rPr>
          <w:sz w:val="24"/>
          <w:szCs w:val="24"/>
        </w:rPr>
      </w:pPr>
    </w:p>
    <w:p w14:paraId="434EEF26" w14:textId="77777777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</w:p>
    <w:p w14:paraId="22B428D2" w14:textId="77777777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</w:p>
    <w:p w14:paraId="5185870A" w14:textId="77777777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>Posudek na bakalářskou práci:</w:t>
      </w:r>
    </w:p>
    <w:p w14:paraId="76498565" w14:textId="607A5E6E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 xml:space="preserve">Kristýna Doležalová: </w:t>
      </w:r>
      <w:r w:rsidRPr="007303D7">
        <w:rPr>
          <w:sz w:val="24"/>
          <w:szCs w:val="24"/>
        </w:rPr>
        <w:t>Kuchařka a její role v mikrosvětě kališnických far</w:t>
      </w:r>
      <w:r w:rsidRPr="007303D7">
        <w:rPr>
          <w:sz w:val="24"/>
          <w:szCs w:val="24"/>
        </w:rPr>
        <w:t>.</w:t>
      </w:r>
    </w:p>
    <w:p w14:paraId="621C466F" w14:textId="77777777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</w:p>
    <w:p w14:paraId="77291DE4" w14:textId="7775B65F" w:rsidR="00EC2EBB" w:rsidRPr="007303D7" w:rsidRDefault="00EC2EBB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>Kristýna Doležalová si ke své bakalářské práci zvolila téma, kterému se (ve zpracovaném časovém období) překvapivě nedostalo širší pozornosti, a to navzdory tomu, že už po několik desítek let rezonuje v historické obci výzkum Františka Šmahela věnovaný</w:t>
      </w:r>
      <w:r w:rsidR="002D4911" w:rsidRPr="007303D7">
        <w:rPr>
          <w:sz w:val="24"/>
          <w:szCs w:val="24"/>
        </w:rPr>
        <w:t xml:space="preserve"> ženám na farách v </w:t>
      </w:r>
      <w:r w:rsidRPr="007303D7">
        <w:rPr>
          <w:sz w:val="24"/>
          <w:szCs w:val="24"/>
        </w:rPr>
        <w:t xml:space="preserve">předhusitské době. Podobná „předloha“ může být na jednu stranu </w:t>
      </w:r>
      <w:r w:rsidR="002D4911" w:rsidRPr="007303D7">
        <w:rPr>
          <w:sz w:val="24"/>
          <w:szCs w:val="24"/>
        </w:rPr>
        <w:t xml:space="preserve">pro studenta </w:t>
      </w:r>
      <w:r w:rsidRPr="007303D7">
        <w:rPr>
          <w:sz w:val="24"/>
          <w:szCs w:val="24"/>
        </w:rPr>
        <w:t xml:space="preserve">svazující, a druhou stranu nabízí i možnost vstoupit s řečenou prací do </w:t>
      </w:r>
      <w:r w:rsidR="002D4911" w:rsidRPr="007303D7">
        <w:rPr>
          <w:sz w:val="24"/>
          <w:szCs w:val="24"/>
        </w:rPr>
        <w:t>diskuse</w:t>
      </w:r>
      <w:r w:rsidRPr="007303D7">
        <w:rPr>
          <w:sz w:val="24"/>
          <w:szCs w:val="24"/>
        </w:rPr>
        <w:t xml:space="preserve">. Práce Kristýny Doležalové, v mnohých pasážích podnětná, </w:t>
      </w:r>
      <w:r w:rsidR="00390F3C" w:rsidRPr="007303D7">
        <w:rPr>
          <w:sz w:val="24"/>
          <w:szCs w:val="24"/>
        </w:rPr>
        <w:t>ale využívá</w:t>
      </w:r>
      <w:r w:rsidR="00150231" w:rsidRPr="007303D7">
        <w:rPr>
          <w:sz w:val="24"/>
          <w:szCs w:val="24"/>
        </w:rPr>
        <w:t xml:space="preserve"> tuto možnost jen v omezené míře</w:t>
      </w:r>
      <w:r w:rsidRPr="007303D7">
        <w:rPr>
          <w:sz w:val="24"/>
          <w:szCs w:val="24"/>
        </w:rPr>
        <w:t>.</w:t>
      </w:r>
      <w:r w:rsidR="00150231" w:rsidRPr="007303D7">
        <w:rPr>
          <w:sz w:val="24"/>
          <w:szCs w:val="24"/>
        </w:rPr>
        <w:t xml:space="preserve"> </w:t>
      </w:r>
      <w:r w:rsidRPr="007303D7">
        <w:rPr>
          <w:sz w:val="24"/>
          <w:szCs w:val="24"/>
        </w:rPr>
        <w:t xml:space="preserve"> Spíše</w:t>
      </w:r>
      <w:r w:rsidR="00150231" w:rsidRPr="007303D7">
        <w:rPr>
          <w:sz w:val="24"/>
          <w:szCs w:val="24"/>
        </w:rPr>
        <w:t>,</w:t>
      </w:r>
      <w:r w:rsidRPr="007303D7">
        <w:rPr>
          <w:sz w:val="24"/>
          <w:szCs w:val="24"/>
        </w:rPr>
        <w:t xml:space="preserve"> než </w:t>
      </w:r>
      <w:r w:rsidR="00150231" w:rsidRPr="007303D7">
        <w:rPr>
          <w:sz w:val="24"/>
          <w:szCs w:val="24"/>
        </w:rPr>
        <w:t>interpretačně sevřenou Šmahelovu studii připomíná její text na detaily bohatý, ale empirický korpus z pera Zikmunda Wintra o církevním životě v Čechách v 15. a 16. století</w:t>
      </w:r>
      <w:r w:rsidR="002D4911" w:rsidRPr="007303D7">
        <w:rPr>
          <w:sz w:val="24"/>
          <w:szCs w:val="24"/>
        </w:rPr>
        <w:t>, ze kterého také čerpala část použitých příkladů. Nezůstalo však pouze u nich.</w:t>
      </w:r>
    </w:p>
    <w:p w14:paraId="07C7E9D1" w14:textId="7673923D" w:rsidR="00150231" w:rsidRPr="007303D7" w:rsidRDefault="00150231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ab/>
        <w:t>Kristýnu Doležalovou je třeba pochválit za shromá</w:t>
      </w:r>
      <w:r w:rsidR="0054104A" w:rsidRPr="007303D7">
        <w:rPr>
          <w:sz w:val="24"/>
          <w:szCs w:val="24"/>
        </w:rPr>
        <w:t>ž</w:t>
      </w:r>
      <w:r w:rsidRPr="007303D7">
        <w:rPr>
          <w:sz w:val="24"/>
          <w:szCs w:val="24"/>
        </w:rPr>
        <w:t>dění rozsáhl</w:t>
      </w:r>
      <w:r w:rsidR="0054104A" w:rsidRPr="007303D7">
        <w:rPr>
          <w:sz w:val="24"/>
          <w:szCs w:val="24"/>
        </w:rPr>
        <w:t>ého</w:t>
      </w:r>
      <w:r w:rsidRPr="007303D7">
        <w:rPr>
          <w:sz w:val="24"/>
          <w:szCs w:val="24"/>
        </w:rPr>
        <w:t xml:space="preserve"> korpus</w:t>
      </w:r>
      <w:r w:rsidR="0054104A" w:rsidRPr="007303D7">
        <w:rPr>
          <w:sz w:val="24"/>
          <w:szCs w:val="24"/>
        </w:rPr>
        <w:t>u</w:t>
      </w:r>
      <w:r w:rsidRPr="007303D7">
        <w:rPr>
          <w:sz w:val="24"/>
          <w:szCs w:val="24"/>
        </w:rPr>
        <w:t xml:space="preserve"> zmínek </w:t>
      </w:r>
      <w:r w:rsidR="00390F3C" w:rsidRPr="007303D7">
        <w:rPr>
          <w:sz w:val="24"/>
          <w:szCs w:val="24"/>
        </w:rPr>
        <w:t>z převáž</w:t>
      </w:r>
      <w:r w:rsidR="002D4911" w:rsidRPr="007303D7">
        <w:rPr>
          <w:sz w:val="24"/>
          <w:szCs w:val="24"/>
        </w:rPr>
        <w:t>ně</w:t>
      </w:r>
      <w:r w:rsidR="00390F3C" w:rsidRPr="007303D7">
        <w:rPr>
          <w:sz w:val="24"/>
          <w:szCs w:val="24"/>
        </w:rPr>
        <w:t xml:space="preserve"> tištěných</w:t>
      </w:r>
      <w:r w:rsidRPr="007303D7">
        <w:rPr>
          <w:sz w:val="24"/>
          <w:szCs w:val="24"/>
        </w:rPr>
        <w:t> pramen</w:t>
      </w:r>
      <w:r w:rsidR="00390F3C" w:rsidRPr="007303D7">
        <w:rPr>
          <w:sz w:val="24"/>
          <w:szCs w:val="24"/>
        </w:rPr>
        <w:t>ů</w:t>
      </w:r>
      <w:r w:rsidRPr="007303D7">
        <w:rPr>
          <w:sz w:val="24"/>
          <w:szCs w:val="24"/>
        </w:rPr>
        <w:t xml:space="preserve"> a v</w:t>
      </w:r>
      <w:r w:rsidR="0054104A" w:rsidRPr="007303D7">
        <w:rPr>
          <w:sz w:val="24"/>
          <w:szCs w:val="24"/>
        </w:rPr>
        <w:t> </w:t>
      </w:r>
      <w:r w:rsidRPr="007303D7">
        <w:rPr>
          <w:sz w:val="24"/>
          <w:szCs w:val="24"/>
        </w:rPr>
        <w:t>literatu</w:t>
      </w:r>
      <w:r w:rsidR="00390F3C" w:rsidRPr="007303D7">
        <w:rPr>
          <w:sz w:val="24"/>
          <w:szCs w:val="24"/>
        </w:rPr>
        <w:t>ry</w:t>
      </w:r>
      <w:r w:rsidR="0054104A" w:rsidRPr="007303D7">
        <w:rPr>
          <w:sz w:val="24"/>
          <w:szCs w:val="24"/>
        </w:rPr>
        <w:t>, který následně tematicky rozčlenila</w:t>
      </w:r>
      <w:r w:rsidR="00BE37C4" w:rsidRPr="007303D7">
        <w:rPr>
          <w:sz w:val="24"/>
          <w:szCs w:val="24"/>
        </w:rPr>
        <w:t xml:space="preserve"> </w:t>
      </w:r>
      <w:r w:rsidR="00390F3C" w:rsidRPr="007303D7">
        <w:rPr>
          <w:sz w:val="24"/>
          <w:szCs w:val="24"/>
        </w:rPr>
        <w:t>do jednotlivých kapitol</w:t>
      </w:r>
      <w:r w:rsidR="0054104A" w:rsidRPr="007303D7">
        <w:rPr>
          <w:sz w:val="24"/>
          <w:szCs w:val="24"/>
        </w:rPr>
        <w:t>. V zásadě autorka pracovala s dobovými literárními prameny (verši i prózou)</w:t>
      </w:r>
      <w:r w:rsidR="00BE37C4" w:rsidRPr="007303D7">
        <w:rPr>
          <w:sz w:val="24"/>
          <w:szCs w:val="24"/>
        </w:rPr>
        <w:t xml:space="preserve">, soudními a preskriptivními prameny, stranou </w:t>
      </w:r>
      <w:r w:rsidR="002D4911" w:rsidRPr="007303D7">
        <w:rPr>
          <w:sz w:val="24"/>
          <w:szCs w:val="24"/>
        </w:rPr>
        <w:t xml:space="preserve">naopak </w:t>
      </w:r>
      <w:r w:rsidR="00390F3C" w:rsidRPr="007303D7">
        <w:rPr>
          <w:sz w:val="24"/>
          <w:szCs w:val="24"/>
        </w:rPr>
        <w:t xml:space="preserve">mj. </w:t>
      </w:r>
      <w:r w:rsidR="00BE37C4" w:rsidRPr="007303D7">
        <w:rPr>
          <w:sz w:val="24"/>
          <w:szCs w:val="24"/>
        </w:rPr>
        <w:t>ekonomické doklady chodu farního mikrosvěta.</w:t>
      </w:r>
      <w:r w:rsidR="00390F3C" w:rsidRPr="007303D7">
        <w:rPr>
          <w:sz w:val="24"/>
          <w:szCs w:val="24"/>
        </w:rPr>
        <w:t xml:space="preserve"> </w:t>
      </w:r>
      <w:r w:rsidR="002D4911" w:rsidRPr="007303D7">
        <w:rPr>
          <w:sz w:val="24"/>
          <w:szCs w:val="24"/>
        </w:rPr>
        <w:t>Podle mne ke škodě věci, protože tak mohl vykreslovaný obraz soužití na faře nabýt na plastičnosti a také ukázat jeden důležitý rys. Kuchařky často nazírané prizmatem vztahu k faráři byly současně osobami, které zprostředkovávaly vazby mezi světem laiků (např. svým pohybem na trhu při nákupech potravin a dalšími všedními aktivitami) a mikrosvětem fary. Svojí rezignací na ekonomické prameny si autorka svůj pohled na svět žen ve farské komunitě značně zúžila. Většinu</w:t>
      </w:r>
      <w:r w:rsidR="00390F3C" w:rsidRPr="007303D7">
        <w:rPr>
          <w:sz w:val="24"/>
          <w:szCs w:val="24"/>
        </w:rPr>
        <w:t xml:space="preserve"> </w:t>
      </w:r>
      <w:r w:rsidR="002D4911" w:rsidRPr="007303D7">
        <w:rPr>
          <w:sz w:val="24"/>
          <w:szCs w:val="24"/>
        </w:rPr>
        <w:t xml:space="preserve">použitých </w:t>
      </w:r>
      <w:r w:rsidR="00390F3C" w:rsidRPr="007303D7">
        <w:rPr>
          <w:sz w:val="24"/>
          <w:szCs w:val="24"/>
        </w:rPr>
        <w:t>pramen</w:t>
      </w:r>
      <w:r w:rsidR="002D4911" w:rsidRPr="007303D7">
        <w:rPr>
          <w:sz w:val="24"/>
          <w:szCs w:val="24"/>
        </w:rPr>
        <w:t>ů</w:t>
      </w:r>
      <w:r w:rsidR="00390F3C" w:rsidRPr="007303D7">
        <w:rPr>
          <w:sz w:val="24"/>
          <w:szCs w:val="24"/>
        </w:rPr>
        <w:t xml:space="preserve"> a možnosti jejich interpretace autorka představila v příslušných dílčích podkapitolách. Přehlednosti předložené práce by ale prospělo, kdyby jim věnovala samostatnou úvodní kapitolu, ve které by mohla prameny srovnat z hlediska jejich výpovědní hodnoty, případně poukázala na </w:t>
      </w:r>
      <w:r w:rsidR="00672281" w:rsidRPr="007303D7">
        <w:rPr>
          <w:sz w:val="24"/>
          <w:szCs w:val="24"/>
        </w:rPr>
        <w:t>stávající interpretace</w:t>
      </w:r>
      <w:r w:rsidR="007303D7">
        <w:rPr>
          <w:sz w:val="24"/>
          <w:szCs w:val="24"/>
        </w:rPr>
        <w:t xml:space="preserve"> a </w:t>
      </w:r>
      <w:r w:rsidR="00672281" w:rsidRPr="007303D7">
        <w:rPr>
          <w:sz w:val="24"/>
          <w:szCs w:val="24"/>
        </w:rPr>
        <w:t>jejich posun v moderním období</w:t>
      </w:r>
      <w:r w:rsidR="00390F3C" w:rsidRPr="007303D7">
        <w:rPr>
          <w:sz w:val="24"/>
          <w:szCs w:val="24"/>
        </w:rPr>
        <w:t xml:space="preserve">. </w:t>
      </w:r>
      <w:r w:rsidR="00672281" w:rsidRPr="007303D7">
        <w:rPr>
          <w:sz w:val="24"/>
          <w:szCs w:val="24"/>
        </w:rPr>
        <w:t>Podobně</w:t>
      </w:r>
      <w:r w:rsidR="00315329" w:rsidRPr="007303D7">
        <w:rPr>
          <w:sz w:val="24"/>
          <w:szCs w:val="24"/>
        </w:rPr>
        <w:t xml:space="preserve"> v práci chybí i analýza dosavadního stavu bádání, kterou zastupuje poukaz na sice stěžejní, ale </w:t>
      </w:r>
      <w:r w:rsidR="00672281" w:rsidRPr="007303D7">
        <w:rPr>
          <w:sz w:val="24"/>
          <w:szCs w:val="24"/>
        </w:rPr>
        <w:t>vlastně pouze jedinou – již zmiňovanou</w:t>
      </w:r>
      <w:r w:rsidR="00315329" w:rsidRPr="007303D7">
        <w:rPr>
          <w:sz w:val="24"/>
          <w:szCs w:val="24"/>
        </w:rPr>
        <w:t xml:space="preserve"> Šmahelovu studii. </w:t>
      </w:r>
      <w:r w:rsidR="00315329" w:rsidRPr="007303D7">
        <w:rPr>
          <w:sz w:val="24"/>
          <w:szCs w:val="24"/>
        </w:rPr>
        <w:lastRenderedPageBreak/>
        <w:t>V této kapitole mo</w:t>
      </w:r>
      <w:r w:rsidR="00672281" w:rsidRPr="007303D7">
        <w:rPr>
          <w:sz w:val="24"/>
          <w:szCs w:val="24"/>
        </w:rPr>
        <w:t>h</w:t>
      </w:r>
      <w:r w:rsidR="00315329" w:rsidRPr="007303D7">
        <w:rPr>
          <w:sz w:val="24"/>
          <w:szCs w:val="24"/>
        </w:rPr>
        <w:t xml:space="preserve">la být </w:t>
      </w:r>
      <w:r w:rsidR="00672281" w:rsidRPr="007303D7">
        <w:rPr>
          <w:sz w:val="24"/>
          <w:szCs w:val="24"/>
        </w:rPr>
        <w:t xml:space="preserve">představena </w:t>
      </w:r>
      <w:r w:rsidR="00315329" w:rsidRPr="007303D7">
        <w:rPr>
          <w:sz w:val="24"/>
          <w:szCs w:val="24"/>
        </w:rPr>
        <w:t xml:space="preserve">i pracovní metoda Zikmunda Wintra, o jímž shromážděné zprávy se často opírá. </w:t>
      </w:r>
    </w:p>
    <w:p w14:paraId="51235B03" w14:textId="6CB300AC" w:rsidR="00315329" w:rsidRPr="007303D7" w:rsidRDefault="00315329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ab/>
        <w:t>Po krátkém exkursu k dějinám farn</w:t>
      </w:r>
      <w:r w:rsidR="00672281" w:rsidRPr="007303D7">
        <w:rPr>
          <w:sz w:val="24"/>
          <w:szCs w:val="24"/>
        </w:rPr>
        <w:t>í</w:t>
      </w:r>
      <w:r w:rsidRPr="007303D7">
        <w:rPr>
          <w:sz w:val="24"/>
          <w:szCs w:val="24"/>
        </w:rPr>
        <w:t xml:space="preserve"> sítě v Čechách Kristýna Doležalová přechází k vlastnímu </w:t>
      </w:r>
      <w:r w:rsidR="0072497B" w:rsidRPr="007303D7">
        <w:rPr>
          <w:sz w:val="24"/>
          <w:szCs w:val="24"/>
        </w:rPr>
        <w:t>jádru práce, tj. k tematicky členěným kapitolám, které zachycují různé aspekty života kuchařek v </w:t>
      </w:r>
      <w:proofErr w:type="spellStart"/>
      <w:r w:rsidR="0072497B" w:rsidRPr="007303D7">
        <w:rPr>
          <w:sz w:val="24"/>
          <w:szCs w:val="24"/>
        </w:rPr>
        <w:t>mikrokomunitě</w:t>
      </w:r>
      <w:proofErr w:type="spellEnd"/>
      <w:r w:rsidR="0072497B" w:rsidRPr="007303D7">
        <w:rPr>
          <w:sz w:val="24"/>
          <w:szCs w:val="24"/>
        </w:rPr>
        <w:t xml:space="preserve"> fary. Už s ohledem na dochované prameny představila autorka pohyb vybraných ženských aktérek spíše v negativním světle – coby žen obecně podezíraných z konkubinátu, roznášení pomluv a někdy i z trestných činů. Tento obraz přitom Kristýna Doležalová popírá hned v úvodních pasážích, když konstatuje, že zisk místa na faře mohl znamenat, když ne sociální vzestup, tak přinejmenším jistou míru stability nejen pro dotyčnou aktérku, ale někdy i pro její děti. Otázku, k jaké interpretaci se Kristýna Doležalová přiklání, ponechávám k závěrečné diskusi.</w:t>
      </w:r>
    </w:p>
    <w:p w14:paraId="1AB439E5" w14:textId="019842E6" w:rsidR="00AA38E5" w:rsidRPr="007303D7" w:rsidRDefault="00AA38E5" w:rsidP="007303D7">
      <w:pPr>
        <w:spacing w:after="0" w:line="360" w:lineRule="auto"/>
        <w:jc w:val="both"/>
        <w:rPr>
          <w:sz w:val="24"/>
          <w:szCs w:val="24"/>
        </w:rPr>
      </w:pPr>
      <w:r w:rsidRPr="007303D7">
        <w:rPr>
          <w:sz w:val="24"/>
          <w:szCs w:val="24"/>
        </w:rPr>
        <w:tab/>
        <w:t>Vzhledem k výše zmíněnému a také s ohledem na občasné stylistické neobratnosti v textu se ve svém posudku přikláním ke známce B.</w:t>
      </w:r>
    </w:p>
    <w:p w14:paraId="61ECC02F" w14:textId="77777777" w:rsidR="00AA38E5" w:rsidRPr="007303D7" w:rsidRDefault="00AA38E5" w:rsidP="007303D7">
      <w:pPr>
        <w:spacing w:after="0" w:line="360" w:lineRule="auto"/>
        <w:jc w:val="both"/>
        <w:rPr>
          <w:sz w:val="24"/>
          <w:szCs w:val="24"/>
        </w:rPr>
      </w:pPr>
    </w:p>
    <w:p w14:paraId="52715058" w14:textId="77777777" w:rsidR="00AA38E5" w:rsidRPr="007303D7" w:rsidRDefault="00AA38E5" w:rsidP="007303D7">
      <w:pPr>
        <w:spacing w:after="0" w:line="360" w:lineRule="auto"/>
        <w:jc w:val="both"/>
        <w:rPr>
          <w:sz w:val="24"/>
          <w:szCs w:val="24"/>
        </w:rPr>
      </w:pPr>
    </w:p>
    <w:p w14:paraId="62699E1B" w14:textId="77777777" w:rsidR="00AA38E5" w:rsidRPr="007303D7" w:rsidRDefault="00AA38E5" w:rsidP="007303D7">
      <w:pPr>
        <w:spacing w:after="0" w:line="360" w:lineRule="auto"/>
        <w:jc w:val="right"/>
        <w:rPr>
          <w:sz w:val="24"/>
          <w:szCs w:val="24"/>
        </w:rPr>
      </w:pPr>
    </w:p>
    <w:p w14:paraId="13A0480E" w14:textId="77777777" w:rsidR="00AA38E5" w:rsidRPr="007303D7" w:rsidRDefault="00AA38E5" w:rsidP="007303D7">
      <w:pPr>
        <w:spacing w:after="0" w:line="360" w:lineRule="auto"/>
        <w:jc w:val="right"/>
        <w:rPr>
          <w:sz w:val="24"/>
          <w:szCs w:val="24"/>
        </w:rPr>
      </w:pPr>
    </w:p>
    <w:p w14:paraId="1B1B03D6" w14:textId="3D2B5EBE" w:rsidR="00AA38E5" w:rsidRPr="007303D7" w:rsidRDefault="00AA38E5" w:rsidP="007303D7">
      <w:pPr>
        <w:spacing w:after="0" w:line="360" w:lineRule="auto"/>
        <w:jc w:val="right"/>
        <w:rPr>
          <w:sz w:val="24"/>
          <w:szCs w:val="24"/>
        </w:rPr>
      </w:pPr>
      <w:r w:rsidRPr="007303D7">
        <w:rPr>
          <w:sz w:val="24"/>
          <w:szCs w:val="24"/>
        </w:rPr>
        <w:t>Martin Čapský</w:t>
      </w:r>
    </w:p>
    <w:sectPr w:rsidR="00AA38E5" w:rsidRPr="007303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EBB"/>
    <w:rsid w:val="00150231"/>
    <w:rsid w:val="001B1C29"/>
    <w:rsid w:val="002D4911"/>
    <w:rsid w:val="00315329"/>
    <w:rsid w:val="00390F3C"/>
    <w:rsid w:val="0042047B"/>
    <w:rsid w:val="004C00F1"/>
    <w:rsid w:val="004D4D48"/>
    <w:rsid w:val="00525FAA"/>
    <w:rsid w:val="0054104A"/>
    <w:rsid w:val="00672281"/>
    <w:rsid w:val="0072497B"/>
    <w:rsid w:val="007303D7"/>
    <w:rsid w:val="00AA38E5"/>
    <w:rsid w:val="00BE37C4"/>
    <w:rsid w:val="00EC2EBB"/>
    <w:rsid w:val="00F20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73241"/>
  <w15:chartTrackingRefBased/>
  <w15:docId w15:val="{9CA6E203-B63E-40D3-A093-C9164F620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</TotalTime>
  <Pages>2</Pages>
  <Words>476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4</cp:revision>
  <dcterms:created xsi:type="dcterms:W3CDTF">2024-01-15T14:34:00Z</dcterms:created>
  <dcterms:modified xsi:type="dcterms:W3CDTF">2024-01-15T23:01:00Z</dcterms:modified>
</cp:coreProperties>
</file>