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6DD9F6" w14:textId="77777777" w:rsidR="0031593B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31593B" w:rsidRDefault="0031593B"/>
    <w:p w14:paraId="14E77ACB" w14:textId="77777777" w:rsidR="0031593B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BE079C">
        <w:rPr>
          <w:b/>
          <w:bCs/>
          <w:sz w:val="22"/>
          <w:szCs w:val="22"/>
        </w:rPr>
        <w:t>vedoucího/</w:t>
      </w:r>
      <w:r w:rsidRPr="00BE079C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2022/2023</w:t>
      </w:r>
    </w:p>
    <w:p w14:paraId="0F5E74BF" w14:textId="77777777" w:rsidR="0031593B" w:rsidRDefault="0031593B"/>
    <w:p w14:paraId="35B1834D" w14:textId="312B8D6C" w:rsidR="0031593B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BE079C">
        <w:rPr>
          <w:sz w:val="22"/>
          <w:szCs w:val="22"/>
        </w:rPr>
        <w:t>Andrea Holubová</w:t>
      </w:r>
    </w:p>
    <w:p w14:paraId="7606F87C" w14:textId="77777777" w:rsidR="0031593B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79978166" w:rsidR="0031593B" w:rsidRDefault="00877CBF" w:rsidP="00BE079C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BE079C" w:rsidRPr="00BE079C">
        <w:rPr>
          <w:sz w:val="22"/>
          <w:szCs w:val="22"/>
        </w:rPr>
        <w:t>Místo jako ohlas gotického románu v české strašidelné povídce</w:t>
      </w:r>
      <w:r w:rsidR="00BE079C">
        <w:rPr>
          <w:sz w:val="22"/>
          <w:szCs w:val="22"/>
        </w:rPr>
        <w:t xml:space="preserve"> </w:t>
      </w:r>
      <w:r w:rsidR="00BE079C" w:rsidRPr="00BE079C">
        <w:rPr>
          <w:sz w:val="22"/>
          <w:szCs w:val="22"/>
        </w:rPr>
        <w:t>18. a 19. století</w:t>
      </w:r>
    </w:p>
    <w:p w14:paraId="7F2437A6" w14:textId="4709CF89" w:rsidR="0031593B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BE079C">
        <w:rPr>
          <w:sz w:val="22"/>
          <w:szCs w:val="22"/>
        </w:rPr>
        <w:t>Mgr. Kateřina Korábková, Ph.D.</w:t>
      </w:r>
    </w:p>
    <w:p w14:paraId="2B77CB40" w14:textId="2EFDC453" w:rsidR="0031593B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BE079C" w:rsidRPr="00BE079C">
        <w:rPr>
          <w:sz w:val="22"/>
          <w:szCs w:val="22"/>
        </w:rPr>
        <w:t>PhDr. Miroslav Kouba, Ph.D.</w:t>
      </w:r>
    </w:p>
    <w:p w14:paraId="2DBD181D" w14:textId="77777777" w:rsidR="0031593B" w:rsidRDefault="0031593B">
      <w:pPr>
        <w:rPr>
          <w:sz w:val="22"/>
          <w:szCs w:val="22"/>
        </w:rPr>
      </w:pPr>
    </w:p>
    <w:p w14:paraId="4A52DD69" w14:textId="77777777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31593B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31593B" w:rsidRDefault="0031593B">
      <w:pPr>
        <w:rPr>
          <w:sz w:val="22"/>
          <w:szCs w:val="22"/>
        </w:rPr>
      </w:pPr>
    </w:p>
    <w:p w14:paraId="5FA38A96" w14:textId="77777777" w:rsidR="00781C3C" w:rsidRDefault="00953360" w:rsidP="00953360">
      <w:pPr>
        <w:jc w:val="both"/>
        <w:rPr>
          <w:sz w:val="22"/>
          <w:szCs w:val="22"/>
        </w:rPr>
      </w:pPr>
      <w:r w:rsidRPr="00953360">
        <w:rPr>
          <w:sz w:val="22"/>
          <w:szCs w:val="22"/>
        </w:rPr>
        <w:t>Téma práce spočívající ve sledování funkce místa v české strašidelné povídce 18. a 19. století jako projevu inspirace postupy gotického románu</w:t>
      </w:r>
      <w:r>
        <w:rPr>
          <w:sz w:val="22"/>
          <w:szCs w:val="22"/>
        </w:rPr>
        <w:t xml:space="preserve"> odpovídá možnostem bakalářské práce. Autorka v úvodu textu sice nestanovuje cíle práce</w:t>
      </w:r>
      <w:r w:rsidR="00711F0D">
        <w:rPr>
          <w:sz w:val="22"/>
          <w:szCs w:val="22"/>
        </w:rPr>
        <w:t xml:space="preserve"> </w:t>
      </w:r>
      <w:r w:rsidR="00711F0D">
        <w:rPr>
          <w:sz w:val="22"/>
          <w:szCs w:val="22"/>
        </w:rPr>
        <w:t>úplně jasně</w:t>
      </w:r>
      <w:r>
        <w:rPr>
          <w:sz w:val="22"/>
          <w:szCs w:val="22"/>
        </w:rPr>
        <w:t xml:space="preserve">, nicméně podrobně popisuje postup následujícího výzkumu. Také uvádí základní prameny, a to v podobě antologií, z nichž bude čerpat. </w:t>
      </w:r>
    </w:p>
    <w:p w14:paraId="2BA0BC3D" w14:textId="3CD5D48E" w:rsidR="0031593B" w:rsidRPr="00953360" w:rsidRDefault="00953360" w:rsidP="0095336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Nástin postupu práce i způsob prezentace pramenů </w:t>
      </w:r>
      <w:r w:rsidR="00781C3C">
        <w:rPr>
          <w:sz w:val="22"/>
          <w:szCs w:val="22"/>
        </w:rPr>
        <w:t xml:space="preserve">ale </w:t>
      </w:r>
      <w:r>
        <w:rPr>
          <w:sz w:val="22"/>
          <w:szCs w:val="22"/>
        </w:rPr>
        <w:t>nenápadně poukazují k</w:t>
      </w:r>
      <w:r w:rsidR="00711F0D">
        <w:rPr>
          <w:sz w:val="22"/>
          <w:szCs w:val="22"/>
        </w:rPr>
        <w:t> </w:t>
      </w:r>
      <w:r>
        <w:rPr>
          <w:sz w:val="22"/>
          <w:szCs w:val="22"/>
        </w:rPr>
        <w:t>metodologické</w:t>
      </w:r>
      <w:r w:rsidR="00711F0D">
        <w:rPr>
          <w:sz w:val="22"/>
          <w:szCs w:val="22"/>
        </w:rPr>
        <w:t>mu problému spočívajícímu ve faktu</w:t>
      </w:r>
      <w:r>
        <w:rPr>
          <w:sz w:val="22"/>
          <w:szCs w:val="22"/>
        </w:rPr>
        <w:t xml:space="preserve">, </w:t>
      </w:r>
      <w:r w:rsidR="00711F0D">
        <w:rPr>
          <w:sz w:val="22"/>
          <w:szCs w:val="22"/>
        </w:rPr>
        <w:t>že</w:t>
      </w:r>
      <w:r>
        <w:rPr>
          <w:sz w:val="22"/>
          <w:szCs w:val="22"/>
        </w:rPr>
        <w:t xml:space="preserve"> autorka věnuje značnou pozornost gotickému románu jako inspiračnímu zdroji, ale nestanovuje už jasné kritérium pro vymezení strašidelné povídky (</w:t>
      </w:r>
      <w:r w:rsidRPr="00953360">
        <w:rPr>
          <w:sz w:val="22"/>
          <w:szCs w:val="22"/>
        </w:rPr>
        <w:t xml:space="preserve">viz například </w:t>
      </w:r>
      <w:r>
        <w:rPr>
          <w:sz w:val="22"/>
          <w:szCs w:val="22"/>
        </w:rPr>
        <w:t xml:space="preserve">posléze </w:t>
      </w:r>
      <w:r w:rsidR="00EE297D">
        <w:rPr>
          <w:sz w:val="22"/>
          <w:szCs w:val="22"/>
        </w:rPr>
        <w:t xml:space="preserve">jako pramen </w:t>
      </w:r>
      <w:r>
        <w:rPr>
          <w:sz w:val="22"/>
          <w:szCs w:val="22"/>
        </w:rPr>
        <w:t xml:space="preserve">využité </w:t>
      </w:r>
      <w:r w:rsidR="00EE297D">
        <w:rPr>
          <w:sz w:val="22"/>
          <w:szCs w:val="22"/>
        </w:rPr>
        <w:t>výchovné</w:t>
      </w:r>
      <w:r>
        <w:rPr>
          <w:sz w:val="22"/>
          <w:szCs w:val="22"/>
        </w:rPr>
        <w:t xml:space="preserve"> povídky</w:t>
      </w:r>
      <w:r w:rsidRPr="00953360">
        <w:rPr>
          <w:sz w:val="22"/>
          <w:szCs w:val="22"/>
        </w:rPr>
        <w:t xml:space="preserve"> </w:t>
      </w:r>
      <w:r w:rsidRPr="00953360">
        <w:rPr>
          <w:i/>
          <w:iCs/>
          <w:sz w:val="22"/>
          <w:szCs w:val="22"/>
        </w:rPr>
        <w:t>Jolanta</w:t>
      </w:r>
      <w:r w:rsidRPr="00953360">
        <w:rPr>
          <w:sz w:val="22"/>
          <w:szCs w:val="22"/>
        </w:rPr>
        <w:t xml:space="preserve"> nebo </w:t>
      </w:r>
      <w:r w:rsidRPr="00953360">
        <w:rPr>
          <w:i/>
          <w:iCs/>
          <w:sz w:val="22"/>
          <w:szCs w:val="22"/>
        </w:rPr>
        <w:t>Klára Sládečková</w:t>
      </w:r>
      <w:r>
        <w:rPr>
          <w:sz w:val="22"/>
          <w:szCs w:val="22"/>
        </w:rPr>
        <w:t>)</w:t>
      </w:r>
      <w:r w:rsidR="00EE297D">
        <w:rPr>
          <w:sz w:val="22"/>
          <w:szCs w:val="22"/>
        </w:rPr>
        <w:t xml:space="preserve"> nebo zanedbává specifika národních literatur (např. až v závěru práce jasně zazní, že v české literatuře</w:t>
      </w:r>
      <w:r w:rsidR="000A550C">
        <w:rPr>
          <w:sz w:val="22"/>
          <w:szCs w:val="22"/>
        </w:rPr>
        <w:t xml:space="preserve"> 18. a 19. století</w:t>
      </w:r>
      <w:r w:rsidR="00EE297D">
        <w:rPr>
          <w:sz w:val="22"/>
          <w:szCs w:val="22"/>
        </w:rPr>
        <w:t xml:space="preserve"> typickou podobu gotického románu nemáme).</w:t>
      </w:r>
    </w:p>
    <w:p w14:paraId="5F792B95" w14:textId="77777777" w:rsidR="0031593B" w:rsidRDefault="0031593B">
      <w:pPr>
        <w:rPr>
          <w:sz w:val="22"/>
          <w:szCs w:val="22"/>
        </w:rPr>
      </w:pPr>
    </w:p>
    <w:p w14:paraId="4689DFC6" w14:textId="77777777" w:rsidR="0031593B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31593B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119E31CC" w:rsidR="0031593B" w:rsidRDefault="00953360">
            <w:pPr>
              <w:pStyle w:val="Obsahtabulky"/>
              <w:snapToGrid w:val="0"/>
            </w:pPr>
            <w:r>
              <w:t>3</w:t>
            </w:r>
          </w:p>
        </w:tc>
      </w:tr>
    </w:tbl>
    <w:p w14:paraId="2B3A9F57" w14:textId="77777777" w:rsidR="0031593B" w:rsidRDefault="0031593B">
      <w:pPr>
        <w:rPr>
          <w:sz w:val="22"/>
          <w:szCs w:val="22"/>
        </w:rPr>
      </w:pPr>
    </w:p>
    <w:p w14:paraId="02FF96CA" w14:textId="77777777" w:rsidR="0031593B" w:rsidRDefault="0031593B">
      <w:pPr>
        <w:rPr>
          <w:b/>
          <w:bCs/>
          <w:sz w:val="22"/>
          <w:szCs w:val="22"/>
        </w:rPr>
      </w:pPr>
    </w:p>
    <w:p w14:paraId="2248701E" w14:textId="77777777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31593B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065B3F2" w14:textId="77777777" w:rsidR="0031593B" w:rsidRDefault="0031593B">
      <w:pPr>
        <w:rPr>
          <w:sz w:val="22"/>
          <w:szCs w:val="22"/>
        </w:rPr>
      </w:pPr>
    </w:p>
    <w:p w14:paraId="1BB41FC0" w14:textId="3FBF06C4" w:rsidR="000A550C" w:rsidRDefault="000A550C" w:rsidP="00781C3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Představené cíle práce autorka navzdory jistým nedostatkům textu v podstatě naplňuje. Pracuje se zvolenými místy (např. hrad, věž…) odpovídajícími prostorům gotického románu a soustředí se a jejich funkci v textu. </w:t>
      </w:r>
      <w:r w:rsidR="005E0ACF">
        <w:rPr>
          <w:sz w:val="22"/>
          <w:szCs w:val="22"/>
        </w:rPr>
        <w:t xml:space="preserve">Usiluje o důkladnou interpretaci a všímá si vývojového aspektu role míst v jednotlivých textech. Zjištěné poznatky pisatelka průběžně shrnuje. </w:t>
      </w:r>
    </w:p>
    <w:p w14:paraId="22FB92EE" w14:textId="77777777" w:rsidR="0031593B" w:rsidRDefault="0031593B">
      <w:pPr>
        <w:rPr>
          <w:sz w:val="22"/>
          <w:szCs w:val="22"/>
        </w:rPr>
      </w:pPr>
    </w:p>
    <w:p w14:paraId="284081A4" w14:textId="77777777" w:rsidR="0031593B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1593B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7A386B93" w:rsidR="0031593B" w:rsidRDefault="000A550C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31593B" w:rsidRDefault="0031593B"/>
    <w:p w14:paraId="3E3B4947" w14:textId="77777777" w:rsidR="0031593B" w:rsidRDefault="0031593B">
      <w:pPr>
        <w:ind w:left="-720"/>
        <w:rPr>
          <w:sz w:val="22"/>
          <w:szCs w:val="22"/>
        </w:rPr>
      </w:pPr>
    </w:p>
    <w:p w14:paraId="0376F2FA" w14:textId="77777777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31593B" w:rsidRDefault="00877CBF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0498C4ED" w14:textId="77777777" w:rsidR="0031593B" w:rsidRDefault="0031593B">
      <w:pPr>
        <w:rPr>
          <w:sz w:val="22"/>
          <w:szCs w:val="22"/>
        </w:rPr>
      </w:pPr>
    </w:p>
    <w:p w14:paraId="73C75E62" w14:textId="4FF00E70" w:rsidR="0031593B" w:rsidRDefault="00EE297D" w:rsidP="00EE297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Výsledná podoba práce je </w:t>
      </w:r>
      <w:r w:rsidR="00781C3C">
        <w:rPr>
          <w:sz w:val="22"/>
          <w:szCs w:val="22"/>
        </w:rPr>
        <w:t xml:space="preserve">navzdory výše uvedenému </w:t>
      </w:r>
      <w:r w:rsidR="00F22E69">
        <w:rPr>
          <w:sz w:val="22"/>
          <w:szCs w:val="22"/>
        </w:rPr>
        <w:t>do značné míry</w:t>
      </w:r>
      <w:r>
        <w:rPr>
          <w:sz w:val="22"/>
          <w:szCs w:val="22"/>
        </w:rPr>
        <w:t xml:space="preserve"> nevyrovnaná, a to z několika důvodů. V první řadě je to kvůli výše už naznačenému přílišnému důrazu na gotický román, kvůli němuž </w:t>
      </w:r>
      <w:r>
        <w:rPr>
          <w:sz w:val="22"/>
          <w:szCs w:val="22"/>
        </w:rPr>
        <w:lastRenderedPageBreak/>
        <w:t xml:space="preserve">práce obsahuje </w:t>
      </w:r>
      <w:r w:rsidR="000952F7">
        <w:rPr>
          <w:sz w:val="22"/>
          <w:szCs w:val="22"/>
        </w:rPr>
        <w:t xml:space="preserve">např. </w:t>
      </w:r>
      <w:r>
        <w:rPr>
          <w:sz w:val="22"/>
          <w:szCs w:val="22"/>
        </w:rPr>
        <w:t xml:space="preserve">několik stran přehledu o jeho podobě v různých literaturách, aniž by </w:t>
      </w:r>
      <w:r w:rsidR="000952F7">
        <w:rPr>
          <w:sz w:val="22"/>
          <w:szCs w:val="22"/>
        </w:rPr>
        <w:t xml:space="preserve">uvedené skutečnosti nějak úžeji souvisely s následným zkoumáním. </w:t>
      </w:r>
    </w:p>
    <w:p w14:paraId="231C364A" w14:textId="5E661DB0" w:rsidR="000952F7" w:rsidRDefault="000952F7" w:rsidP="00EE297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Další problém představuje fakt, že autorka v podstatě preferuje zahraniční zdroje. Jejich šíře je chvályhodná, ale nesou s sebou úskalí aplikace pojmového aparátu a jeho překladu (viz např. úvodní výklad výrazu „gothic“ na s. 2; podobně se nabízí otázka, </w:t>
      </w:r>
      <w:r w:rsidRPr="001944F4">
        <w:rPr>
          <w:sz w:val="22"/>
          <w:szCs w:val="22"/>
        </w:rPr>
        <w:t>zda lze v angličtině vymezený slovník gotických románů aplikovat i na české prostřed</w:t>
      </w:r>
      <w:r>
        <w:rPr>
          <w:sz w:val="22"/>
          <w:szCs w:val="22"/>
        </w:rPr>
        <w:t>í, viz s. 9–10).</w:t>
      </w:r>
    </w:p>
    <w:p w14:paraId="06415984" w14:textId="579ADC50" w:rsidR="000952F7" w:rsidRDefault="00F22E69" w:rsidP="00EE297D">
      <w:pPr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0952F7">
        <w:rPr>
          <w:sz w:val="22"/>
          <w:szCs w:val="22"/>
        </w:rPr>
        <w:t xml:space="preserve">raktická část je jednoznačně zdařilejší. Pisatelka v textu </w:t>
      </w:r>
      <w:r>
        <w:rPr>
          <w:sz w:val="22"/>
          <w:szCs w:val="22"/>
        </w:rPr>
        <w:t>vhodně</w:t>
      </w:r>
      <w:r w:rsidR="000952F7">
        <w:rPr>
          <w:sz w:val="22"/>
          <w:szCs w:val="22"/>
        </w:rPr>
        <w:t xml:space="preserve"> aplikuje teoretický rámec (zejména) Daniely Hodrové, usiluje o interpretaci a zapojení širšího kontextu v podobě odkazů na klasická díla kánonu strašidelného gotického románu.  </w:t>
      </w:r>
    </w:p>
    <w:p w14:paraId="3444098C" w14:textId="77777777" w:rsidR="0031593B" w:rsidRDefault="0031593B">
      <w:pPr>
        <w:rPr>
          <w:sz w:val="22"/>
          <w:szCs w:val="22"/>
        </w:rPr>
      </w:pPr>
    </w:p>
    <w:p w14:paraId="312F20F8" w14:textId="77777777" w:rsidR="0031593B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1593B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1DAB494F" w:rsidR="0031593B" w:rsidRDefault="00901EDD">
            <w:pPr>
              <w:pStyle w:val="Obsahtabulky"/>
              <w:snapToGrid w:val="0"/>
            </w:pPr>
            <w:r>
              <w:t>3</w:t>
            </w:r>
          </w:p>
        </w:tc>
      </w:tr>
    </w:tbl>
    <w:p w14:paraId="26545ABE" w14:textId="77777777" w:rsidR="001944F4" w:rsidRDefault="001944F4">
      <w:pPr>
        <w:rPr>
          <w:b/>
          <w:bCs/>
          <w:sz w:val="22"/>
          <w:szCs w:val="22"/>
        </w:rPr>
      </w:pPr>
    </w:p>
    <w:p w14:paraId="6A9FF7EA" w14:textId="35BCC813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31593B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31593B" w:rsidRDefault="0031593B">
      <w:pPr>
        <w:rPr>
          <w:sz w:val="22"/>
          <w:szCs w:val="22"/>
        </w:rPr>
      </w:pPr>
    </w:p>
    <w:p w14:paraId="4968C6F7" w14:textId="56F5CFAB" w:rsidR="00901EDD" w:rsidRDefault="00901EDD" w:rsidP="000A550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Jazyková a stylistická stránka práce představují pro </w:t>
      </w:r>
      <w:r w:rsidR="00BF5342">
        <w:rPr>
          <w:sz w:val="22"/>
          <w:szCs w:val="22"/>
        </w:rPr>
        <w:t>text</w:t>
      </w:r>
      <w:r>
        <w:rPr>
          <w:sz w:val="22"/>
          <w:szCs w:val="22"/>
        </w:rPr>
        <w:t xml:space="preserve"> kámen úrazu. Neustálé chyby ve skloňování a formulační problémy provázejí text už od prvních řádků úvodu. </w:t>
      </w:r>
      <w:r w:rsidRPr="001944F4">
        <w:rPr>
          <w:sz w:val="22"/>
          <w:szCs w:val="22"/>
        </w:rPr>
        <w:t>Kolísavá úroveň jazyka dokládá intenzivní inspiraci použitými zdroji</w:t>
      </w:r>
      <w:r>
        <w:rPr>
          <w:sz w:val="22"/>
          <w:szCs w:val="22"/>
        </w:rPr>
        <w:t xml:space="preserve">. </w:t>
      </w:r>
      <w:r w:rsidRPr="001944F4">
        <w:rPr>
          <w:sz w:val="22"/>
          <w:szCs w:val="22"/>
        </w:rPr>
        <w:t>Text v pasážích pracujících s</w:t>
      </w:r>
      <w:r>
        <w:rPr>
          <w:sz w:val="22"/>
          <w:szCs w:val="22"/>
        </w:rPr>
        <w:t> </w:t>
      </w:r>
      <w:r w:rsidRPr="001944F4">
        <w:rPr>
          <w:sz w:val="22"/>
          <w:szCs w:val="22"/>
        </w:rPr>
        <w:t>anglick</w:t>
      </w:r>
      <w:r>
        <w:rPr>
          <w:sz w:val="22"/>
          <w:szCs w:val="22"/>
        </w:rPr>
        <w:t xml:space="preserve">ou literaturou </w:t>
      </w:r>
      <w:r w:rsidRPr="001944F4">
        <w:rPr>
          <w:sz w:val="22"/>
          <w:szCs w:val="22"/>
        </w:rPr>
        <w:t xml:space="preserve">nese místy rysy doslovného překladu </w:t>
      </w:r>
      <w:r>
        <w:rPr>
          <w:sz w:val="22"/>
          <w:szCs w:val="22"/>
        </w:rPr>
        <w:t>(</w:t>
      </w:r>
      <w:r w:rsidRPr="001944F4">
        <w:rPr>
          <w:sz w:val="22"/>
          <w:szCs w:val="22"/>
        </w:rPr>
        <w:t>viz s</w:t>
      </w:r>
      <w:r>
        <w:rPr>
          <w:sz w:val="22"/>
          <w:szCs w:val="22"/>
        </w:rPr>
        <w:t>.</w:t>
      </w:r>
      <w:r w:rsidRPr="001944F4">
        <w:rPr>
          <w:sz w:val="22"/>
          <w:szCs w:val="22"/>
        </w:rPr>
        <w:t xml:space="preserve"> 3 </w:t>
      </w:r>
      <w:r>
        <w:rPr>
          <w:sz w:val="22"/>
          <w:szCs w:val="22"/>
        </w:rPr>
        <w:t>„</w:t>
      </w:r>
      <w:r w:rsidRPr="001944F4">
        <w:rPr>
          <w:sz w:val="22"/>
          <w:szCs w:val="22"/>
        </w:rPr>
        <w:t>prožitky vzrušujícího teroru a rozšířených romantických vzplanutí</w:t>
      </w:r>
      <w:r>
        <w:rPr>
          <w:sz w:val="22"/>
          <w:szCs w:val="22"/>
        </w:rPr>
        <w:t xml:space="preserve">“. Nebo s. </w:t>
      </w:r>
      <w:r w:rsidRPr="001944F4">
        <w:rPr>
          <w:sz w:val="22"/>
          <w:szCs w:val="22"/>
        </w:rPr>
        <w:t xml:space="preserve">7: </w:t>
      </w:r>
      <w:r>
        <w:rPr>
          <w:sz w:val="22"/>
          <w:szCs w:val="22"/>
        </w:rPr>
        <w:t>„B</w:t>
      </w:r>
      <w:r w:rsidRPr="001944F4">
        <w:rPr>
          <w:sz w:val="22"/>
          <w:szCs w:val="22"/>
        </w:rPr>
        <w:t>udovy v hradu Otranto jsou například prošpikovány podzemními tunely, kterými se postav</w:t>
      </w:r>
      <w:r>
        <w:rPr>
          <w:sz w:val="22"/>
          <w:szCs w:val="22"/>
        </w:rPr>
        <w:t>y</w:t>
      </w:r>
      <w:r w:rsidRPr="001944F4">
        <w:rPr>
          <w:sz w:val="22"/>
          <w:szCs w:val="22"/>
        </w:rPr>
        <w:t xml:space="preserve"> tajně pohybují tam a zpět. Toto tajné hnutí odráží jednu z</w:t>
      </w:r>
      <w:r w:rsidR="000A550C">
        <w:rPr>
          <w:sz w:val="22"/>
          <w:szCs w:val="22"/>
        </w:rPr>
        <w:t>e</w:t>
      </w:r>
      <w:r w:rsidRPr="001944F4">
        <w:rPr>
          <w:sz w:val="22"/>
          <w:szCs w:val="22"/>
        </w:rPr>
        <w:t xml:space="preserve"> zápletek příběhu…</w:t>
      </w:r>
      <w:r>
        <w:rPr>
          <w:sz w:val="22"/>
          <w:szCs w:val="22"/>
        </w:rPr>
        <w:t>“). Formulační problémy se ocitají až na hranici záměny pojmů</w:t>
      </w:r>
      <w:r w:rsidRPr="00901EDD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1944F4">
        <w:rPr>
          <w:sz w:val="22"/>
          <w:szCs w:val="22"/>
        </w:rPr>
        <w:t>viz například označení strašidelné literatury za styl na s</w:t>
      </w:r>
      <w:r>
        <w:rPr>
          <w:sz w:val="22"/>
          <w:szCs w:val="22"/>
        </w:rPr>
        <w:t>.</w:t>
      </w:r>
      <w:r w:rsidRPr="001944F4">
        <w:rPr>
          <w:sz w:val="22"/>
          <w:szCs w:val="22"/>
        </w:rPr>
        <w:t xml:space="preserve"> 0</w:t>
      </w:r>
      <w:r>
        <w:rPr>
          <w:sz w:val="22"/>
          <w:szCs w:val="22"/>
        </w:rPr>
        <w:t>).</w:t>
      </w:r>
    </w:p>
    <w:p w14:paraId="71C323A6" w14:textId="03ECBD5F" w:rsidR="0031593B" w:rsidRDefault="00BF5342" w:rsidP="000A550C">
      <w:pPr>
        <w:jc w:val="both"/>
        <w:rPr>
          <w:sz w:val="22"/>
          <w:szCs w:val="22"/>
        </w:rPr>
      </w:pPr>
      <w:r>
        <w:rPr>
          <w:sz w:val="22"/>
          <w:szCs w:val="22"/>
        </w:rPr>
        <w:t>Text provázejí i d</w:t>
      </w:r>
      <w:r w:rsidR="001944F4" w:rsidRPr="001944F4">
        <w:rPr>
          <w:sz w:val="22"/>
          <w:szCs w:val="22"/>
        </w:rPr>
        <w:t>robné grafické chyby, například špatně formátovan</w:t>
      </w:r>
      <w:r>
        <w:rPr>
          <w:sz w:val="22"/>
          <w:szCs w:val="22"/>
        </w:rPr>
        <w:t>é</w:t>
      </w:r>
      <w:r w:rsidR="001944F4" w:rsidRPr="001944F4">
        <w:rPr>
          <w:sz w:val="22"/>
          <w:szCs w:val="22"/>
        </w:rPr>
        <w:t xml:space="preserve"> konec odstavc</w:t>
      </w:r>
      <w:r>
        <w:rPr>
          <w:sz w:val="22"/>
          <w:szCs w:val="22"/>
        </w:rPr>
        <w:t>ů (</w:t>
      </w:r>
      <w:r w:rsidR="001944F4" w:rsidRPr="001944F4">
        <w:rPr>
          <w:sz w:val="22"/>
          <w:szCs w:val="22"/>
        </w:rPr>
        <w:t xml:space="preserve">kvůli </w:t>
      </w:r>
      <w:r>
        <w:rPr>
          <w:sz w:val="22"/>
          <w:szCs w:val="22"/>
        </w:rPr>
        <w:t>nimž</w:t>
      </w:r>
      <w:r w:rsidR="001944F4" w:rsidRPr="001944F4">
        <w:rPr>
          <w:sz w:val="22"/>
          <w:szCs w:val="22"/>
        </w:rPr>
        <w:t xml:space="preserve"> se </w:t>
      </w:r>
      <w:r>
        <w:rPr>
          <w:sz w:val="22"/>
          <w:szCs w:val="22"/>
        </w:rPr>
        <w:t>několik málo zbývajících slov roztáhne přes celý řádek), stejně jako drobné nedostatky v citační normě (v některých odkazech chybí údaje, jinde jsou některé navíc).</w:t>
      </w:r>
    </w:p>
    <w:p w14:paraId="56D13EA4" w14:textId="77777777" w:rsidR="000952F7" w:rsidRDefault="000952F7" w:rsidP="000A550C">
      <w:pPr>
        <w:jc w:val="both"/>
        <w:rPr>
          <w:sz w:val="22"/>
          <w:szCs w:val="22"/>
        </w:rPr>
      </w:pPr>
    </w:p>
    <w:p w14:paraId="1F8A91D8" w14:textId="65203C97" w:rsidR="00BF5342" w:rsidRDefault="00BF5342" w:rsidP="000A550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 kvapném nebo nedbalém dokončování textu svědčí i skutečnost, že v anotaci je uveden chybný název jedné ze zdrojových antologií: </w:t>
      </w:r>
      <w:r w:rsidR="00953360" w:rsidRPr="00BF5342">
        <w:rPr>
          <w:i/>
          <w:iCs/>
          <w:sz w:val="22"/>
          <w:szCs w:val="22"/>
        </w:rPr>
        <w:t>Zazděná slečna a jiné příhody pro vyprávěn</w:t>
      </w:r>
      <w:r>
        <w:rPr>
          <w:i/>
          <w:iCs/>
          <w:sz w:val="22"/>
          <w:szCs w:val="22"/>
        </w:rPr>
        <w:t xml:space="preserve">í. </w:t>
      </w:r>
      <w:r w:rsidRPr="00BF5342">
        <w:rPr>
          <w:sz w:val="22"/>
          <w:szCs w:val="22"/>
        </w:rPr>
        <w:t>Tentý</w:t>
      </w:r>
      <w:r>
        <w:rPr>
          <w:sz w:val="22"/>
          <w:szCs w:val="22"/>
        </w:rPr>
        <w:t>ž</w:t>
      </w:r>
      <w:r w:rsidR="00F22E69">
        <w:rPr>
          <w:sz w:val="22"/>
          <w:szCs w:val="22"/>
        </w:rPr>
        <w:t xml:space="preserve"> titul</w:t>
      </w:r>
      <w:r>
        <w:rPr>
          <w:sz w:val="22"/>
          <w:szCs w:val="22"/>
        </w:rPr>
        <w:t xml:space="preserve"> je následně v úvodu práce uveden sice ve správné textové podobě, ale s velkými prvními písmeny všech slov. </w:t>
      </w:r>
    </w:p>
    <w:p w14:paraId="16476974" w14:textId="5BE3722C" w:rsidR="0031593B" w:rsidRPr="00BF5342" w:rsidRDefault="00953360" w:rsidP="000A550C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BF5342">
        <w:rPr>
          <w:rFonts w:ascii="TimesNewRomanPS-ItalicMT" w:eastAsia="Times New Roman" w:hAnsi="TimesNewRomanPS-ItalicMT" w:cs="TimesNewRomanPS-ItalicMT"/>
          <w:i/>
          <w:iCs/>
          <w:kern w:val="0"/>
          <w:sz w:val="22"/>
          <w:szCs w:val="22"/>
          <w:lang w:eastAsia="cs-CZ"/>
        </w:rPr>
        <w:t>Zazděná Slečna a Jiné</w:t>
      </w:r>
      <w:r w:rsidR="00BF5342" w:rsidRPr="00BF5342">
        <w:rPr>
          <w:rFonts w:ascii="TimesNewRomanPS-ItalicMT" w:eastAsia="Times New Roman" w:hAnsi="TimesNewRomanPS-ItalicMT" w:cs="TimesNewRomanPS-ItalicMT"/>
          <w:i/>
          <w:iCs/>
          <w:kern w:val="0"/>
          <w:sz w:val="22"/>
          <w:szCs w:val="22"/>
          <w:lang w:eastAsia="cs-CZ"/>
        </w:rPr>
        <w:t xml:space="preserve"> </w:t>
      </w:r>
      <w:r w:rsidRPr="00BF5342">
        <w:rPr>
          <w:rFonts w:ascii="TimesNewRomanPS-ItalicMT" w:eastAsia="Times New Roman" w:hAnsi="TimesNewRomanPS-ItalicMT" w:cs="TimesNewRomanPS-ItalicMT"/>
          <w:i/>
          <w:iCs/>
          <w:kern w:val="0"/>
          <w:sz w:val="22"/>
          <w:szCs w:val="22"/>
          <w:lang w:eastAsia="cs-CZ"/>
        </w:rPr>
        <w:t>Příhody Pro Vyražen</w:t>
      </w:r>
      <w:r w:rsidR="00BF5342" w:rsidRPr="00BF5342">
        <w:rPr>
          <w:rFonts w:ascii="TimesNewRomanPS-ItalicMT" w:eastAsia="Times New Roman" w:hAnsi="TimesNewRomanPS-ItalicMT" w:cs="TimesNewRomanPS-ItalicMT"/>
          <w:i/>
          <w:iCs/>
          <w:kern w:val="0"/>
          <w:sz w:val="22"/>
          <w:szCs w:val="22"/>
          <w:lang w:eastAsia="cs-CZ"/>
        </w:rPr>
        <w:t xml:space="preserve">í. </w:t>
      </w:r>
    </w:p>
    <w:p w14:paraId="7308DC17" w14:textId="77777777" w:rsidR="00BF5342" w:rsidRDefault="00BF5342" w:rsidP="00BF5342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</w:p>
    <w:p w14:paraId="4CA552F8" w14:textId="77777777" w:rsidR="0031593B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31593B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373A114F" w:rsidR="0031593B" w:rsidRDefault="00901EDD">
            <w:pPr>
              <w:pStyle w:val="Obsahtabulky"/>
              <w:snapToGrid w:val="0"/>
            </w:pPr>
            <w:r>
              <w:t>1</w:t>
            </w:r>
          </w:p>
        </w:tc>
      </w:tr>
    </w:tbl>
    <w:p w14:paraId="534EA2BC" w14:textId="77777777" w:rsidR="0031593B" w:rsidRDefault="0031593B"/>
    <w:p w14:paraId="0AC5E65C" w14:textId="77777777" w:rsidR="0031593B" w:rsidRDefault="0031593B">
      <w:pPr>
        <w:rPr>
          <w:b/>
          <w:bCs/>
          <w:sz w:val="22"/>
          <w:szCs w:val="22"/>
        </w:rPr>
      </w:pPr>
    </w:p>
    <w:p w14:paraId="652305A7" w14:textId="77777777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15BCF51E" w14:textId="77777777" w:rsidR="0031593B" w:rsidRDefault="0031593B">
      <w:pPr>
        <w:rPr>
          <w:sz w:val="22"/>
          <w:szCs w:val="22"/>
        </w:rPr>
      </w:pPr>
    </w:p>
    <w:p w14:paraId="0D1433E7" w14:textId="5ACEF6E2" w:rsidR="0031593B" w:rsidRDefault="00BF5342" w:rsidP="00BF5342">
      <w:pPr>
        <w:jc w:val="both"/>
        <w:rPr>
          <w:sz w:val="22"/>
          <w:szCs w:val="22"/>
        </w:rPr>
      </w:pPr>
      <w:r>
        <w:rPr>
          <w:sz w:val="22"/>
          <w:szCs w:val="22"/>
        </w:rPr>
        <w:t>Na s.</w:t>
      </w:r>
      <w:r w:rsidR="001944F4" w:rsidRPr="001944F4">
        <w:rPr>
          <w:sz w:val="22"/>
          <w:szCs w:val="22"/>
        </w:rPr>
        <w:t xml:space="preserve"> 9 </w:t>
      </w:r>
      <w:r>
        <w:rPr>
          <w:sz w:val="22"/>
          <w:szCs w:val="22"/>
        </w:rPr>
        <w:t xml:space="preserve">uvádíte, </w:t>
      </w:r>
      <w:r w:rsidR="001944F4" w:rsidRPr="001944F4">
        <w:rPr>
          <w:sz w:val="22"/>
          <w:szCs w:val="22"/>
        </w:rPr>
        <w:t xml:space="preserve">že v gotických románech psaných </w:t>
      </w:r>
      <w:r>
        <w:rPr>
          <w:sz w:val="22"/>
          <w:szCs w:val="22"/>
        </w:rPr>
        <w:t>muži</w:t>
      </w:r>
      <w:r w:rsidR="001944F4" w:rsidRPr="001944F4">
        <w:rPr>
          <w:sz w:val="22"/>
          <w:szCs w:val="22"/>
        </w:rPr>
        <w:t xml:space="preserve"> je často ženě přisuzována </w:t>
      </w:r>
      <w:r>
        <w:rPr>
          <w:sz w:val="22"/>
          <w:szCs w:val="22"/>
        </w:rPr>
        <w:t xml:space="preserve">role </w:t>
      </w:r>
      <w:r w:rsidR="001944F4" w:rsidRPr="001944F4">
        <w:rPr>
          <w:sz w:val="22"/>
          <w:szCs w:val="22"/>
        </w:rPr>
        <w:t>hospodyně u domácího krbu</w:t>
      </w:r>
      <w:r>
        <w:rPr>
          <w:sz w:val="22"/>
          <w:szCs w:val="22"/>
        </w:rPr>
        <w:t>. Z</w:t>
      </w:r>
      <w:r w:rsidR="001944F4" w:rsidRPr="001944F4">
        <w:rPr>
          <w:sz w:val="22"/>
          <w:szCs w:val="22"/>
        </w:rPr>
        <w:t xml:space="preserve"> čeho tak </w:t>
      </w:r>
      <w:r>
        <w:rPr>
          <w:sz w:val="22"/>
          <w:szCs w:val="22"/>
        </w:rPr>
        <w:t>lze usoudit</w:t>
      </w:r>
      <w:r w:rsidR="001944F4" w:rsidRPr="001944F4">
        <w:rPr>
          <w:sz w:val="22"/>
          <w:szCs w:val="22"/>
        </w:rPr>
        <w:t>?</w:t>
      </w:r>
    </w:p>
    <w:p w14:paraId="5B17DAA4" w14:textId="77777777" w:rsidR="0031593B" w:rsidRDefault="0031593B" w:rsidP="00BF5342">
      <w:pPr>
        <w:jc w:val="both"/>
        <w:rPr>
          <w:sz w:val="22"/>
          <w:szCs w:val="22"/>
        </w:rPr>
      </w:pPr>
    </w:p>
    <w:p w14:paraId="149D4DEE" w14:textId="4641BE6C" w:rsidR="000952F7" w:rsidRPr="00953360" w:rsidRDefault="00BF5342" w:rsidP="00BF534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 možné jednoznačně formulovat, co je </w:t>
      </w:r>
      <w:r w:rsidR="000952F7" w:rsidRPr="00953360">
        <w:rPr>
          <w:sz w:val="22"/>
          <w:szCs w:val="22"/>
        </w:rPr>
        <w:t>hlediskem</w:t>
      </w:r>
      <w:r>
        <w:rPr>
          <w:sz w:val="22"/>
          <w:szCs w:val="22"/>
        </w:rPr>
        <w:t>,</w:t>
      </w:r>
      <w:r w:rsidR="000952F7" w:rsidRPr="00953360">
        <w:rPr>
          <w:sz w:val="22"/>
          <w:szCs w:val="22"/>
        </w:rPr>
        <w:t xml:space="preserve"> podle kterého </w:t>
      </w:r>
      <w:r>
        <w:rPr>
          <w:sz w:val="22"/>
          <w:szCs w:val="22"/>
        </w:rPr>
        <w:t xml:space="preserve">v práci </w:t>
      </w:r>
      <w:r w:rsidR="000952F7" w:rsidRPr="00953360">
        <w:rPr>
          <w:sz w:val="22"/>
          <w:szCs w:val="22"/>
        </w:rPr>
        <w:t>odlišuje</w:t>
      </w:r>
      <w:r>
        <w:rPr>
          <w:sz w:val="22"/>
          <w:szCs w:val="22"/>
        </w:rPr>
        <w:t>te</w:t>
      </w:r>
      <w:r w:rsidR="000952F7" w:rsidRPr="00953360">
        <w:rPr>
          <w:sz w:val="22"/>
          <w:szCs w:val="22"/>
        </w:rPr>
        <w:t xml:space="preserve"> inspiraci gotickým románem od obecného postupu strašidelné literatury?</w:t>
      </w:r>
    </w:p>
    <w:p w14:paraId="71C36A44" w14:textId="77777777" w:rsidR="000952F7" w:rsidRPr="00953360" w:rsidRDefault="000952F7" w:rsidP="000952F7">
      <w:pPr>
        <w:rPr>
          <w:sz w:val="22"/>
          <w:szCs w:val="22"/>
        </w:rPr>
      </w:pPr>
    </w:p>
    <w:p w14:paraId="3D2BA87C" w14:textId="77777777" w:rsidR="0031593B" w:rsidRDefault="0031593B">
      <w:pPr>
        <w:rPr>
          <w:sz w:val="22"/>
          <w:szCs w:val="22"/>
        </w:rPr>
      </w:pPr>
    </w:p>
    <w:p w14:paraId="4EEB6DE5" w14:textId="77777777" w:rsidR="0031593B" w:rsidRDefault="0031593B">
      <w:pPr>
        <w:rPr>
          <w:sz w:val="22"/>
          <w:szCs w:val="22"/>
        </w:rPr>
      </w:pPr>
    </w:p>
    <w:p w14:paraId="38E3C3A8" w14:textId="77777777" w:rsidR="0031593B" w:rsidRDefault="0031593B">
      <w:pPr>
        <w:rPr>
          <w:sz w:val="22"/>
          <w:szCs w:val="22"/>
        </w:rPr>
      </w:pPr>
    </w:p>
    <w:p w14:paraId="14D5D93A" w14:textId="77777777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31593B" w:rsidRDefault="0031593B">
      <w:pPr>
        <w:rPr>
          <w:sz w:val="22"/>
          <w:szCs w:val="22"/>
        </w:rPr>
      </w:pPr>
    </w:p>
    <w:p w14:paraId="45E0BEBE" w14:textId="77777777" w:rsidR="0031593B" w:rsidRDefault="0031593B">
      <w:pPr>
        <w:rPr>
          <w:sz w:val="22"/>
          <w:szCs w:val="22"/>
        </w:rPr>
      </w:pPr>
    </w:p>
    <w:p w14:paraId="5A025C75" w14:textId="50CE9E1B" w:rsidR="0031593B" w:rsidRDefault="00BF5342">
      <w:pPr>
        <w:rPr>
          <w:sz w:val="22"/>
          <w:szCs w:val="22"/>
        </w:rPr>
      </w:pPr>
      <w:r>
        <w:rPr>
          <w:sz w:val="22"/>
          <w:szCs w:val="22"/>
        </w:rPr>
        <w:t xml:space="preserve">Práci doporučuji k obhajobě. </w:t>
      </w:r>
    </w:p>
    <w:p w14:paraId="27A1E1C0" w14:textId="77777777" w:rsidR="0031593B" w:rsidRDefault="0031593B">
      <w:pPr>
        <w:rPr>
          <w:sz w:val="22"/>
          <w:szCs w:val="22"/>
        </w:rPr>
      </w:pPr>
    </w:p>
    <w:p w14:paraId="085E5626" w14:textId="77777777" w:rsidR="0031593B" w:rsidRDefault="0031593B">
      <w:pPr>
        <w:rPr>
          <w:b/>
          <w:bCs/>
          <w:sz w:val="22"/>
          <w:szCs w:val="22"/>
        </w:rPr>
      </w:pPr>
    </w:p>
    <w:p w14:paraId="261BA9A7" w14:textId="77777777" w:rsidR="0031593B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31593B" w:rsidRDefault="0031593B">
      <w:pPr>
        <w:rPr>
          <w:sz w:val="22"/>
          <w:szCs w:val="22"/>
        </w:rPr>
      </w:pPr>
    </w:p>
    <w:p w14:paraId="012D111E" w14:textId="77777777" w:rsidR="0031593B" w:rsidRDefault="0031593B">
      <w:pPr>
        <w:rPr>
          <w:sz w:val="22"/>
          <w:szCs w:val="22"/>
        </w:rPr>
      </w:pPr>
    </w:p>
    <w:p w14:paraId="38F64D3E" w14:textId="08A9A5FA" w:rsidR="0031593B" w:rsidRDefault="00BF5342">
      <w:pPr>
        <w:rPr>
          <w:sz w:val="22"/>
          <w:szCs w:val="22"/>
        </w:rPr>
      </w:pPr>
      <w:r>
        <w:rPr>
          <w:sz w:val="22"/>
          <w:szCs w:val="22"/>
        </w:rPr>
        <w:t>S ohledem na bodové hodnocení (</w:t>
      </w:r>
      <w:r w:rsidR="000A550C">
        <w:rPr>
          <w:sz w:val="22"/>
          <w:szCs w:val="22"/>
        </w:rPr>
        <w:t>11</w:t>
      </w:r>
      <w:r>
        <w:rPr>
          <w:sz w:val="22"/>
          <w:szCs w:val="22"/>
        </w:rPr>
        <w:t xml:space="preserve"> b) hodnotím text známkou </w:t>
      </w:r>
      <w:r w:rsidR="000A550C">
        <w:rPr>
          <w:sz w:val="22"/>
          <w:szCs w:val="22"/>
        </w:rPr>
        <w:t>D – velmi dobře mínus.</w:t>
      </w:r>
    </w:p>
    <w:p w14:paraId="5BFE16D8" w14:textId="77777777" w:rsidR="0031593B" w:rsidRDefault="0031593B">
      <w:pPr>
        <w:rPr>
          <w:sz w:val="22"/>
          <w:szCs w:val="22"/>
        </w:rPr>
      </w:pPr>
    </w:p>
    <w:p w14:paraId="3DBF412C" w14:textId="77777777" w:rsidR="0031593B" w:rsidRDefault="0031593B">
      <w:pPr>
        <w:rPr>
          <w:sz w:val="22"/>
          <w:szCs w:val="22"/>
        </w:rPr>
      </w:pPr>
    </w:p>
    <w:p w14:paraId="6D34139E" w14:textId="079DBF89" w:rsidR="0031593B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F22E69">
        <w:rPr>
          <w:sz w:val="22"/>
          <w:szCs w:val="22"/>
        </w:rPr>
        <w:t xml:space="preserve"> 19. 5. 2023</w:t>
      </w:r>
    </w:p>
    <w:p w14:paraId="01E17E0D" w14:textId="77777777" w:rsidR="0031593B" w:rsidRDefault="0031593B">
      <w:pPr>
        <w:rPr>
          <w:sz w:val="22"/>
          <w:szCs w:val="22"/>
        </w:rPr>
      </w:pPr>
    </w:p>
    <w:p w14:paraId="42AD70B2" w14:textId="77777777" w:rsidR="0031593B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31593B" w:rsidRDefault="0031593B">
      <w:pPr>
        <w:rPr>
          <w:sz w:val="22"/>
          <w:szCs w:val="22"/>
        </w:rPr>
      </w:pPr>
    </w:p>
    <w:p w14:paraId="4A6E105C" w14:textId="77777777" w:rsidR="0031593B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31593B" w:rsidRDefault="0031593B">
      <w:pPr>
        <w:rPr>
          <w:sz w:val="20"/>
          <w:szCs w:val="20"/>
        </w:rPr>
      </w:pPr>
    </w:p>
    <w:p w14:paraId="0A759FE9" w14:textId="77777777" w:rsidR="0031593B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31593B" w:rsidRDefault="0031593B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31593B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31593B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31593B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31593B" w:rsidRDefault="0031593B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31593B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31593B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31593B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31593B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1593B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31593B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31593B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1593B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31593B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31593B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1593B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31593B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31593B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1593B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31593B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31593B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31593B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31593B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31593B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31593B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31593B" w:rsidRDefault="0031593B">
      <w:pPr>
        <w:rPr>
          <w:sz w:val="22"/>
          <w:szCs w:val="22"/>
        </w:rPr>
      </w:pPr>
    </w:p>
    <w:p w14:paraId="4626FDFE" w14:textId="77777777" w:rsidR="0031593B" w:rsidRDefault="0031593B"/>
    <w:sectPr w:rsidR="0031593B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995AE" w14:textId="77777777" w:rsidR="0031593B" w:rsidRDefault="00877CBF">
      <w:r>
        <w:separator/>
      </w:r>
    </w:p>
  </w:endnote>
  <w:endnote w:type="continuationSeparator" w:id="0">
    <w:p w14:paraId="4C59CCF9" w14:textId="77777777" w:rsidR="0031593B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AD8A8" w14:textId="77777777" w:rsidR="0031593B" w:rsidRDefault="00877CBF">
      <w:r>
        <w:separator/>
      </w:r>
    </w:p>
  </w:footnote>
  <w:footnote w:type="continuationSeparator" w:id="0">
    <w:p w14:paraId="400E538E" w14:textId="77777777" w:rsidR="0031593B" w:rsidRDefault="00877CBF">
      <w:r>
        <w:continuationSeparator/>
      </w:r>
    </w:p>
  </w:footnote>
  <w:footnote w:id="1">
    <w:p w14:paraId="2144AC0B" w14:textId="77777777" w:rsidR="0031593B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952F7"/>
    <w:rsid w:val="000A550C"/>
    <w:rsid w:val="001944F4"/>
    <w:rsid w:val="0031593B"/>
    <w:rsid w:val="005E0ACF"/>
    <w:rsid w:val="00711F0D"/>
    <w:rsid w:val="00781C3C"/>
    <w:rsid w:val="00877CBF"/>
    <w:rsid w:val="00901EDD"/>
    <w:rsid w:val="00953360"/>
    <w:rsid w:val="00BE079C"/>
    <w:rsid w:val="00BF5342"/>
    <w:rsid w:val="00EE297D"/>
    <w:rsid w:val="00F22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825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5688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4</cp:revision>
  <cp:lastPrinted>1899-12-31T23:00:00Z</cp:lastPrinted>
  <dcterms:created xsi:type="dcterms:W3CDTF">2023-05-15T12:55:00Z</dcterms:created>
  <dcterms:modified xsi:type="dcterms:W3CDTF">2023-05-22T06:50:00Z</dcterms:modified>
</cp:coreProperties>
</file>