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6490" w:rsidRPr="00650AE6" w:rsidRDefault="00DE6490" w:rsidP="00DE6490">
      <w:pPr>
        <w:rPr>
          <w:rFonts w:ascii="Times New Roman" w:hAnsi="Times New Roman" w:cs="Times New Roman"/>
          <w:b/>
          <w:i/>
          <w:sz w:val="32"/>
          <w:szCs w:val="32"/>
          <w:lang w:val="en-US"/>
        </w:rPr>
      </w:pPr>
      <w:r w:rsidRPr="00650AE6">
        <w:rPr>
          <w:rFonts w:ascii="Times New Roman" w:hAnsi="Times New Roman" w:cs="Times New Roman"/>
          <w:b/>
          <w:i/>
          <w:sz w:val="32"/>
          <w:szCs w:val="32"/>
          <w:lang w:val="en-US"/>
        </w:rPr>
        <w:t>The use of Cluster Analysis for Market Segmentation of Candidates for Higher Education as a Tool for Effective Communication Targeting Universities in the Czech Republic</w:t>
      </w:r>
    </w:p>
    <w:p w:rsidR="00DE6490" w:rsidRPr="00650AE6" w:rsidRDefault="00DE6490" w:rsidP="00DE6490">
      <w:pPr>
        <w:spacing w:after="0" w:line="240" w:lineRule="auto"/>
        <w:rPr>
          <w:rFonts w:ascii="Times New Roman" w:hAnsi="Times New Roman" w:cs="Times New Roman"/>
          <w:b/>
          <w:sz w:val="20"/>
          <w:szCs w:val="20"/>
          <w:lang w:val="en-GB"/>
        </w:rPr>
      </w:pPr>
    </w:p>
    <w:p w:rsidR="00DE6490" w:rsidRPr="00650AE6" w:rsidRDefault="00DE6490" w:rsidP="00DE6490">
      <w:pPr>
        <w:spacing w:after="0" w:line="240" w:lineRule="auto"/>
        <w:rPr>
          <w:rFonts w:ascii="Times New Roman" w:hAnsi="Times New Roman" w:cs="Times New Roman"/>
          <w:b/>
          <w:sz w:val="24"/>
          <w:szCs w:val="32"/>
          <w:lang w:val="en-GB"/>
        </w:rPr>
      </w:pPr>
      <w:r w:rsidRPr="00650AE6">
        <w:rPr>
          <w:rFonts w:ascii="Times New Roman" w:hAnsi="Times New Roman" w:cs="Times New Roman"/>
          <w:b/>
          <w:sz w:val="24"/>
          <w:szCs w:val="32"/>
          <w:lang w:val="en-GB"/>
        </w:rPr>
        <w:t>Kateřina Kantorová, Hana Jonášová, Jan Panuš</w:t>
      </w:r>
    </w:p>
    <w:p w:rsidR="00DE6490" w:rsidRPr="00650AE6" w:rsidRDefault="00DE6490" w:rsidP="00DE6490">
      <w:pPr>
        <w:spacing w:after="0" w:line="240" w:lineRule="auto"/>
        <w:rPr>
          <w:rFonts w:ascii="Times New Roman" w:hAnsi="Times New Roman" w:cs="Times New Roman"/>
          <w:b/>
          <w:sz w:val="20"/>
          <w:szCs w:val="32"/>
          <w:lang w:val="en-GB"/>
        </w:rPr>
      </w:pPr>
    </w:p>
    <w:p w:rsidR="00650AE6" w:rsidRPr="00650AE6" w:rsidRDefault="00650AE6" w:rsidP="00650AE6">
      <w:pPr>
        <w:spacing w:after="0" w:line="240" w:lineRule="auto"/>
        <w:rPr>
          <w:rFonts w:ascii="Times New Roman" w:hAnsi="Times New Roman" w:cs="Times New Roman"/>
          <w:b/>
          <w:sz w:val="26"/>
          <w:szCs w:val="26"/>
          <w:lang w:val="en-US"/>
        </w:rPr>
      </w:pPr>
      <w:r w:rsidRPr="00650AE6">
        <w:rPr>
          <w:rFonts w:ascii="Times New Roman" w:hAnsi="Times New Roman" w:cs="Times New Roman"/>
          <w:b/>
          <w:sz w:val="26"/>
          <w:szCs w:val="26"/>
          <w:lang w:val="en-US"/>
        </w:rPr>
        <w:t>Abstract</w:t>
      </w:r>
    </w:p>
    <w:p w:rsidR="00650AE6" w:rsidRPr="00650AE6" w:rsidRDefault="00650AE6" w:rsidP="00597E76">
      <w:pPr>
        <w:spacing w:line="240" w:lineRule="auto"/>
        <w:jc w:val="both"/>
        <w:rPr>
          <w:rFonts w:ascii="Times New Roman" w:hAnsi="Times New Roman" w:cs="Times New Roman"/>
          <w:sz w:val="24"/>
          <w:szCs w:val="24"/>
          <w:lang w:val="en-GB"/>
        </w:rPr>
      </w:pPr>
      <w:r w:rsidRPr="00650AE6">
        <w:rPr>
          <w:rFonts w:ascii="Times New Roman" w:hAnsi="Times New Roman" w:cs="Times New Roman"/>
          <w:sz w:val="24"/>
          <w:szCs w:val="24"/>
          <w:lang w:val="en-GB"/>
        </w:rPr>
        <w:t>Czech education system faced some huge changes during last decades (1990-2015). The number of students was high in the beginning of this decade therefore new universities or educational institutions were established. Later on (last 5 years) we are facing the reverse trend of decreasing number of students. Some universities have serious financial problems and are close to finishing with their activities. Forecast for next 5-10 years could be better due to increasing number of students again. Universities must change the way how to think about students and how to attract them to study their study programmes. One of the possible ways is to create study programme to be attractive for students which mean using customer-oriented approach to become dominant university at region. We identified the aspect of students’ decision making process – choosing the specific needs why to study at specific university and we made the analysis of these needs.</w:t>
      </w:r>
    </w:p>
    <w:p w:rsidR="00650AE6" w:rsidRPr="005719FE" w:rsidRDefault="00650AE6" w:rsidP="00650AE6">
      <w:pPr>
        <w:spacing w:after="0" w:line="240" w:lineRule="auto"/>
        <w:rPr>
          <w:rFonts w:ascii="Times New Roman" w:hAnsi="Times New Roman" w:cs="Times New Roman"/>
          <w:sz w:val="24"/>
          <w:szCs w:val="20"/>
          <w:lang w:val="en-US"/>
        </w:rPr>
      </w:pPr>
      <w:r w:rsidRPr="005719FE">
        <w:rPr>
          <w:rFonts w:ascii="Times New Roman" w:hAnsi="Times New Roman" w:cs="Times New Roman"/>
          <w:b/>
          <w:sz w:val="24"/>
          <w:szCs w:val="20"/>
          <w:lang w:val="en-US"/>
        </w:rPr>
        <w:t>Key Words:</w:t>
      </w:r>
      <w:r w:rsidRPr="005719FE">
        <w:rPr>
          <w:rFonts w:ascii="Times New Roman" w:hAnsi="Times New Roman" w:cs="Times New Roman"/>
          <w:sz w:val="24"/>
          <w:szCs w:val="20"/>
          <w:lang w:val="en-US"/>
        </w:rPr>
        <w:t xml:space="preserve"> Cluster Analysis, Communication, Marketing, Universities, Higher education</w:t>
      </w:r>
    </w:p>
    <w:p w:rsidR="00650AE6" w:rsidRPr="005719FE" w:rsidRDefault="00650AE6" w:rsidP="00650AE6">
      <w:pPr>
        <w:spacing w:after="0" w:line="240" w:lineRule="auto"/>
        <w:rPr>
          <w:rFonts w:ascii="Times New Roman" w:hAnsi="Times New Roman" w:cs="Times New Roman"/>
          <w:sz w:val="24"/>
          <w:szCs w:val="20"/>
          <w:lang w:val="en-US"/>
        </w:rPr>
      </w:pPr>
    </w:p>
    <w:p w:rsidR="00650AE6" w:rsidRPr="005719FE" w:rsidRDefault="00650AE6" w:rsidP="00650AE6">
      <w:pPr>
        <w:spacing w:after="0" w:line="240" w:lineRule="auto"/>
        <w:rPr>
          <w:rFonts w:ascii="Times New Roman" w:hAnsi="Times New Roman" w:cs="Times New Roman"/>
          <w:sz w:val="24"/>
          <w:szCs w:val="20"/>
          <w:lang w:val="en-US"/>
        </w:rPr>
      </w:pPr>
      <w:r w:rsidRPr="005719FE">
        <w:rPr>
          <w:rFonts w:ascii="Times New Roman" w:hAnsi="Times New Roman" w:cs="Times New Roman"/>
          <w:b/>
          <w:sz w:val="24"/>
          <w:szCs w:val="20"/>
          <w:lang w:val="en-US"/>
        </w:rPr>
        <w:t>JEL Classification:</w:t>
      </w:r>
      <w:r w:rsidRPr="005719FE">
        <w:rPr>
          <w:rFonts w:ascii="Times New Roman" w:hAnsi="Times New Roman" w:cs="Times New Roman"/>
          <w:sz w:val="24"/>
          <w:szCs w:val="20"/>
          <w:lang w:val="en-US"/>
        </w:rPr>
        <w:t xml:space="preserve">  I23, C38</w:t>
      </w:r>
    </w:p>
    <w:p w:rsidR="00650AE6" w:rsidRPr="00650AE6" w:rsidRDefault="00650AE6" w:rsidP="00DE6490">
      <w:pPr>
        <w:spacing w:after="0" w:line="240" w:lineRule="auto"/>
        <w:rPr>
          <w:rFonts w:ascii="Times New Roman" w:hAnsi="Times New Roman" w:cs="Times New Roman"/>
          <w:b/>
          <w:sz w:val="20"/>
          <w:szCs w:val="32"/>
          <w:lang w:val="en-GB"/>
        </w:rPr>
      </w:pPr>
    </w:p>
    <w:p w:rsidR="00DE6490" w:rsidRPr="00650AE6" w:rsidRDefault="00DE6490" w:rsidP="00597E76">
      <w:pPr>
        <w:pStyle w:val="Nadpis1"/>
        <w:numPr>
          <w:ilvl w:val="0"/>
          <w:numId w:val="0"/>
        </w:numPr>
        <w:ind w:left="360"/>
        <w:rPr>
          <w:lang w:val="en-GB"/>
        </w:rPr>
      </w:pPr>
      <w:r w:rsidRPr="00650AE6">
        <w:rPr>
          <w:lang w:val="en-GB"/>
        </w:rPr>
        <w:t>Introduction</w:t>
      </w:r>
    </w:p>
    <w:p w:rsidR="00DE6490" w:rsidRPr="00650AE6" w:rsidRDefault="00DE6490" w:rsidP="00DE6490">
      <w:pPr>
        <w:pStyle w:val="textEM"/>
        <w:rPr>
          <w:rFonts w:cs="Times New Roman"/>
          <w:lang w:val="en-GB"/>
        </w:rPr>
      </w:pPr>
      <w:r w:rsidRPr="00650AE6">
        <w:rPr>
          <w:rFonts w:cs="Times New Roman"/>
          <w:lang w:val="en-GB"/>
        </w:rPr>
        <w:t>Public services provided by many other universities</w:t>
      </w:r>
      <w:r w:rsidR="00B16C41">
        <w:rPr>
          <w:rFonts w:cs="Times New Roman"/>
          <w:lang w:val="en-GB"/>
        </w:rPr>
        <w:fldChar w:fldCharType="begin"/>
      </w:r>
      <w:r w:rsidR="00B16C41">
        <w:rPr>
          <w:rFonts w:cs="Times New Roman"/>
          <w:lang w:val="en-GB"/>
        </w:rPr>
        <w:instrText xml:space="preserve"> ADDIN EN.CITE &lt;EndNote&gt;&lt;Cite&gt;&lt;Author&gt;Šipikal&lt;/Author&gt;&lt;Year&gt;2017&lt;/Year&gt;&lt;RecNum&gt;110&lt;/RecNum&gt;&lt;DisplayText&gt;[24]&lt;/DisplayText&gt;&lt;record&gt;&lt;rec-number&gt;110&lt;/rec-number&gt;&lt;foreign-keys&gt;&lt;key app="EN" db-id="r05xppf0ee2vdkeepwyp55e6dvzve2p9dssr" timestamp="1524734606"&gt;110&lt;/key&gt;&lt;/foreign-keys&gt;&lt;ref-type name="Journal Article"&gt;17&lt;/ref-type&gt;&lt;contributors&gt;&lt;authors&gt;&lt;author&gt;Šipikal, Miroslav&lt;/author&gt;&lt;author&gt;Némethová, Valéria&lt;/author&gt;&lt;/authors&gt;&lt;/contributors&gt;&lt;titles&gt;&lt;title&gt;VÝKONOVÉ FINANCOVANIE UNIVERZÍT–PRÍPADOVÁ ŠTÚDIA SLOVENSKA&lt;/title&gt;&lt;secondary-title&gt;Scientific Papers of the University of Pardubice. Series D, Faculty of Economics &amp;amp; Administration&lt;/secondary-title&gt;&lt;/titles&gt;&lt;periodical&gt;&lt;full-title&gt;Scientific Papers of the University of Pardubice. Series D, Faculty of Economics &amp;amp; Administration&lt;/full-title&gt;&lt;/periodical&gt;&lt;volume&gt;25&lt;/volume&gt;&lt;number&gt;41&lt;/number&gt;&lt;dates&gt;&lt;year&gt;2017&lt;/year&gt;&lt;/dates&gt;&lt;isbn&gt;1211-555X&lt;/isbn&gt;&lt;urls&gt;&lt;/urls&gt;&lt;/record&gt;&lt;/Cite&gt;&lt;/EndNote&gt;</w:instrText>
      </w:r>
      <w:r w:rsidR="00B16C41">
        <w:rPr>
          <w:rFonts w:cs="Times New Roman"/>
          <w:lang w:val="en-GB"/>
        </w:rPr>
        <w:fldChar w:fldCharType="separate"/>
      </w:r>
      <w:r w:rsidR="00B16C41">
        <w:rPr>
          <w:rFonts w:cs="Times New Roman"/>
          <w:noProof/>
          <w:lang w:val="en-GB"/>
        </w:rPr>
        <w:t>[24]</w:t>
      </w:r>
      <w:r w:rsidR="00B16C41">
        <w:rPr>
          <w:rFonts w:cs="Times New Roman"/>
          <w:lang w:val="en-GB"/>
        </w:rPr>
        <w:fldChar w:fldCharType="end"/>
      </w:r>
      <w:r w:rsidRPr="00650AE6">
        <w:rPr>
          <w:rFonts w:cs="Times New Roman"/>
          <w:lang w:val="en-GB"/>
        </w:rPr>
        <w:t xml:space="preserve"> in the Czech Republic are increasingly exposed to competition pressure and are aimed at the interest of users. This is done based on selected marketing tools. The higher the interest of the users and the reputation of the organization, the easier it is to get the funds that are needed to ensure a growing quality of service </w:t>
      </w:r>
      <w:r w:rsidRPr="00650AE6">
        <w:rPr>
          <w:rFonts w:cs="Times New Roman"/>
          <w:lang w:val="en-GB"/>
        </w:rPr>
        <w:fldChar w:fldCharType="begin"/>
      </w:r>
      <w:r w:rsidR="006325BE">
        <w:rPr>
          <w:rFonts w:cs="Times New Roman"/>
          <w:lang w:val="en-GB"/>
        </w:rPr>
        <w:instrText xml:space="preserve"> ADDIN EN.CITE &lt;EndNote&gt;&lt;Cite&gt;&lt;Author&gt;Sultan&lt;/Author&gt;&lt;Year&gt;2013&lt;/Year&gt;&lt;RecNum&gt;108&lt;/RecNum&gt;&lt;DisplayText&gt;[2, 23]&lt;/DisplayText&gt;&lt;record&gt;&lt;rec-number&gt;108&lt;/rec-number&gt;&lt;foreign-keys&gt;&lt;key app="EN" db-id="r05xppf0ee2vdkeepwyp55e6dvzve2p9dssr" timestamp="1524725664"&gt;108&lt;/key&gt;&lt;/foreign-keys&gt;&lt;ref-type name="Journal Article"&gt;17&lt;/ref-type&gt;&lt;contributors&gt;&lt;authors&gt;&lt;author&gt;Sultan, Parves&lt;/author&gt;&lt;author&gt;Yin Wong, Ho&lt;/author&gt;&lt;/authors&gt;&lt;/contributors&gt;&lt;titles&gt;&lt;title&gt;Antecedents and consequences of service quality in a higher education context: a qualitative research approach&lt;/title&gt;&lt;secondary-title&gt;Quality assurance in education&lt;/secondary-title&gt;&lt;/titles&gt;&lt;periodical&gt;&lt;full-title&gt;Quality assurance in education&lt;/full-title&gt;&lt;/periodical&gt;&lt;pages&gt;70-95&lt;/pages&gt;&lt;volume&gt;21&lt;/volume&gt;&lt;number&gt;1&lt;/number&gt;&lt;dates&gt;&lt;year&gt;2013&lt;/year&gt;&lt;/dates&gt;&lt;isbn&gt;0968-4883&lt;/isbn&gt;&lt;urls&gt;&lt;/urls&gt;&lt;/record&gt;&lt;/Cite&gt;&lt;Cite&gt;&lt;Author&gt;Ali&lt;/Author&gt;&lt;Year&gt;2016&lt;/Year&gt;&lt;RecNum&gt;109&lt;/RecNum&gt;&lt;record&gt;&lt;rec-number&gt;109&lt;/rec-number&gt;&lt;foreign-keys&gt;&lt;key app="EN" db-id="r05xppf0ee2vdkeepwyp55e6dvzve2p9dssr" timestamp="1524725764"&gt;109&lt;/key&gt;&lt;/foreign-keys&gt;&lt;ref-type name="Journal Article"&gt;17&lt;/ref-type&gt;&lt;contributors&gt;&lt;authors&gt;&lt;author&gt;Ali, Faizan&lt;/author&gt;&lt;author&gt;Zhou, Yuan&lt;/author&gt;&lt;author&gt;Hussain, Kashif&lt;/author&gt;&lt;author&gt;Nair, Pradeep Kumar&lt;/author&gt;&lt;author&gt;Ragavan, Neethiahnanthan Ari&lt;/author&gt;&lt;/authors&gt;&lt;/contributors&gt;&lt;titles&gt;&lt;title&gt;Does higher education service quality effect student satisfaction, image and loyalty? A study of international students in Malaysian public universities&lt;/title&gt;&lt;secondary-title&gt;Quality Assurance in Education&lt;/secondary-title&gt;&lt;/titles&gt;&lt;periodical&gt;&lt;full-title&gt;Quality assurance in education&lt;/full-title&gt;&lt;/periodical&gt;&lt;pages&gt;70-94&lt;/pages&gt;&lt;volume&gt;24&lt;/volume&gt;&lt;number&gt;1&lt;/number&gt;&lt;dates&gt;&lt;year&gt;2016&lt;/year&gt;&lt;/dates&gt;&lt;isbn&gt;0968-4883&lt;/isbn&gt;&lt;urls&gt;&lt;/urls&gt;&lt;/record&gt;&lt;/Cite&gt;&lt;/EndNote&gt;</w:instrText>
      </w:r>
      <w:r w:rsidRPr="00650AE6">
        <w:rPr>
          <w:rFonts w:cs="Times New Roman"/>
          <w:lang w:val="en-GB"/>
        </w:rPr>
        <w:fldChar w:fldCharType="separate"/>
      </w:r>
      <w:r w:rsidR="006325BE">
        <w:rPr>
          <w:rFonts w:cs="Times New Roman"/>
          <w:noProof/>
          <w:lang w:val="en-GB"/>
        </w:rPr>
        <w:t>[2, 23]</w:t>
      </w:r>
      <w:r w:rsidRPr="00650AE6">
        <w:rPr>
          <w:rFonts w:cs="Times New Roman"/>
          <w:lang w:val="en-GB"/>
        </w:rPr>
        <w:fldChar w:fldCharType="end"/>
      </w:r>
      <w:r w:rsidRPr="00650AE6">
        <w:rPr>
          <w:rFonts w:cs="Times New Roman"/>
          <w:lang w:val="en-GB"/>
        </w:rPr>
        <w:t>.</w:t>
      </w:r>
    </w:p>
    <w:p w:rsidR="00DE6490" w:rsidRPr="00650AE6" w:rsidRDefault="00DE6490" w:rsidP="00DE6490">
      <w:pPr>
        <w:pStyle w:val="textEM"/>
        <w:rPr>
          <w:rFonts w:cs="Times New Roman"/>
          <w:lang w:val="en-GB"/>
        </w:rPr>
      </w:pPr>
      <w:r w:rsidRPr="00650AE6">
        <w:rPr>
          <w:rFonts w:cs="Times New Roman"/>
          <w:lang w:val="en-GB"/>
        </w:rPr>
        <w:t>If a university successfully analyses the most important aspects which impact the selection of prospective students, it can more precisely and more effectively direct its communication activities and more accurately formulate its mission to more clearly reach its target group.</w:t>
      </w:r>
    </w:p>
    <w:p w:rsidR="00DE6490" w:rsidRPr="00650AE6" w:rsidRDefault="00DE6490" w:rsidP="00DE6490">
      <w:pPr>
        <w:pStyle w:val="textEM"/>
        <w:rPr>
          <w:rFonts w:cs="Times New Roman"/>
          <w:lang w:val="en-GB"/>
        </w:rPr>
      </w:pPr>
      <w:r w:rsidRPr="00650AE6">
        <w:rPr>
          <w:rFonts w:cs="Times New Roman"/>
          <w:lang w:val="en-GB"/>
        </w:rPr>
        <w:t>It is in the interest of each university not only to focus on addressing and recruiting a sufficient number of students, but it should make an effort to obtain students with a genuine interest in the field, which is a prerequisite for a successful, happy and first-rate student.</w:t>
      </w:r>
    </w:p>
    <w:p w:rsidR="00DE6490" w:rsidRPr="00650AE6" w:rsidRDefault="00DE6490" w:rsidP="00DE6490">
      <w:pPr>
        <w:pStyle w:val="textEM"/>
        <w:rPr>
          <w:rFonts w:cs="Times New Roman"/>
          <w:lang w:val="en-GB"/>
        </w:rPr>
      </w:pPr>
      <w:r w:rsidRPr="00650AE6">
        <w:rPr>
          <w:rFonts w:cs="Times New Roman"/>
          <w:lang w:val="en-GB"/>
        </w:rPr>
        <w:t xml:space="preserve">For such students, there is a greater potential to become loyal in terms of: attitudinal loyalty, which expresses the emotional relationship with the organisation and is manifested in praise for the institution and the intensity of recommending it, and behavioural loyalty, expressing a repeat customer behaviour (such as continuation on a master's degree at the same university, an attitude towards employing graduates of one’s “alma mater”). For many students this is very important due to expectation of universities as quite stable organization </w:t>
      </w:r>
      <w:r w:rsidRPr="00650AE6">
        <w:rPr>
          <w:rFonts w:cs="Times New Roman"/>
          <w:lang w:val="en-GB"/>
        </w:rPr>
        <w:fldChar w:fldCharType="begin"/>
      </w:r>
      <w:r w:rsidR="006325BE">
        <w:rPr>
          <w:rFonts w:cs="Times New Roman"/>
          <w:lang w:val="en-GB"/>
        </w:rPr>
        <w:instrText xml:space="preserve"> ADDIN EN.CITE &lt;EndNote&gt;&lt;Cite&gt;&lt;Author&gt;Stensaker&lt;/Author&gt;&lt;Year&gt;2015&lt;/Year&gt;&lt;RecNum&gt;92&lt;/RecNum&gt;&lt;DisplayText&gt;[22]&lt;/DisplayText&gt;&lt;record&gt;&lt;rec-number&gt;92&lt;/rec-number&gt;&lt;foreign-keys&gt;&lt;key app="EN" db-id="r05xppf0ee2vdkeepwyp55e6dvzve2p9dssr" timestamp="1511441855"&gt;92&lt;/key&gt;&lt;/foreign-keys&gt;&lt;ref-type name="Journal Article"&gt;17&lt;/ref-type&gt;&lt;contributors&gt;&lt;authors&gt;&lt;author&gt;Stensaker, Bjørn&lt;/author&gt;&lt;/authors&gt;&lt;/contributors&gt;&lt;titles&gt;&lt;title&gt;Organizational identity as a concept for understanding university dynamics&lt;/title&gt;&lt;secondary-title&gt;Higher Education&lt;/secondary-title&gt;&lt;/titles&gt;&lt;periodical&gt;&lt;full-title&gt;Higher Education&lt;/full-title&gt;&lt;/periodical&gt;&lt;pages&gt;103-115&lt;/pages&gt;&lt;volume&gt;69&lt;/volume&gt;&lt;number&gt;1&lt;/number&gt;&lt;dates&gt;&lt;year&gt;2015&lt;/year&gt;&lt;/dates&gt;&lt;isbn&gt;0018-1560&lt;/isbn&gt;&lt;urls&gt;&lt;/urls&gt;&lt;/record&gt;&lt;/Cite&gt;&lt;/EndNote&gt;</w:instrText>
      </w:r>
      <w:r w:rsidRPr="00650AE6">
        <w:rPr>
          <w:rFonts w:cs="Times New Roman"/>
          <w:lang w:val="en-GB"/>
        </w:rPr>
        <w:fldChar w:fldCharType="separate"/>
      </w:r>
      <w:r w:rsidR="006325BE">
        <w:rPr>
          <w:rFonts w:cs="Times New Roman"/>
          <w:noProof/>
          <w:lang w:val="en-GB"/>
        </w:rPr>
        <w:t>[22]</w:t>
      </w:r>
      <w:r w:rsidRPr="00650AE6">
        <w:rPr>
          <w:rFonts w:cs="Times New Roman"/>
          <w:lang w:val="en-GB"/>
        </w:rPr>
        <w:fldChar w:fldCharType="end"/>
      </w:r>
      <w:r w:rsidRPr="00650AE6">
        <w:rPr>
          <w:rFonts w:cs="Times New Roman"/>
          <w:lang w:val="en-GB"/>
        </w:rPr>
        <w:t xml:space="preserve">. Loyal students have a higher “customer value” to their chosen university. Some students are interested in combination of research and teaching together </w:t>
      </w:r>
      <w:r w:rsidRPr="00650AE6">
        <w:rPr>
          <w:rFonts w:cs="Times New Roman"/>
          <w:lang w:val="en-GB"/>
        </w:rPr>
        <w:fldChar w:fldCharType="begin">
          <w:fldData xml:space="preserve">PEVuZE5vdGU+PENpdGU+PEF1dGhvcj5KZW5raW5zPC9BdXRob3I+PFllYXI+MTk5ODwvWWVhcj48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</w:fldData>
        </w:fldChar>
      </w:r>
      <w:r w:rsidR="00B16C41">
        <w:rPr>
          <w:rFonts w:cs="Times New Roman"/>
          <w:lang w:val="en-GB"/>
        </w:rPr>
        <w:instrText xml:space="preserve"> ADDIN EN.CITE </w:instrText>
      </w:r>
      <w:r w:rsidR="00B16C41">
        <w:rPr>
          <w:rFonts w:cs="Times New Roman"/>
          <w:lang w:val="en-GB"/>
        </w:rPr>
        <w:fldChar w:fldCharType="begin">
          <w:fldData xml:space="preserve">PEVuZE5vdGU+PENpdGU+PEF1dGhvcj5KZW5raW5zPC9BdXRob3I+PFllYXI+MTk5ODwvWWVhcj48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</w:fldData>
        </w:fldChar>
      </w:r>
      <w:r w:rsidR="00B16C41">
        <w:rPr>
          <w:rFonts w:cs="Times New Roman"/>
          <w:lang w:val="en-GB"/>
        </w:rPr>
        <w:instrText xml:space="preserve"> ADDIN EN.CITE.DATA </w:instrText>
      </w:r>
      <w:r w:rsidR="00B16C41">
        <w:rPr>
          <w:rFonts w:cs="Times New Roman"/>
          <w:lang w:val="en-GB"/>
        </w:rPr>
      </w:r>
      <w:r w:rsidR="00B16C41">
        <w:rPr>
          <w:rFonts w:cs="Times New Roman"/>
          <w:lang w:val="en-GB"/>
        </w:rPr>
        <w:fldChar w:fldCharType="end"/>
      </w:r>
      <w:r w:rsidRPr="00650AE6">
        <w:rPr>
          <w:rFonts w:cs="Times New Roman"/>
          <w:lang w:val="en-GB"/>
        </w:rPr>
        <w:fldChar w:fldCharType="separate"/>
      </w:r>
      <w:r w:rsidR="00B16C41">
        <w:rPr>
          <w:rFonts w:cs="Times New Roman"/>
          <w:noProof/>
          <w:lang w:val="en-GB"/>
        </w:rPr>
        <w:t>[10, 25-26]</w:t>
      </w:r>
      <w:r w:rsidRPr="00650AE6">
        <w:rPr>
          <w:rFonts w:cs="Times New Roman"/>
          <w:lang w:val="en-GB"/>
        </w:rPr>
        <w:fldChar w:fldCharType="end"/>
      </w:r>
      <w:r w:rsidRPr="00650AE6">
        <w:rPr>
          <w:rFonts w:cs="Times New Roman"/>
          <w:lang w:val="en-GB"/>
        </w:rPr>
        <w:t xml:space="preserve"> which is important aspect of aiming the benefit of studying. This is true even in the public and non-profit sector, although here the possibility to calculate the customer value is limited compared to the profit sector, where the financial benefits for each customer or market are more easily quantifiable </w:t>
      </w:r>
      <w:r w:rsidRPr="00650AE6">
        <w:rPr>
          <w:rFonts w:cs="Times New Roman"/>
          <w:lang w:val="en-GB"/>
        </w:rPr>
        <w:fldChar w:fldCharType="begin"/>
      </w:r>
      <w:r w:rsidR="006325BE">
        <w:rPr>
          <w:rFonts w:cs="Times New Roman"/>
          <w:lang w:val="en-GB"/>
        </w:rPr>
        <w:instrText xml:space="preserve"> ADDIN EN.CITE &lt;EndNote&gt;&lt;Cite&gt;&lt;Author&gt;Kotler&lt;/Author&gt;&lt;Year&gt;2010&lt;/Year&gt;&lt;RecNum&gt;89&lt;/RecNum&gt;&lt;DisplayText&gt;[11]&lt;/DisplayText&gt;&lt;record&gt;&lt;rec-number&gt;89&lt;/rec-number&gt;&lt;foreign-keys&gt;&lt;key app="EN" db-id="r05xppf0ee2vdkeepwyp55e6dvzve2p9dssr" timestamp="1511441724"&gt;89&lt;/key&gt;&lt;/foreign-keys&gt;&lt;ref-type name="Book"&gt;6&lt;/ref-type&gt;&lt;contributors&gt;&lt;authors&gt;&lt;author&gt;Kotler, Philip&lt;/author&gt;&lt;author&gt;Armstrong, Gary&lt;/author&gt;&lt;/authors&gt;&lt;/contributors&gt;&lt;titles&gt;&lt;title&gt;Principles of marketing&lt;/title&gt;&lt;/titles&gt;&lt;dates&gt;&lt;year&gt;2010&lt;/year&gt;&lt;/dates&gt;&lt;publisher&gt;Pearson education&lt;/publisher&gt;&lt;isbn&gt;0137006691&lt;/isbn&gt;&lt;urls&gt;&lt;/urls&gt;&lt;/record&gt;&lt;/Cite&gt;&lt;/EndNote&gt;</w:instrText>
      </w:r>
      <w:r w:rsidRPr="00650AE6">
        <w:rPr>
          <w:rFonts w:cs="Times New Roman"/>
          <w:lang w:val="en-GB"/>
        </w:rPr>
        <w:fldChar w:fldCharType="separate"/>
      </w:r>
      <w:r w:rsidR="006325BE">
        <w:rPr>
          <w:rFonts w:cs="Times New Roman"/>
          <w:noProof/>
          <w:lang w:val="en-GB"/>
        </w:rPr>
        <w:t>[11]</w:t>
      </w:r>
      <w:r w:rsidRPr="00650AE6">
        <w:rPr>
          <w:rFonts w:cs="Times New Roman"/>
          <w:lang w:val="en-GB"/>
        </w:rPr>
        <w:fldChar w:fldCharType="end"/>
      </w:r>
      <w:r w:rsidRPr="00650AE6">
        <w:rPr>
          <w:rFonts w:cs="Times New Roman"/>
          <w:lang w:val="en-GB"/>
        </w:rPr>
        <w:t>.</w:t>
      </w:r>
    </w:p>
    <w:p w:rsidR="00DE6490" w:rsidRPr="00650AE6" w:rsidRDefault="00DE6490" w:rsidP="00DE6490">
      <w:pPr>
        <w:pStyle w:val="textEM"/>
        <w:rPr>
          <w:rStyle w:val="translation"/>
          <w:rFonts w:cs="Times New Roman"/>
          <w:lang w:val="en-US"/>
        </w:rPr>
      </w:pPr>
      <w:r w:rsidRPr="00650AE6">
        <w:rPr>
          <w:rStyle w:val="translation"/>
          <w:rFonts w:cs="Times New Roman"/>
          <w:lang w:val="en-US"/>
        </w:rPr>
        <w:t xml:space="preserve">There are many literatures dealing with the use of cluster analysis to assess the different properties of selected data collections from the field of higher education. One perspective </w:t>
      </w:r>
      <w:r w:rsidRPr="00650AE6">
        <w:rPr>
          <w:rStyle w:val="translation"/>
          <w:rFonts w:cs="Times New Roman"/>
          <w:lang w:val="en-US"/>
        </w:rPr>
        <w:fldChar w:fldCharType="begin"/>
      </w:r>
      <w:r w:rsidR="006325BE">
        <w:rPr>
          <w:rStyle w:val="translation"/>
          <w:rFonts w:cs="Times New Roman"/>
          <w:lang w:val="en-US"/>
        </w:rPr>
        <w:instrText xml:space="preserve"> ADDIN EN.CITE &lt;EndNote&gt;&lt;Cite&gt;&lt;Author&gt;Russell&lt;/Author&gt;&lt;Year&gt;2010&lt;/Year&gt;&lt;RecNum&gt;71&lt;/RecNum&gt;&lt;DisplayText&gt;[19]&lt;/DisplayText&gt;&lt;record&gt;&lt;rec-number&gt;71&lt;/rec-number&gt;&lt;foreign-keys&gt;&lt;key app="EN" db-id="r05xppf0ee2vdkeepwyp55e6dvzve2p9dssr" timestamp="1505389865"&gt;71&lt;/key&gt;&lt;/foreign-keys&gt;&lt;ref-type name="Journal Article"&gt;17&lt;/ref-type&gt;&lt;contributors&gt;&lt;authors&gt;&lt;author&gt;Russell, J.&lt;/author&gt;&lt;author&gt;Rosenthal, D.&lt;/author&gt;&lt;author&gt;Thomson, G.&lt;/author&gt;&lt;/authors&gt;&lt;/contributors&gt;&lt;titles&gt;&lt;title&gt;The international student experience: three styles of adaptation&lt;/title&gt;&lt;secondary-title&gt;Higher Education&lt;/secondary-title&gt;&lt;/titles&gt;&lt;periodical&gt;&lt;full-title&gt;Higher Education&lt;/full-title&gt;&lt;/periodical&gt;&lt;pages&gt;235-249&lt;/pages&gt;&lt;volume&gt;60&lt;/volume&gt;&lt;number&gt;2&lt;/number&gt;&lt;dates&gt;&lt;year&gt;2010&lt;/year&gt;&lt;pub-dates&gt;&lt;date&gt;Aug&lt;/date&gt;&lt;/pub-dates&gt;&lt;/dates&gt;&lt;isbn&gt;0018-1560&lt;/isbn&gt;&lt;accession-num&gt;WOS:000279656800008&lt;/accession-num&gt;&lt;urls&gt;&lt;related-urls&gt;&lt;url&gt;&amp;lt;Go to ISI&amp;gt;://WOS:000279656800008&lt;/url&gt;&lt;/related-urls&gt;&lt;/urls&gt;&lt;electronic-resource-num&gt;10.1007/s10734-009-9297-7&lt;/electronic-resource-num&gt;&lt;/record&gt;&lt;/Cite&gt;&lt;/EndNote&gt;</w:instrText>
      </w:r>
      <w:r w:rsidRPr="00650AE6">
        <w:rPr>
          <w:rStyle w:val="translation"/>
          <w:rFonts w:cs="Times New Roman"/>
          <w:lang w:val="en-US"/>
        </w:rPr>
        <w:fldChar w:fldCharType="separate"/>
      </w:r>
      <w:r w:rsidR="006325BE">
        <w:rPr>
          <w:rStyle w:val="translation"/>
          <w:rFonts w:cs="Times New Roman"/>
          <w:noProof/>
          <w:lang w:val="en-US"/>
        </w:rPr>
        <w:t>[19]</w:t>
      </w:r>
      <w:r w:rsidRPr="00650AE6">
        <w:rPr>
          <w:rStyle w:val="translation"/>
          <w:rFonts w:cs="Times New Roman"/>
          <w:lang w:val="en-US"/>
        </w:rPr>
        <w:fldChar w:fldCharType="end"/>
      </w:r>
      <w:r w:rsidRPr="00650AE6">
        <w:rPr>
          <w:rStyle w:val="translation"/>
          <w:rFonts w:cs="Times New Roman"/>
          <w:lang w:val="en-US"/>
        </w:rPr>
        <w:t xml:space="preserve"> </w:t>
      </w:r>
      <w:r w:rsidRPr="00650AE6">
        <w:rPr>
          <w:rStyle w:val="translation"/>
          <w:rFonts w:cs="Times New Roman"/>
          <w:lang w:val="en-US"/>
        </w:rPr>
        <w:lastRenderedPageBreak/>
        <w:t xml:space="preserve">examines a group of foreign students visiting the Metropolitan University in Melbourne. It is interested in how students engage in different learning relationships. The result is three groups of students who are positively involved, unconnected and stressed, and then those who are the worst. This research will help universities engage in student groups to university provides the necessary support. Our interest is to find out student preferences when selecting different options. An example of cluster analysis is the efficiency of flipped classroom selection </w:t>
      </w:r>
      <w:r w:rsidRPr="00650AE6">
        <w:rPr>
          <w:rStyle w:val="translation"/>
          <w:rFonts w:cs="Times New Roman"/>
          <w:lang w:val="en-US"/>
        </w:rPr>
        <w:fldChar w:fldCharType="begin"/>
      </w:r>
      <w:r w:rsidR="006325BE">
        <w:rPr>
          <w:rStyle w:val="translation"/>
          <w:rFonts w:cs="Times New Roman"/>
          <w:lang w:val="en-US"/>
        </w:rPr>
        <w:instrText xml:space="preserve"> ADDIN EN.CITE &lt;EndNote&gt;&lt;Cite&gt;&lt;Author&gt;McNally&lt;/Author&gt;&lt;Year&gt;2017&lt;/Year&gt;&lt;RecNum&gt;72&lt;/RecNum&gt;&lt;DisplayText&gt;[15]&lt;/DisplayText&gt;&lt;record&gt;&lt;rec-number&gt;72&lt;/rec-number&gt;&lt;foreign-keys&gt;&lt;key app="EN" db-id="r05xppf0ee2vdkeepwyp55e6dvzve2p9dssr" timestamp="1505472048"&gt;72&lt;/key&gt;&lt;/foreign-keys&gt;&lt;ref-type name="Journal Article"&gt;17&lt;/ref-type&gt;&lt;contributors&gt;&lt;authors&gt;&lt;author&gt;McNally, Brenton&lt;/author&gt;&lt;author&gt;Chipperfield, Janine&lt;/author&gt;&lt;author&gt;Dorsett, Pat&lt;/author&gt;&lt;author&gt;Del Fabbro, Letitia&lt;/author&gt;&lt;author&gt;Frommolt, Valda&lt;/author&gt;&lt;author&gt;Goetz, Sandra&lt;/author&gt;&lt;author&gt;Lewohl, Joanne&lt;/author&gt;&lt;author&gt;Molineux, Matthew&lt;/author&gt;&lt;author&gt;Pearson, Andrew&lt;/author&gt;&lt;author&gt;Reddan, Gregory&lt;/author&gt;&lt;author&gt;Roiko, Anne&lt;/author&gt;&lt;author&gt;Rung, Andrea&lt;/author&gt;&lt;/authors&gt;&lt;/contributors&gt;&lt;titles&gt;&lt;title&gt;Flipped classroom experiences: student preferences and flip strategy in a higher education context&lt;/title&gt;&lt;secondary-title&gt;Higher Education&lt;/secondary-title&gt;&lt;/titles&gt;&lt;periodical&gt;&lt;full-title&gt;Higher Education&lt;/full-title&gt;&lt;/periodical&gt;&lt;pages&gt;281-298&lt;/pages&gt;&lt;volume&gt;73&lt;/volume&gt;&lt;number&gt;2&lt;/number&gt;&lt;dates&gt;&lt;year&gt;2017&lt;/year&gt;&lt;pub-dates&gt;&lt;date&gt;February 01&lt;/date&gt;&lt;/pub-dates&gt;&lt;/dates&gt;&lt;isbn&gt;1573-174X&lt;/isbn&gt;&lt;label&gt;McNally2017&lt;/label&gt;&lt;work-type&gt;journal article&lt;/work-type&gt;&lt;urls&gt;&lt;related-urls&gt;&lt;url&gt;https://doi.org/10.1007/s10734-016-0014-z&lt;/url&gt;&lt;/related-urls&gt;&lt;/urls&gt;&lt;electronic-resource-num&gt;10.1007/s10734-016-0014-z&lt;/electronic-resource-num&gt;&lt;/record&gt;&lt;/Cite&gt;&lt;/EndNote&gt;</w:instrText>
      </w:r>
      <w:r w:rsidRPr="00650AE6">
        <w:rPr>
          <w:rStyle w:val="translation"/>
          <w:rFonts w:cs="Times New Roman"/>
          <w:lang w:val="en-US"/>
        </w:rPr>
        <w:fldChar w:fldCharType="separate"/>
      </w:r>
      <w:r w:rsidR="006325BE">
        <w:rPr>
          <w:rStyle w:val="translation"/>
          <w:rFonts w:cs="Times New Roman"/>
          <w:noProof/>
          <w:lang w:val="en-US"/>
        </w:rPr>
        <w:t>[15]</w:t>
      </w:r>
      <w:r w:rsidRPr="00650AE6">
        <w:rPr>
          <w:rStyle w:val="translation"/>
          <w:rFonts w:cs="Times New Roman"/>
          <w:lang w:val="en-US"/>
        </w:rPr>
        <w:fldChar w:fldCharType="end"/>
      </w:r>
      <w:r w:rsidRPr="00650AE6">
        <w:rPr>
          <w:rStyle w:val="translation"/>
          <w:rFonts w:cs="Times New Roman"/>
          <w:lang w:val="en-US"/>
        </w:rPr>
        <w:t xml:space="preserve">. There is also an emphasis on different forms of teaching so that students are better attracted. In the case of marketing aimed at universities, it is also necessary to look at various forms of teaching and involvement of students. </w:t>
      </w:r>
      <w:r w:rsidRPr="00650AE6">
        <w:rPr>
          <w:rStyle w:val="translation"/>
          <w:rFonts w:cs="Times New Roman"/>
          <w:lang w:val="en-US"/>
        </w:rPr>
        <w:fldChar w:fldCharType="begin"/>
      </w:r>
      <w:r w:rsidR="006325BE">
        <w:rPr>
          <w:rStyle w:val="translation"/>
          <w:rFonts w:cs="Times New Roman"/>
          <w:lang w:val="en-US"/>
        </w:rPr>
        <w:instrText xml:space="preserve"> ADDIN EN.CITE &lt;EndNote&gt;&lt;Cite&gt;&lt;Author&gt;Kuzmanovic&lt;/Author&gt;&lt;Year&gt;2013&lt;/Year&gt;&lt;RecNum&gt;73&lt;/RecNum&gt;&lt;DisplayText&gt;[12]&lt;/DisplayText&gt;&lt;record&gt;&lt;rec-number&gt;73&lt;/rec-number&gt;&lt;foreign-keys&gt;&lt;key app="EN" db-id="r05xppf0ee2vdkeepwyp55e6dvzve2p9dssr" timestamp="1505472516"&gt;73&lt;/key&gt;&lt;/foreign-keys&gt;&lt;ref-type name="Journal Article"&gt;17&lt;/ref-type&gt;&lt;contributors&gt;&lt;authors&gt;&lt;author&gt;Kuzmanovic, Marija&lt;/author&gt;&lt;author&gt;Savic, Gordana&lt;/author&gt;&lt;author&gt;Popovic, Milena&lt;/author&gt;&lt;author&gt;Martic, Milan&lt;/author&gt;&lt;/authors&gt;&lt;/contributors&gt;&lt;titles&gt;&lt;title&gt;A new approach to evaluation of university teaching considering heterogeneity of students’ preferences&lt;/title&gt;&lt;secondary-title&gt;Higher Education&lt;/secondary-title&gt;&lt;/titles&gt;&lt;periodical&gt;&lt;full-title&gt;Higher Education&lt;/full-title&gt;&lt;/periodical&gt;&lt;pages&gt;153-171&lt;/pages&gt;&lt;volume&gt;66&lt;/volume&gt;&lt;number&gt;2&lt;/number&gt;&lt;dates&gt;&lt;year&gt;2013&lt;/year&gt;&lt;pub-dates&gt;&lt;date&gt;August 01&lt;/date&gt;&lt;/pub-dates&gt;&lt;/dates&gt;&lt;isbn&gt;1573-174X&lt;/isbn&gt;&lt;label&gt;Kuzmanovic2013&lt;/label&gt;&lt;work-type&gt;journal article&lt;/work-type&gt;&lt;urls&gt;&lt;related-urls&gt;&lt;url&gt;https://doi.org/10.1007/s10734-012-9596-2&lt;/url&gt;&lt;/related-urls&gt;&lt;/urls&gt;&lt;electronic-resource-num&gt;10.1007/s10734-012-9596-2&lt;/electronic-resource-num&gt;&lt;/record&gt;&lt;/Cite&gt;&lt;/EndNote&gt;</w:instrText>
      </w:r>
      <w:r w:rsidRPr="00650AE6">
        <w:rPr>
          <w:rStyle w:val="translation"/>
          <w:rFonts w:cs="Times New Roman"/>
          <w:lang w:val="en-US"/>
        </w:rPr>
        <w:fldChar w:fldCharType="separate"/>
      </w:r>
      <w:r w:rsidR="006325BE">
        <w:rPr>
          <w:rStyle w:val="translation"/>
          <w:rFonts w:cs="Times New Roman"/>
          <w:noProof/>
          <w:lang w:val="en-US"/>
        </w:rPr>
        <w:t>[12]</w:t>
      </w:r>
      <w:r w:rsidRPr="00650AE6">
        <w:rPr>
          <w:rStyle w:val="translation"/>
          <w:rFonts w:cs="Times New Roman"/>
          <w:lang w:val="en-US"/>
        </w:rPr>
        <w:fldChar w:fldCharType="end"/>
      </w:r>
      <w:r w:rsidRPr="00650AE6">
        <w:rPr>
          <w:rStyle w:val="translation"/>
          <w:rFonts w:cs="Times New Roman"/>
          <w:lang w:val="en-US"/>
        </w:rPr>
        <w:t xml:space="preserve"> deals with the assessment of students at universities in relation to importance related to the different aspects of teaching. The paper also introduces a view of heterogeneity resulting from student preferences, which is further integrated into a comprehensive learning assessment. Such assessment is also important for our outcomes, as universities can further decide how these principles university will promote.</w:t>
      </w:r>
    </w:p>
    <w:p w:rsidR="00DE6490" w:rsidRPr="00650AE6" w:rsidRDefault="00DE6490" w:rsidP="00DE6490">
      <w:pPr>
        <w:pStyle w:val="textEM"/>
        <w:rPr>
          <w:rStyle w:val="translation"/>
          <w:rFonts w:cs="Times New Roman"/>
          <w:lang w:val="en-US"/>
        </w:rPr>
      </w:pPr>
      <w:r w:rsidRPr="00650AE6">
        <w:rPr>
          <w:rStyle w:val="translation"/>
          <w:rFonts w:cs="Times New Roman"/>
          <w:lang w:val="en-US"/>
        </w:rPr>
        <w:t xml:space="preserve">There is a long history of how to evaluate the impacts of teaching on students and what is the appropriate way to measure these impacts </w:t>
      </w:r>
      <w:r w:rsidRPr="00650AE6">
        <w:rPr>
          <w:rStyle w:val="translation"/>
          <w:rFonts w:cs="Times New Roman"/>
          <w:lang w:val="en-US"/>
        </w:rPr>
        <w:fldChar w:fldCharType="begin"/>
      </w:r>
      <w:r w:rsidR="006325BE">
        <w:rPr>
          <w:rStyle w:val="translation"/>
          <w:rFonts w:cs="Times New Roman"/>
          <w:lang w:val="en-US"/>
        </w:rPr>
        <w:instrText xml:space="preserve"> ADDIN EN.CITE &lt;EndNote&gt;&lt;Cite&gt;&lt;Author&gt;Marsh&lt;/Author&gt;&lt;Year&gt;2007&lt;/Year&gt;&lt;RecNum&gt;76&lt;/RecNum&gt;&lt;DisplayText&gt;[13]&lt;/DisplayText&gt;&lt;record&gt;&lt;rec-number&gt;76&lt;/rec-number&gt;&lt;foreign-keys&gt;&lt;key app="EN" db-id="r05xppf0ee2vdkeepwyp55e6dvzve2p9dssr" timestamp="1510651889"&gt;76&lt;/key&gt;&lt;/foreign-keys&gt;&lt;ref-type name="Book Section"&gt;5&lt;/ref-type&gt;&lt;contributors&gt;&lt;authors&gt;&lt;author&gt;Marsh, Herbert W.&lt;/author&gt;&lt;/authors&gt;&lt;secondary-authors&gt;&lt;author&gt;Perry, Raymond P.&lt;/author&gt;&lt;author&gt;Smart, John C.&lt;/author&gt;&lt;/secondary-authors&gt;&lt;/contributors&gt;&lt;titles&gt;&lt;title&gt;Students’ Evaluations of University Teaching: Dimensionality, Reliability, Validity, Potential Biases and Usefulness&lt;/title&gt;&lt;secondary-title&gt;The Scholarship of Teaching and Learning in Higher Education: An Evidence-Based Perspective&lt;/secondary-title&gt;&lt;/titles&gt;&lt;pages&gt;319-383&lt;/pages&gt;&lt;dates&gt;&lt;year&gt;2007&lt;/year&gt;&lt;/dates&gt;&lt;pub-location&gt;Dordrecht&lt;/pub-location&gt;&lt;publisher&gt;Springer Netherlands&lt;/publisher&gt;&lt;isbn&gt;978-1-4020-5742-7&lt;/isbn&gt;&lt;label&gt;Marsh2007&lt;/label&gt;&lt;urls&gt;&lt;related-urls&gt;&lt;url&gt;https://doi.org/10.1007/1-4020-5742-3_9&lt;/url&gt;&lt;/related-urls&gt;&lt;/urls&gt;&lt;electronic-resource-num&gt;10.1007/1-4020-5742-3_9&lt;/electronic-resource-num&gt;&lt;/record&gt;&lt;/Cite&gt;&lt;/EndNote&gt;</w:instrText>
      </w:r>
      <w:r w:rsidRPr="00650AE6">
        <w:rPr>
          <w:rStyle w:val="translation"/>
          <w:rFonts w:cs="Times New Roman"/>
          <w:lang w:val="en-US"/>
        </w:rPr>
        <w:fldChar w:fldCharType="separate"/>
      </w:r>
      <w:r w:rsidR="006325BE">
        <w:rPr>
          <w:rStyle w:val="translation"/>
          <w:rFonts w:cs="Times New Roman"/>
          <w:noProof/>
          <w:lang w:val="en-US"/>
        </w:rPr>
        <w:t>[13]</w:t>
      </w:r>
      <w:r w:rsidRPr="00650AE6">
        <w:rPr>
          <w:rStyle w:val="translation"/>
          <w:rFonts w:cs="Times New Roman"/>
          <w:lang w:val="en-US"/>
        </w:rPr>
        <w:fldChar w:fldCharType="end"/>
      </w:r>
      <w:r w:rsidRPr="00650AE6">
        <w:rPr>
          <w:rStyle w:val="translation"/>
          <w:rFonts w:cs="Times New Roman"/>
          <w:lang w:val="en-US"/>
        </w:rPr>
        <w:t xml:space="preserve">. Researchers agree that the main shortcomings of current procedures are that it is not entirely clear whether individual items in the questionnaires accurately represent the basic concept for which they were created </w:t>
      </w:r>
      <w:r w:rsidRPr="00650AE6">
        <w:rPr>
          <w:rStyle w:val="translation"/>
          <w:rFonts w:cs="Times New Roman"/>
          <w:lang w:val="en-US"/>
        </w:rPr>
        <w:fldChar w:fldCharType="begin"/>
      </w:r>
      <w:r w:rsidR="006325BE">
        <w:rPr>
          <w:rStyle w:val="translation"/>
          <w:rFonts w:cs="Times New Roman"/>
          <w:lang w:val="en-US"/>
        </w:rPr>
        <w:instrText xml:space="preserve"> ADDIN EN.CITE &lt;EndNote&gt;&lt;Cite&gt;&lt;Author&gt;Martínez-Gómez&lt;/Author&gt;&lt;Year&gt;2011&lt;/Year&gt;&lt;RecNum&gt;86&lt;/RecNum&gt;&lt;DisplayText&gt;[14]&lt;/DisplayText&gt;&lt;record&gt;&lt;rec-number&gt;86&lt;/rec-number&gt;&lt;foreign-keys&gt;&lt;key app="EN" db-id="r05xppf0ee2vdkeepwyp55e6dvzve2p9dssr" timestamp="1510733883"&gt;86&lt;/key&gt;&lt;/foreign-keys&gt;&lt;ref-type name="Journal Article"&gt;17&lt;/ref-type&gt;&lt;contributors&gt;&lt;authors&gt;&lt;author&gt;Martínez-Gómez, Mónica&lt;/author&gt;&lt;author&gt;Sierra, Jose Miguel Carot&lt;/author&gt;&lt;author&gt;Jabaloyes, José&lt;/author&gt;&lt;author&gt;Zarzo, Manuel&lt;/author&gt;&lt;/authors&gt;&lt;/contributors&gt;&lt;titles&gt;&lt;title&gt;A multivariate method for analyzing and improving the use of student evaluation of teaching questionnaires: a case study&lt;/title&gt;&lt;secondary-title&gt;Quality &amp;amp; Quantity&lt;/secondary-title&gt;&lt;/titles&gt;&lt;periodical&gt;&lt;full-title&gt;Quality &amp;amp; Quantity&lt;/full-title&gt;&lt;/periodical&gt;&lt;pages&gt;1415-1427&lt;/pages&gt;&lt;volume&gt;45&lt;/volume&gt;&lt;number&gt;6&lt;/number&gt;&lt;dates&gt;&lt;year&gt;2011&lt;/year&gt;&lt;/dates&gt;&lt;isbn&gt;0033-5177&lt;/isbn&gt;&lt;urls&gt;&lt;/urls&gt;&lt;/record&gt;&lt;/Cite&gt;&lt;/EndNote&gt;</w:instrText>
      </w:r>
      <w:r w:rsidRPr="00650AE6">
        <w:rPr>
          <w:rStyle w:val="translation"/>
          <w:rFonts w:cs="Times New Roman"/>
          <w:lang w:val="en-US"/>
        </w:rPr>
        <w:fldChar w:fldCharType="separate"/>
      </w:r>
      <w:r w:rsidR="006325BE">
        <w:rPr>
          <w:rStyle w:val="translation"/>
          <w:rFonts w:cs="Times New Roman"/>
          <w:noProof/>
          <w:lang w:val="en-US"/>
        </w:rPr>
        <w:t>[14]</w:t>
      </w:r>
      <w:r w:rsidRPr="00650AE6">
        <w:rPr>
          <w:rStyle w:val="translation"/>
          <w:rFonts w:cs="Times New Roman"/>
          <w:lang w:val="en-US"/>
        </w:rPr>
        <w:fldChar w:fldCharType="end"/>
      </w:r>
      <w:r w:rsidRPr="00650AE6">
        <w:rPr>
          <w:rStyle w:val="translation"/>
          <w:rFonts w:cs="Times New Roman"/>
          <w:lang w:val="en-US"/>
        </w:rPr>
        <w:t xml:space="preserve">. Teaching is a complex activity with many components that are in harmony with various components such as organization of study, interaction, feedback and surroundings provided to students </w:t>
      </w:r>
      <w:r w:rsidRPr="00650AE6">
        <w:rPr>
          <w:rStyle w:val="translation"/>
          <w:rFonts w:cs="Times New Roman"/>
          <w:lang w:val="en-US"/>
        </w:rPr>
        <w:fldChar w:fldCharType="begin"/>
      </w:r>
      <w:r w:rsidR="006325BE">
        <w:rPr>
          <w:rStyle w:val="translation"/>
          <w:rFonts w:cs="Times New Roman"/>
          <w:lang w:val="en-US"/>
        </w:rPr>
        <w:instrText xml:space="preserve"> ADDIN EN.CITE &lt;EndNote&gt;&lt;Cite&gt;&lt;Author&gt;Abrami&lt;/Author&gt;&lt;Year&gt;1991&lt;/Year&gt;&lt;RecNum&gt;78&lt;/RecNum&gt;&lt;DisplayText&gt;[1, 5]&lt;/DisplayText&gt;&lt;record&gt;&lt;rec-number&gt;78&lt;/rec-number&gt;&lt;foreign-keys&gt;&lt;key app="EN" db-id="r05xppf0ee2vdkeepwyp55e6dvzve2p9dssr" timestamp="1510652529"&gt;78&lt;/key&gt;&lt;/foreign-keys&gt;&lt;ref-type name="Journal Article"&gt;17&lt;/ref-type&gt;&lt;contributors&gt;&lt;authors&gt;&lt;author&gt;Abrami, Philip C&lt;/author&gt;&lt;author&gt;d&amp;apos;Apollonia, Sylvia&lt;/author&gt;&lt;/authors&gt;&lt;/contributors&gt;&lt;titles&gt;&lt;title&gt;Multidimensional students&amp;apos; evaluations of teaching effectiveness: Generalizability of&amp;quot; N= 1&amp;quot; research: Comment on Marsh (1991)&lt;/title&gt;&lt;/titles&gt;&lt;dates&gt;&lt;year&gt;1991&lt;/year&gt;&lt;/dates&gt;&lt;isbn&gt;1939-2176&lt;/isbn&gt;&lt;urls&gt;&lt;/urls&gt;&lt;/record&gt;&lt;/Cite&gt;&lt;Cite&gt;&lt;Author&gt;Cashin&lt;/Author&gt;&lt;Year&gt;1992&lt;/Year&gt;&lt;RecNum&gt;79&lt;/RecNum&gt;&lt;record&gt;&lt;rec-number&gt;79&lt;/rec-number&gt;&lt;foreign-keys&gt;&lt;key app="EN" db-id="r05xppf0ee2vdkeepwyp55e6dvzve2p9dssr" timestamp="1510652564"&gt;79&lt;/key&gt;&lt;/foreign-keys&gt;&lt;ref-type name="Journal Article"&gt;17&lt;/ref-type&gt;&lt;contributors&gt;&lt;authors&gt;&lt;author&gt;Cashin, William E&lt;/author&gt;&lt;author&gt;Downey, Ronald G&lt;/author&gt;&lt;/authors&gt;&lt;/contributors&gt;&lt;titles&gt;&lt;title&gt;Using global student rating items for summative evaluation&lt;/title&gt;&lt;secondary-title&gt;Journal of educational Psychology&lt;/secondary-title&gt;&lt;/titles&gt;&lt;periodical&gt;&lt;full-title&gt;Journal of educational Psychology&lt;/full-title&gt;&lt;/periodical&gt;&lt;pages&gt;563&lt;/pages&gt;&lt;volume&gt;84&lt;/volume&gt;&lt;number&gt;4&lt;/number&gt;&lt;dates&gt;&lt;year&gt;1992&lt;/year&gt;&lt;/dates&gt;&lt;isbn&gt;1939-2176&lt;/isbn&gt;&lt;urls&gt;&lt;/urls&gt;&lt;/record&gt;&lt;/Cite&gt;&lt;/EndNote&gt;</w:instrText>
      </w:r>
      <w:r w:rsidRPr="00650AE6">
        <w:rPr>
          <w:rStyle w:val="translation"/>
          <w:rFonts w:cs="Times New Roman"/>
          <w:lang w:val="en-US"/>
        </w:rPr>
        <w:fldChar w:fldCharType="separate"/>
      </w:r>
      <w:r w:rsidR="006325BE">
        <w:rPr>
          <w:rStyle w:val="translation"/>
          <w:rFonts w:cs="Times New Roman"/>
          <w:noProof/>
          <w:lang w:val="en-US"/>
        </w:rPr>
        <w:t>[1, 5]</w:t>
      </w:r>
      <w:r w:rsidRPr="00650AE6">
        <w:rPr>
          <w:rStyle w:val="translation"/>
          <w:rFonts w:cs="Times New Roman"/>
          <w:lang w:val="en-US"/>
        </w:rPr>
        <w:fldChar w:fldCharType="end"/>
      </w:r>
      <w:r w:rsidRPr="00650AE6">
        <w:rPr>
          <w:rStyle w:val="translation"/>
          <w:rFonts w:cs="Times New Roman"/>
          <w:lang w:val="en-US"/>
        </w:rPr>
        <w:t>. In any case, the approach to evaluating outcomes as perceived by students is also included in those lessons that are not related to teaching, such as support for non-teaching activities. Diagnostic feedback should reflect multidimensionality and this should also be included in research into how students perceive their surroundings.</w:t>
      </w:r>
    </w:p>
    <w:p w:rsidR="00DE6490" w:rsidRPr="00650AE6" w:rsidRDefault="00DE6490" w:rsidP="00DE6490">
      <w:pPr>
        <w:pStyle w:val="textEM"/>
        <w:rPr>
          <w:rFonts w:cs="Times New Roman"/>
          <w:lang w:val="en-GB"/>
        </w:rPr>
      </w:pPr>
      <w:r w:rsidRPr="00650AE6">
        <w:rPr>
          <w:rFonts w:cs="Times New Roman"/>
          <w:lang w:val="en-GB"/>
        </w:rPr>
        <w:t xml:space="preserve">There are many ways to evaluate learning related activities. </w:t>
      </w:r>
      <w:r w:rsidRPr="00650AE6">
        <w:rPr>
          <w:rFonts w:cs="Times New Roman"/>
          <w:lang w:val="en-GB"/>
        </w:rPr>
        <w:fldChar w:fldCharType="begin"/>
      </w:r>
      <w:r w:rsidR="006325BE">
        <w:rPr>
          <w:rFonts w:cs="Times New Roman"/>
          <w:lang w:val="en-GB"/>
        </w:rPr>
        <w:instrText xml:space="preserve"> ADDIN EN.CITE &lt;EndNote&gt;&lt;Cite&gt;&lt;Author&gt;Berk&lt;/Author&gt;&lt;Year&gt;2005&lt;/Year&gt;&lt;RecNum&gt;81&lt;/RecNum&gt;&lt;DisplayText&gt;[3]&lt;/DisplayText&gt;&lt;record&gt;&lt;rec-number&gt;81&lt;/rec-number&gt;&lt;foreign-keys&gt;&lt;key app="EN" db-id="r05xppf0ee2vdkeepwyp55e6dvzve2p9dssr" timestamp="1510652653"&gt;81&lt;/key&gt;&lt;/foreign-keys&gt;&lt;ref-type name="Journal Article"&gt;17&lt;/ref-type&gt;&lt;contributors&gt;&lt;authors&gt;&lt;author&gt;Berk, Ronald A&lt;/author&gt;&lt;/authors&gt;&lt;/contributors&gt;&lt;titles&gt;&lt;title&gt;Survey of 12 strategies to measure teaching effectiveness&lt;/title&gt;&lt;secondary-title&gt;International journal of teaching and learning in higher education&lt;/secondary-title&gt;&lt;/titles&gt;&lt;periodical&gt;&lt;full-title&gt;International journal of teaching and learning in higher education&lt;/full-title&gt;&lt;/periodical&gt;&lt;pages&gt;48-62&lt;/pages&gt;&lt;volume&gt;17&lt;/volume&gt;&lt;number&gt;1&lt;/number&gt;&lt;dates&gt;&lt;year&gt;2005&lt;/year&gt;&lt;/dates&gt;&lt;urls&gt;&lt;/urls&gt;&lt;/record&gt;&lt;/Cite&gt;&lt;/EndNote&gt;</w:instrText>
      </w:r>
      <w:r w:rsidRPr="00650AE6">
        <w:rPr>
          <w:rFonts w:cs="Times New Roman"/>
          <w:lang w:val="en-GB"/>
        </w:rPr>
        <w:fldChar w:fldCharType="separate"/>
      </w:r>
      <w:r w:rsidR="006325BE">
        <w:rPr>
          <w:rFonts w:cs="Times New Roman"/>
          <w:noProof/>
          <w:lang w:val="en-GB"/>
        </w:rPr>
        <w:t>[3]</w:t>
      </w:r>
      <w:r w:rsidRPr="00650AE6">
        <w:rPr>
          <w:rFonts w:cs="Times New Roman"/>
          <w:lang w:val="en-GB"/>
        </w:rPr>
        <w:fldChar w:fldCharType="end"/>
      </w:r>
      <w:r w:rsidRPr="00650AE6">
        <w:rPr>
          <w:rFonts w:cs="Times New Roman"/>
          <w:lang w:val="en-GB"/>
        </w:rPr>
        <w:t xml:space="preserve"> describes 12 ways of evaluation. Most of the evaluation is represented by the Likert-format scale, which we also included in our article. The responses are then averaged and average scores generated </w:t>
      </w:r>
      <w:r w:rsidRPr="00650AE6">
        <w:rPr>
          <w:rFonts w:cs="Times New Roman"/>
          <w:lang w:val="en-GB"/>
        </w:rPr>
        <w:fldChar w:fldCharType="begin"/>
      </w:r>
      <w:r w:rsidR="006325BE">
        <w:rPr>
          <w:rFonts w:cs="Times New Roman"/>
          <w:lang w:val="en-GB"/>
        </w:rPr>
        <w:instrText xml:space="preserve"> ADDIN EN.CITE &lt;EndNote&gt;&lt;Cite&gt;&lt;Author&gt;De Witte&lt;/Author&gt;&lt;Year&gt;2011&lt;/Year&gt;&lt;RecNum&gt;82&lt;/RecNum&gt;&lt;DisplayText&gt;[7]&lt;/DisplayText&gt;&lt;record&gt;&lt;rec-number&gt;82&lt;/rec-number&gt;&lt;foreign-keys&gt;&lt;key app="EN" db-id="r05xppf0ee2vdkeepwyp55e6dvzve2p9dssr" timestamp="1510652761"&gt;82&lt;/key&gt;&lt;/foreign-keys&gt;&lt;ref-type name="Journal Article"&gt;17&lt;/ref-type&gt;&lt;contributors&gt;&lt;authors&gt;&lt;author&gt;De Witte, Kristof&lt;/author&gt;&lt;author&gt;Rogge, Nicky&lt;/author&gt;&lt;/authors&gt;&lt;/contributors&gt;&lt;titles&gt;&lt;title&gt;Accounting for exogenous influences in performance evaluations of teachers&lt;/title&gt;&lt;secondary-title&gt;Economics of Education Review&lt;/secondary-title&gt;&lt;/titles&gt;&lt;periodical&gt;&lt;full-title&gt;Economics of Education Review&lt;/full-title&gt;&lt;abbr-1&gt;Econ. Educ. Rev.&lt;/abbr-1&gt;&lt;/periodical&gt;&lt;pages&gt;641-653&lt;/pages&gt;&lt;volume&gt;30&lt;/volume&gt;&lt;number&gt;4&lt;/number&gt;&lt;dates&gt;&lt;year&gt;2011&lt;/year&gt;&lt;/dates&gt;&lt;isbn&gt;0272-7757&lt;/isbn&gt;&lt;urls&gt;&lt;/urls&gt;&lt;/record&gt;&lt;/Cite&gt;&lt;/EndNote&gt;</w:instrText>
      </w:r>
      <w:r w:rsidRPr="00650AE6">
        <w:rPr>
          <w:rFonts w:cs="Times New Roman"/>
          <w:lang w:val="en-GB"/>
        </w:rPr>
        <w:fldChar w:fldCharType="separate"/>
      </w:r>
      <w:r w:rsidR="006325BE">
        <w:rPr>
          <w:rFonts w:cs="Times New Roman"/>
          <w:noProof/>
          <w:lang w:val="en-GB"/>
        </w:rPr>
        <w:t>[7]</w:t>
      </w:r>
      <w:r w:rsidRPr="00650AE6">
        <w:rPr>
          <w:rFonts w:cs="Times New Roman"/>
          <w:lang w:val="en-GB"/>
        </w:rPr>
        <w:fldChar w:fldCharType="end"/>
      </w:r>
      <w:r w:rsidRPr="00650AE6">
        <w:rPr>
          <w:rFonts w:cs="Times New Roman"/>
          <w:lang w:val="en-GB"/>
        </w:rPr>
        <w:t>. This score is then used as an efficiency index and is further used as an index of the effectiveness of the activity.</w:t>
      </w:r>
    </w:p>
    <w:p w:rsidR="00DE6490" w:rsidRPr="00650AE6" w:rsidRDefault="00DE6490" w:rsidP="00DE6490">
      <w:pPr>
        <w:pStyle w:val="textEM"/>
        <w:rPr>
          <w:rFonts w:cs="Times New Roman"/>
          <w:lang w:val="en-GB"/>
        </w:rPr>
      </w:pPr>
      <w:r w:rsidRPr="00650AE6">
        <w:rPr>
          <w:rFonts w:cs="Times New Roman"/>
          <w:lang w:val="en-GB"/>
        </w:rPr>
        <w:t xml:space="preserve">There are many findings on students´ choices of their university to study </w:t>
      </w:r>
      <w:r w:rsidRPr="00650AE6">
        <w:rPr>
          <w:rFonts w:cs="Times New Roman"/>
          <w:lang w:val="en-GB"/>
        </w:rPr>
        <w:fldChar w:fldCharType="begin">
          <w:fldData xml:space="preserve">PEVuZE5vdGU+PENpdGU+PEF1dGhvcj5DcmVtb25pbmk8L0F1dGhvcj48WWVhcj4yMDA4PC9ZZWFy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</w:fldData>
        </w:fldChar>
      </w:r>
      <w:r w:rsidR="006325BE">
        <w:rPr>
          <w:rFonts w:cs="Times New Roman"/>
          <w:lang w:val="en-GB"/>
        </w:rPr>
        <w:instrText xml:space="preserve"> ADDIN EN.CITE </w:instrText>
      </w:r>
      <w:r w:rsidR="006325BE">
        <w:rPr>
          <w:rFonts w:cs="Times New Roman"/>
          <w:lang w:val="en-GB"/>
        </w:rPr>
        <w:fldChar w:fldCharType="begin">
          <w:fldData xml:space="preserve">PEVuZE5vdGU+PENpdGU+PEF1dGhvcj5DcmVtb25pbmk8L0F1dGhvcj48WWVhcj4yMDA4PC9ZZWFy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</w:fldData>
        </w:fldChar>
      </w:r>
      <w:r w:rsidR="006325BE">
        <w:rPr>
          <w:rFonts w:cs="Times New Roman"/>
          <w:lang w:val="en-GB"/>
        </w:rPr>
        <w:instrText xml:space="preserve"> ADDIN EN.CITE.DATA </w:instrText>
      </w:r>
      <w:r w:rsidR="006325BE">
        <w:rPr>
          <w:rFonts w:cs="Times New Roman"/>
          <w:lang w:val="en-GB"/>
        </w:rPr>
      </w:r>
      <w:r w:rsidR="006325BE">
        <w:rPr>
          <w:rFonts w:cs="Times New Roman"/>
          <w:lang w:val="en-GB"/>
        </w:rPr>
        <w:fldChar w:fldCharType="end"/>
      </w:r>
      <w:r w:rsidRPr="00650AE6">
        <w:rPr>
          <w:rFonts w:cs="Times New Roman"/>
          <w:lang w:val="en-GB"/>
        </w:rPr>
        <w:fldChar w:fldCharType="separate"/>
      </w:r>
      <w:r w:rsidR="006325BE">
        <w:rPr>
          <w:rFonts w:cs="Times New Roman"/>
          <w:noProof/>
          <w:lang w:val="en-GB"/>
        </w:rPr>
        <w:t>[4, 6, 9, 16, 21]</w:t>
      </w:r>
      <w:r w:rsidRPr="00650AE6">
        <w:rPr>
          <w:rFonts w:cs="Times New Roman"/>
          <w:lang w:val="en-GB"/>
        </w:rPr>
        <w:fldChar w:fldCharType="end"/>
      </w:r>
      <w:r w:rsidRPr="00650AE6">
        <w:rPr>
          <w:rFonts w:cs="Times New Roman"/>
          <w:lang w:val="en-GB"/>
        </w:rPr>
        <w:t>. The aim of this article is to determine what segments of the higher education candidate market can be found what characterises them, or what criteria they determine when choosing a university. The analysis should serve as a basis for deciding whether to target the entire market with unified communications, or whether to divide the communication and target individual segments separately. At the same time, research should direct these communication activities precisely, in order to focus most accurately on factors that a potentially successful and high-quality student perceives as important. This could help universities to reach a sufficient number of candidates in the efficient use of funds through their offers.</w:t>
      </w:r>
    </w:p>
    <w:p w:rsidR="00DE6490" w:rsidRPr="00650AE6" w:rsidRDefault="00DE6490" w:rsidP="00597E76">
      <w:pPr>
        <w:pStyle w:val="Nadpis1"/>
        <w:rPr>
          <w:lang w:val="en-GB"/>
        </w:rPr>
      </w:pPr>
      <w:r w:rsidRPr="00650AE6">
        <w:rPr>
          <w:lang w:val="en-GB"/>
        </w:rPr>
        <w:t xml:space="preserve">Problem </w:t>
      </w:r>
      <w:r w:rsidRPr="00597E76">
        <w:t>Formulation</w:t>
      </w:r>
    </w:p>
    <w:p w:rsidR="00DE6490" w:rsidRPr="00650AE6" w:rsidRDefault="00DE6490" w:rsidP="00DE6490">
      <w:pPr>
        <w:pStyle w:val="textEM"/>
        <w:rPr>
          <w:rFonts w:cs="Times New Roman"/>
          <w:lang w:val="en-GB"/>
        </w:rPr>
      </w:pPr>
      <w:r w:rsidRPr="00650AE6">
        <w:rPr>
          <w:rFonts w:cs="Times New Roman"/>
          <w:lang w:val="en-GB"/>
        </w:rPr>
        <w:t>The aim of the paper is to show the model situation as it is possible to find out which segments can be found on the market for applicants for higher education, what is characterizing them, what criteria they decide when choosing their university. Research should show how to help direct communication activities in order to pinpoint as accurately as possible the factors that a potentially successful and quality student perceives as important. This could help universities intervene with a sufficient number of applicants, with effective spending of funds. Similarly, other public sector organizations can use it.</w:t>
      </w:r>
    </w:p>
    <w:p w:rsidR="00DE6490" w:rsidRPr="00650AE6" w:rsidRDefault="00DE6490" w:rsidP="00DE6490">
      <w:pPr>
        <w:pStyle w:val="textEM"/>
        <w:rPr>
          <w:rFonts w:cs="Times New Roman"/>
          <w:lang w:val="en-GB"/>
        </w:rPr>
      </w:pPr>
      <w:r w:rsidRPr="00650AE6">
        <w:rPr>
          <w:rFonts w:cs="Times New Roman"/>
          <w:lang w:val="en-GB"/>
        </w:rPr>
        <w:t xml:space="preserve"> When defining stakeholders in the case of universities, it is not only the students involved, but could also be an Accreditation Commission (with an interest in maintaining the required quality), or friends and parents of applicants etc </w:t>
      </w:r>
      <w:r w:rsidRPr="00650AE6">
        <w:rPr>
          <w:rFonts w:cs="Times New Roman"/>
          <w:lang w:val="en-GB"/>
        </w:rPr>
        <w:fldChar w:fldCharType="begin"/>
      </w:r>
      <w:r w:rsidR="00B16C41">
        <w:rPr>
          <w:rFonts w:cs="Times New Roman"/>
          <w:lang w:val="en-GB"/>
        </w:rPr>
        <w:instrText xml:space="preserve"> ADDIN EN.CITE &lt;EndNote&gt;&lt;Cite&gt;&lt;Author&gt;White&lt;/Author&gt;&lt;Year&gt;2007&lt;/Year&gt;&lt;RecNum&gt;97&lt;/RecNum&gt;&lt;DisplayText&gt;[20, 27]&lt;/DisplayText&gt;&lt;record&gt;&lt;rec-number&gt;97&lt;/rec-number&gt;&lt;foreign-keys&gt;&lt;key app="EN" db-id="r05xppf0ee2vdkeepwyp55e6dvzve2p9dssr" timestamp="1511445081"&gt;97&lt;/key&gt;&lt;/foreign-keys&gt;&lt;ref-type name="Journal Article"&gt;17&lt;/ref-type&gt;&lt;contributors&gt;&lt;authors&gt;&lt;author&gt;White, Naomi Rosh&lt;/author&gt;&lt;/authors&gt;&lt;/contributors&gt;&lt;titles&gt;&lt;title&gt;‘The customer is always right?’: Student discourse about higher education in Australia&lt;/title&gt;&lt;secondary-title&gt;Higher Education&lt;/secondary-title&gt;&lt;/titles&gt;&lt;periodical&gt;&lt;full-title&gt;Higher Education&lt;/full-title&gt;&lt;/periodical&gt;&lt;pages&gt;593-604&lt;/pages&gt;&lt;volume&gt;54&lt;/volume&gt;&lt;number&gt;4&lt;/number&gt;&lt;dates&gt;&lt;year&gt;2007&lt;/year&gt;&lt;pub-dates&gt;&lt;date&gt;October 01&lt;/date&gt;&lt;/pub-dates&gt;&lt;/dates&gt;&lt;isbn&gt;1573-174X&lt;/isbn&gt;&lt;label&gt;White2007&lt;/label&gt;&lt;work-type&gt;journal article&lt;/work-type&gt;&lt;urls&gt;&lt;related-urls&gt;&lt;url&gt;https://doi.org/10.1007/s10734-006-9012-x&lt;/url&gt;&lt;/related-urls&gt;&lt;/urls&gt;&lt;electronic-resource-num&gt;10.1007/s10734-006-9012-x&lt;/electronic-resource-num&gt;&lt;/record&gt;&lt;/Cite&gt;&lt;Cite&gt;&lt;Author&gt;Shumar&lt;/Author&gt;&lt;Year&gt;1997&lt;/Year&gt;&lt;RecNum&gt;98&lt;/RecNum&gt;&lt;record&gt;&lt;rec-number&gt;98&lt;/rec-number&gt;&lt;foreign-keys&gt;&lt;key app="EN" db-id="r05xppf0ee2vdkeepwyp55e6dvzve2p9dssr" timestamp="1511445197"&gt;98&lt;/key&gt;&lt;/foreign-keys&gt;&lt;ref-type name="Book"&gt;6&lt;/ref-type&gt;&lt;contributors&gt;&lt;authors&gt;&lt;author&gt;Shumar, Wesley&lt;/author&gt;&lt;/authors&gt;&lt;/contributors&gt;&lt;titles&gt;&lt;title&gt;College for sale: A critique of the commodification of higher education&lt;/title&gt;&lt;/titles&gt;&lt;dates&gt;&lt;year&gt;1997&lt;/year&gt;&lt;/dates&gt;&lt;publisher&gt;Psychology Press&lt;/publisher&gt;&lt;isbn&gt;0750704101&lt;/isbn&gt;&lt;urls&gt;&lt;/urls&gt;&lt;/record&gt;&lt;/Cite&gt;&lt;/EndNote&gt;</w:instrText>
      </w:r>
      <w:r w:rsidRPr="00650AE6">
        <w:rPr>
          <w:rFonts w:cs="Times New Roman"/>
          <w:lang w:val="en-GB"/>
        </w:rPr>
        <w:fldChar w:fldCharType="separate"/>
      </w:r>
      <w:r w:rsidR="00B16C41">
        <w:rPr>
          <w:rFonts w:cs="Times New Roman"/>
          <w:noProof/>
          <w:lang w:val="en-GB"/>
        </w:rPr>
        <w:t>[20, 27]</w:t>
      </w:r>
      <w:r w:rsidRPr="00650AE6">
        <w:rPr>
          <w:rFonts w:cs="Times New Roman"/>
          <w:lang w:val="en-GB"/>
        </w:rPr>
        <w:fldChar w:fldCharType="end"/>
      </w:r>
      <w:r w:rsidRPr="00650AE6">
        <w:rPr>
          <w:rFonts w:cs="Times New Roman"/>
          <w:lang w:val="en-GB"/>
        </w:rPr>
        <w:t xml:space="preserve">. An organisation communicates with interested parties at various levels, utilising various tools and communication technology. It </w:t>
      </w:r>
      <w:r w:rsidRPr="00650AE6">
        <w:rPr>
          <w:rFonts w:cs="Times New Roman"/>
          <w:lang w:val="en-GB"/>
        </w:rPr>
        <w:lastRenderedPageBreak/>
        <w:t xml:space="preserve">should be consider some key factors that ensure stability at higher education </w:t>
      </w:r>
      <w:r w:rsidRPr="00650AE6">
        <w:rPr>
          <w:rFonts w:cs="Times New Roman"/>
          <w:lang w:val="en-GB"/>
        </w:rPr>
        <w:fldChar w:fldCharType="begin"/>
      </w:r>
      <w:r w:rsidR="006325BE">
        <w:rPr>
          <w:rFonts w:cs="Times New Roman"/>
          <w:lang w:val="en-GB"/>
        </w:rPr>
        <w:instrText xml:space="preserve"> ADDIN EN.CITE &lt;EndNote&gt;&lt;Cite&gt;&lt;Author&gt;Reveszova&lt;/Author&gt;&lt;Year&gt;2016&lt;/Year&gt;&lt;RecNum&gt;107&lt;/RecNum&gt;&lt;DisplayText&gt;[18]&lt;/DisplayText&gt;&lt;record&gt;&lt;rec-number&gt;107&lt;/rec-number&gt;&lt;foreign-keys&gt;&lt;key app="EN" db-id="r05xppf0ee2vdkeepwyp55e6dvzve2p9dssr" timestamp="1512999618"&gt;107&lt;/key&gt;&lt;/foreign-keys&gt;&lt;ref-type name="Journal Article"&gt;17&lt;/ref-type&gt;&lt;contributors&gt;&lt;authors&gt;&lt;author&gt;Reveszova, Libusa&lt;/author&gt;&lt;/authors&gt;&lt;/contributors&gt;&lt;titles&gt;&lt;title&gt;Designing modern informatics education for future managers and advanced users according to their knowledge base&lt;/title&gt;&lt;secondary-title&gt;E+ M Ekonomie a Management&lt;/secondary-title&gt;&lt;/titles&gt;&lt;periodical&gt;&lt;full-title&gt;E+ M Ekonomie a Management&lt;/full-title&gt;&lt;/periodical&gt;&lt;pages&gt;186&lt;/pages&gt;&lt;number&gt;4&lt;/number&gt;&lt;dates&gt;&lt;year&gt;2016&lt;/year&gt;&lt;/dates&gt;&lt;urls&gt;&lt;/urls&gt;&lt;/record&gt;&lt;/Cite&gt;&lt;/EndNote&gt;</w:instrText>
      </w:r>
      <w:r w:rsidRPr="00650AE6">
        <w:rPr>
          <w:rFonts w:cs="Times New Roman"/>
          <w:lang w:val="en-GB"/>
        </w:rPr>
        <w:fldChar w:fldCharType="separate"/>
      </w:r>
      <w:r w:rsidR="006325BE">
        <w:rPr>
          <w:rFonts w:cs="Times New Roman"/>
          <w:noProof/>
          <w:lang w:val="en-GB"/>
        </w:rPr>
        <w:t>[18]</w:t>
      </w:r>
      <w:r w:rsidRPr="00650AE6">
        <w:rPr>
          <w:rFonts w:cs="Times New Roman"/>
          <w:lang w:val="en-GB"/>
        </w:rPr>
        <w:fldChar w:fldCharType="end"/>
      </w:r>
      <w:r w:rsidRPr="00650AE6">
        <w:rPr>
          <w:rFonts w:cs="Times New Roman"/>
          <w:lang w:val="en-GB"/>
        </w:rPr>
        <w:t xml:space="preserve"> similar to approach as defining stability in different areas such as management, marketing etc. </w:t>
      </w:r>
    </w:p>
    <w:p w:rsidR="00DE6490" w:rsidRPr="00650AE6" w:rsidRDefault="00DE6490" w:rsidP="00DE6490">
      <w:pPr>
        <w:pStyle w:val="textEM"/>
        <w:rPr>
          <w:rFonts w:cs="Times New Roman"/>
          <w:lang w:val="en-GB"/>
        </w:rPr>
      </w:pPr>
      <w:r w:rsidRPr="00650AE6">
        <w:rPr>
          <w:rFonts w:cs="Times New Roman"/>
          <w:lang w:val="en-GB"/>
        </w:rPr>
        <w:t xml:space="preserve">To ensure that these tools are used most effectively, an organisation approaches the division of a market (customers) into clearly defined parts (market segments) and the subsequent selection of the segments on which it will focus. This tool is called targeted marketing. Its purpose is to discover and identify the structure of the market and its segments. This is a relatively differently presented group of customers, in the acquisition of which a uniform marketing approach can be applied, as well as for meeting their needs </w:t>
      </w:r>
      <w:r w:rsidRPr="00650AE6">
        <w:rPr>
          <w:rFonts w:cs="Times New Roman"/>
          <w:lang w:val="en-GB"/>
        </w:rPr>
        <w:fldChar w:fldCharType="begin"/>
      </w:r>
      <w:r w:rsidR="006325BE">
        <w:rPr>
          <w:rFonts w:cs="Times New Roman"/>
          <w:lang w:val="en-GB"/>
        </w:rPr>
        <w:instrText xml:space="preserve"> ADDIN EN.CITE &lt;EndNote&gt;&lt;Cite&gt;&lt;Author&gt;Novotny&lt;/Author&gt;&lt;Year&gt;2014&lt;/Year&gt;&lt;RecNum&gt;90&lt;/RecNum&gt;&lt;DisplayText&gt;[17]&lt;/DisplayText&gt;&lt;record&gt;&lt;rec-number&gt;90&lt;/rec-number&gt;&lt;foreign-keys&gt;&lt;key app="EN" db-id="r05xppf0ee2vdkeepwyp55e6dvzve2p9dssr" timestamp="1511441762"&gt;90&lt;/key&gt;&lt;/foreign-keys&gt;&lt;ref-type name="Journal Article"&gt;17&lt;/ref-type&gt;&lt;contributors&gt;&lt;authors&gt;&lt;author&gt;Novotny, Josef&lt;/author&gt;&lt;author&gt;Duspiva, Pavel&lt;/author&gt;&lt;/authors&gt;&lt;/contributors&gt;&lt;titles&gt;&lt;title&gt;Factors influencing consumers&amp;apos; buying behavior and their importance for enterprises/Faktory ovlivnujici kupni chovani spotrebitelu a jejich vyznam pro podniky&lt;/title&gt;&lt;secondary-title&gt;E+ M Ekonomie a Management&lt;/secondary-title&gt;&lt;/titles&gt;&lt;periodical&gt;&lt;full-title&gt;E+ M Ekonomie a Management&lt;/full-title&gt;&lt;/periodical&gt;&lt;pages&gt;152-167&lt;/pages&gt;&lt;volume&gt;17&lt;/volume&gt;&lt;number&gt;1&lt;/number&gt;&lt;dates&gt;&lt;year&gt;2014&lt;/year&gt;&lt;/dates&gt;&lt;isbn&gt;1212-3609&lt;/isbn&gt;&lt;urls&gt;&lt;/urls&gt;&lt;/record&gt;&lt;/Cite&gt;&lt;/EndNote&gt;</w:instrText>
      </w:r>
      <w:r w:rsidRPr="00650AE6">
        <w:rPr>
          <w:rFonts w:cs="Times New Roman"/>
          <w:lang w:val="en-GB"/>
        </w:rPr>
        <w:fldChar w:fldCharType="separate"/>
      </w:r>
      <w:r w:rsidR="006325BE">
        <w:rPr>
          <w:rFonts w:cs="Times New Roman"/>
          <w:noProof/>
          <w:lang w:val="en-GB"/>
        </w:rPr>
        <w:t>[17]</w:t>
      </w:r>
      <w:r w:rsidRPr="00650AE6">
        <w:rPr>
          <w:rFonts w:cs="Times New Roman"/>
          <w:lang w:val="en-GB"/>
        </w:rPr>
        <w:fldChar w:fldCharType="end"/>
      </w:r>
      <w:r w:rsidRPr="00650AE6">
        <w:rPr>
          <w:rFonts w:cs="Times New Roman"/>
          <w:lang w:val="en-GB"/>
        </w:rPr>
        <w:t xml:space="preserve">. </w:t>
      </w:r>
    </w:p>
    <w:p w:rsidR="00DE6490" w:rsidRPr="00650AE6" w:rsidRDefault="00DE6490" w:rsidP="00DE6490">
      <w:pPr>
        <w:pStyle w:val="textEM"/>
        <w:rPr>
          <w:rFonts w:cs="Times New Roman"/>
          <w:b/>
          <w:lang w:val="en-GB"/>
        </w:rPr>
      </w:pPr>
      <w:r w:rsidRPr="00650AE6">
        <w:rPr>
          <w:rFonts w:cs="Times New Roman"/>
          <w:lang w:val="en-GB"/>
        </w:rPr>
        <w:t xml:space="preserve">For communication with the selected segment, a specific content, form, atmosphere and type of media are used. For a different segment and its effective targeting, some of these aspects are adjusted so that an adequate message is presented in terms of the attitudes, values, requirements and communication techniques used by the group of customers. </w:t>
      </w:r>
    </w:p>
    <w:p w:rsidR="00DE6490" w:rsidRPr="00650AE6" w:rsidRDefault="00DE6490" w:rsidP="00DE6490">
      <w:pPr>
        <w:pStyle w:val="textEM"/>
        <w:rPr>
          <w:rFonts w:cs="Times New Roman"/>
          <w:lang w:val="en-GB"/>
        </w:rPr>
      </w:pPr>
      <w:r w:rsidRPr="00650AE6">
        <w:rPr>
          <w:rFonts w:cs="Times New Roman"/>
          <w:lang w:val="en-GB"/>
        </w:rPr>
        <w:t>One of the tasks of the management of universities / faculties as part of the marketing communication planning is not only to acquire a sufficient number of students, but also that these students have a genuine interest in the subject studied. The starting point for planning effective communication is to know the current requirements of future students, not only where the motivation of school choice is concerned, but also the choice of communication channels. The school which has adopted the principles of marketing management has also thus decided to meet the needs and wishes of its customers using a particular set of marketing tools. This toolkit is referred to as a marketing mix</w:t>
      </w:r>
      <w:bookmarkStart w:id="0" w:name="_Ref384326182"/>
      <w:r w:rsidRPr="00650AE6">
        <w:rPr>
          <w:rFonts w:cs="Times New Roman"/>
          <w:lang w:val="en-GB"/>
        </w:rPr>
        <w:t xml:space="preserve">. </w:t>
      </w:r>
    </w:p>
    <w:bookmarkEnd w:id="0"/>
    <w:p w:rsidR="00DE6490" w:rsidRPr="00650AE6" w:rsidRDefault="00DE6490" w:rsidP="00DE6490">
      <w:pPr>
        <w:pStyle w:val="textEM"/>
        <w:rPr>
          <w:rFonts w:cs="Times New Roman"/>
          <w:lang w:val="en-GB"/>
        </w:rPr>
      </w:pPr>
      <w:r w:rsidRPr="00650AE6">
        <w:rPr>
          <w:rFonts w:cs="Times New Roman"/>
          <w:lang w:val="en-GB"/>
        </w:rPr>
        <w:t>In the case of educational institutions, an extended marketing mix of services is used. In it, advertising plays a key role.</w:t>
      </w:r>
    </w:p>
    <w:p w:rsidR="00DE6490" w:rsidRPr="00650AE6" w:rsidRDefault="00DE6490" w:rsidP="005719FE">
      <w:pPr>
        <w:pStyle w:val="textEM"/>
        <w:rPr>
          <w:rFonts w:cs="Times New Roman"/>
          <w:lang w:val="en-GB"/>
        </w:rPr>
      </w:pPr>
      <w:r w:rsidRPr="00650AE6">
        <w:rPr>
          <w:rFonts w:cs="Times New Roman"/>
          <w:lang w:val="en-GB"/>
        </w:rPr>
        <w:t>The extended marketing mix used by schools includes five tools, (5P):</w:t>
      </w:r>
    </w:p>
    <w:p w:rsidR="00DE6490" w:rsidRPr="005719FE" w:rsidRDefault="00DE6490" w:rsidP="005719FE">
      <w:pPr>
        <w:pStyle w:val="odrky"/>
        <w:spacing w:before="0" w:after="0"/>
        <w:ind w:left="709" w:hanging="425"/>
        <w:rPr>
          <w:color w:val="000000" w:themeColor="text1"/>
          <w:sz w:val="24"/>
          <w:szCs w:val="20"/>
          <w:lang w:val="en-GB"/>
        </w:rPr>
      </w:pPr>
      <w:r w:rsidRPr="005719FE">
        <w:rPr>
          <w:color w:val="000000" w:themeColor="text1"/>
          <w:sz w:val="24"/>
          <w:szCs w:val="20"/>
          <w:lang w:val="en-GB"/>
        </w:rPr>
        <w:t>Product – the educational offer of a school is the school’s own product, and is composed of different study programs which define the method of obtaining an academic degree. A particularity of each study program is a certain modularity of the subjects. Practical training can also be included in the product, as well as the possibility of international internships and the involvement of professionals in teaching.</w:t>
      </w:r>
    </w:p>
    <w:p w:rsidR="00DE6490" w:rsidRPr="005719FE" w:rsidRDefault="00DE6490" w:rsidP="005719FE">
      <w:pPr>
        <w:pStyle w:val="odrky"/>
        <w:spacing w:before="0" w:after="0"/>
        <w:ind w:left="709" w:hanging="425"/>
        <w:rPr>
          <w:sz w:val="24"/>
          <w:szCs w:val="20"/>
          <w:lang w:val="en-GB"/>
        </w:rPr>
      </w:pPr>
      <w:r w:rsidRPr="005719FE">
        <w:rPr>
          <w:sz w:val="24"/>
          <w:szCs w:val="20"/>
          <w:lang w:val="en-GB"/>
        </w:rPr>
        <w:t>Price – in education, price to a large extant loses its function. Only the students of private schools pay tuition. Students of course do not consider only tuition in the cost of education. They also take into account transport costs for education, accommodation, meals and any necessary supplies.</w:t>
      </w:r>
    </w:p>
    <w:p w:rsidR="00DE6490" w:rsidRPr="005719FE" w:rsidRDefault="00DE6490" w:rsidP="005719FE">
      <w:pPr>
        <w:pStyle w:val="odrky"/>
        <w:spacing w:before="0" w:after="0"/>
        <w:ind w:left="709" w:hanging="425"/>
        <w:rPr>
          <w:color w:val="000000" w:themeColor="text1"/>
          <w:sz w:val="24"/>
          <w:szCs w:val="20"/>
          <w:lang w:val="en-GB"/>
        </w:rPr>
      </w:pPr>
      <w:r w:rsidRPr="005719FE">
        <w:rPr>
          <w:sz w:val="24"/>
          <w:szCs w:val="20"/>
          <w:lang w:val="en-GB"/>
        </w:rPr>
        <w:t>Placement – the distribution of an educational program may include such things as the location of the school, its accessibility and amenities, including accommodation options, teaching schedule and its own method of distributing the educational program. Proof of good quality distribution of an educational program is optimal conditions provided for studying the educational program at a cost acceptable to the school and its students</w:t>
      </w:r>
      <w:r w:rsidRPr="005719FE">
        <w:rPr>
          <w:color w:val="000000" w:themeColor="text1"/>
          <w:sz w:val="24"/>
          <w:szCs w:val="20"/>
          <w:lang w:val="en-GB"/>
        </w:rPr>
        <w:t>.</w:t>
      </w:r>
    </w:p>
    <w:p w:rsidR="00DE6490" w:rsidRPr="005719FE" w:rsidRDefault="00DE6490" w:rsidP="005719FE">
      <w:pPr>
        <w:pStyle w:val="odrky"/>
        <w:spacing w:before="0" w:after="0"/>
        <w:ind w:left="709" w:hanging="425"/>
        <w:rPr>
          <w:color w:val="000000" w:themeColor="text1"/>
          <w:sz w:val="24"/>
          <w:szCs w:val="20"/>
          <w:lang w:val="en-GB"/>
        </w:rPr>
      </w:pPr>
      <w:r w:rsidRPr="005719FE">
        <w:rPr>
          <w:color w:val="000000" w:themeColor="text1"/>
          <w:sz w:val="24"/>
          <w:szCs w:val="20"/>
          <w:lang w:val="en-GB"/>
        </w:rPr>
        <w:t>People – the interaction of academic staff and other students.</w:t>
      </w:r>
    </w:p>
    <w:p w:rsidR="00DE6490" w:rsidRPr="005719FE" w:rsidRDefault="00DE6490" w:rsidP="005719FE">
      <w:pPr>
        <w:pStyle w:val="odrky"/>
        <w:spacing w:before="0" w:after="0"/>
        <w:ind w:left="709" w:hanging="425"/>
        <w:rPr>
          <w:color w:val="000000" w:themeColor="text1"/>
          <w:sz w:val="24"/>
          <w:szCs w:val="20"/>
          <w:lang w:val="en-GB"/>
        </w:rPr>
      </w:pPr>
      <w:r w:rsidRPr="005719FE">
        <w:rPr>
          <w:color w:val="000000" w:themeColor="text1"/>
          <w:sz w:val="24"/>
          <w:szCs w:val="20"/>
          <w:lang w:val="en-GB"/>
        </w:rPr>
        <w:t>Promotion – Advertising</w:t>
      </w:r>
    </w:p>
    <w:p w:rsidR="00DE6490" w:rsidRPr="00650AE6" w:rsidRDefault="00DE6490" w:rsidP="00DE6490">
      <w:pPr>
        <w:pStyle w:val="textEM"/>
        <w:ind w:firstLine="0"/>
        <w:rPr>
          <w:rFonts w:cs="Times New Roman"/>
          <w:lang w:val="en-GB"/>
        </w:rPr>
      </w:pPr>
      <w:r w:rsidRPr="00650AE6">
        <w:rPr>
          <w:rFonts w:cs="Times New Roman"/>
          <w:lang w:val="en-GB"/>
        </w:rPr>
        <w:t>It can be summarised that the marketing mix of a school focuses primarily on:</w:t>
      </w:r>
    </w:p>
    <w:p w:rsidR="00DE6490" w:rsidRPr="005719FE" w:rsidRDefault="00DE6490" w:rsidP="005719FE">
      <w:pPr>
        <w:pStyle w:val="odrky"/>
        <w:spacing w:before="0" w:after="0"/>
        <w:ind w:left="709" w:hanging="425"/>
        <w:rPr>
          <w:color w:val="000000" w:themeColor="text1"/>
          <w:sz w:val="24"/>
          <w:szCs w:val="20"/>
          <w:lang w:val="en-GB"/>
        </w:rPr>
      </w:pPr>
      <w:r w:rsidRPr="005719FE">
        <w:rPr>
          <w:color w:val="000000" w:themeColor="text1"/>
          <w:sz w:val="24"/>
          <w:szCs w:val="20"/>
          <w:lang w:val="en-GB"/>
        </w:rPr>
        <w:t>Adapting the offer of the school’s educational program according to the needs of students, in response to practical requirements;</w:t>
      </w:r>
    </w:p>
    <w:p w:rsidR="00DE6490" w:rsidRPr="005719FE" w:rsidRDefault="00DE6490" w:rsidP="005719FE">
      <w:pPr>
        <w:pStyle w:val="odrky"/>
        <w:spacing w:before="0" w:after="0"/>
        <w:ind w:left="709" w:hanging="425"/>
        <w:rPr>
          <w:color w:val="000000" w:themeColor="text1"/>
          <w:sz w:val="24"/>
          <w:szCs w:val="20"/>
          <w:lang w:val="en-GB"/>
        </w:rPr>
      </w:pPr>
      <w:r w:rsidRPr="005719FE">
        <w:rPr>
          <w:color w:val="000000" w:themeColor="text1"/>
          <w:sz w:val="24"/>
          <w:szCs w:val="20"/>
          <w:lang w:val="en-GB"/>
        </w:rPr>
        <w:t>Providing a study program at a price equivalent to the amount of its perceived value;</w:t>
      </w:r>
    </w:p>
    <w:p w:rsidR="00DE6490" w:rsidRPr="005719FE" w:rsidRDefault="00DE6490" w:rsidP="005719FE">
      <w:pPr>
        <w:pStyle w:val="odrky"/>
        <w:spacing w:before="0" w:after="0"/>
        <w:ind w:left="709" w:hanging="425"/>
        <w:rPr>
          <w:color w:val="000000" w:themeColor="text1"/>
          <w:sz w:val="24"/>
          <w:szCs w:val="20"/>
          <w:lang w:val="en-GB"/>
        </w:rPr>
      </w:pPr>
      <w:r w:rsidRPr="005719FE">
        <w:rPr>
          <w:color w:val="000000" w:themeColor="text1"/>
          <w:sz w:val="24"/>
          <w:szCs w:val="20"/>
          <w:lang w:val="en-GB"/>
        </w:rPr>
        <w:t>Suitable academic burden on students (such as the difficulty of the admission procedure);</w:t>
      </w:r>
    </w:p>
    <w:p w:rsidR="00DE6490" w:rsidRPr="005719FE" w:rsidRDefault="00DE6490" w:rsidP="005719FE">
      <w:pPr>
        <w:pStyle w:val="odrky"/>
        <w:spacing w:before="0" w:after="0"/>
        <w:ind w:left="709" w:hanging="425"/>
        <w:rPr>
          <w:color w:val="000000" w:themeColor="text1"/>
          <w:sz w:val="24"/>
          <w:szCs w:val="20"/>
          <w:lang w:val="en-GB"/>
        </w:rPr>
      </w:pPr>
      <w:r w:rsidRPr="005719FE">
        <w:rPr>
          <w:color w:val="000000" w:themeColor="text1"/>
          <w:sz w:val="24"/>
          <w:szCs w:val="20"/>
          <w:lang w:val="en-GB"/>
        </w:rPr>
        <w:t xml:space="preserve">Delivering educational services in schools at the proper place, appropriate timing and quality of the educational environment; </w:t>
      </w:r>
    </w:p>
    <w:p w:rsidR="00DE6490" w:rsidRPr="005719FE" w:rsidRDefault="00DE6490" w:rsidP="005719FE">
      <w:pPr>
        <w:pStyle w:val="odrky"/>
        <w:spacing w:before="0" w:after="0"/>
        <w:ind w:left="709" w:hanging="425"/>
        <w:rPr>
          <w:color w:val="000000" w:themeColor="text1"/>
          <w:sz w:val="24"/>
          <w:szCs w:val="20"/>
          <w:lang w:val="en-GB"/>
        </w:rPr>
      </w:pPr>
      <w:r w:rsidRPr="005719FE">
        <w:rPr>
          <w:color w:val="000000" w:themeColor="text1"/>
          <w:sz w:val="24"/>
          <w:szCs w:val="20"/>
          <w:lang w:val="en-GB"/>
        </w:rPr>
        <w:t>Communication ability and the university staff showing an interest in the students’ needs;</w:t>
      </w:r>
    </w:p>
    <w:p w:rsidR="00DE6490" w:rsidRPr="005719FE" w:rsidRDefault="00DE6490" w:rsidP="005719FE">
      <w:pPr>
        <w:pStyle w:val="odrky"/>
        <w:spacing w:before="0" w:after="0"/>
        <w:ind w:left="709" w:hanging="425"/>
        <w:rPr>
          <w:color w:val="000000" w:themeColor="text1"/>
          <w:sz w:val="24"/>
          <w:szCs w:val="20"/>
          <w:lang w:val="en-GB"/>
        </w:rPr>
      </w:pPr>
      <w:r w:rsidRPr="005719FE">
        <w:rPr>
          <w:color w:val="000000" w:themeColor="text1"/>
          <w:sz w:val="24"/>
          <w:szCs w:val="20"/>
          <w:lang w:val="en-GB"/>
        </w:rPr>
        <w:lastRenderedPageBreak/>
        <w:t>Targeted external communication with stakeholders and internal communication with employees.</w:t>
      </w:r>
    </w:p>
    <w:p w:rsidR="00DE6490" w:rsidRPr="00650AE6" w:rsidRDefault="00DE6490" w:rsidP="00DE6490">
      <w:pPr>
        <w:pStyle w:val="odrky"/>
        <w:numPr>
          <w:ilvl w:val="0"/>
          <w:numId w:val="0"/>
        </w:numPr>
        <w:spacing w:before="0" w:after="0"/>
        <w:ind w:left="709"/>
        <w:rPr>
          <w:color w:val="000000" w:themeColor="text1"/>
          <w:szCs w:val="20"/>
          <w:lang w:val="en-GB"/>
        </w:rPr>
      </w:pPr>
    </w:p>
    <w:p w:rsidR="00DE6490" w:rsidRPr="00C642E4" w:rsidRDefault="00DE6490" w:rsidP="00C642E4">
      <w:pPr>
        <w:pStyle w:val="Nadpis1"/>
        <w:numPr>
          <w:ilvl w:val="1"/>
          <w:numId w:val="22"/>
        </w:numPr>
        <w:ind w:left="709" w:hanging="715"/>
        <w:rPr>
          <w:sz w:val="26"/>
          <w:szCs w:val="26"/>
          <w:lang w:val="en-GB" w:eastAsia="de-DE"/>
        </w:rPr>
      </w:pPr>
      <w:r w:rsidRPr="00C642E4">
        <w:rPr>
          <w:sz w:val="26"/>
          <w:szCs w:val="26"/>
        </w:rPr>
        <w:t>Problem</w:t>
      </w:r>
      <w:r w:rsidRPr="00C642E4">
        <w:rPr>
          <w:sz w:val="26"/>
          <w:szCs w:val="26"/>
          <w:lang w:val="en-GB" w:eastAsia="de-DE"/>
        </w:rPr>
        <w:t xml:space="preserve"> solving</w:t>
      </w:r>
    </w:p>
    <w:p w:rsidR="00DE6490" w:rsidRPr="00650AE6" w:rsidRDefault="00DE6490" w:rsidP="00DE6490">
      <w:pPr>
        <w:pStyle w:val="textEM"/>
        <w:rPr>
          <w:rFonts w:cs="Times New Roman"/>
          <w:lang w:val="en-GB"/>
        </w:rPr>
      </w:pPr>
      <w:r w:rsidRPr="00650AE6">
        <w:rPr>
          <w:rFonts w:cs="Times New Roman"/>
          <w:lang w:val="en-GB"/>
        </w:rPr>
        <w:t xml:space="preserve">The aim of this </w:t>
      </w:r>
      <w:r w:rsidR="008D13DD">
        <w:rPr>
          <w:rFonts w:cs="Times New Roman"/>
          <w:lang w:val="en-GB"/>
        </w:rPr>
        <w:t>paper</w:t>
      </w:r>
      <w:r w:rsidRPr="00650AE6">
        <w:rPr>
          <w:rFonts w:cs="Times New Roman"/>
          <w:lang w:val="en-GB"/>
        </w:rPr>
        <w:t xml:space="preserve"> is to determine what segments of the higher education candidate market can be found, what characterises them, or what criteria they determine when choosing a university. Research should be directed in order to focus most precisely on factors that potentially successful and high-quality student perceives as important. This could help universities to reach a sufficient number of candidates in the efficient use of funds through their offers.</w:t>
      </w:r>
    </w:p>
    <w:p w:rsidR="00DE6490" w:rsidRPr="00650AE6" w:rsidRDefault="00DE6490" w:rsidP="00DE6490">
      <w:pPr>
        <w:pStyle w:val="textEM"/>
        <w:rPr>
          <w:rFonts w:cs="Times New Roman"/>
          <w:lang w:val="en-GB"/>
        </w:rPr>
      </w:pPr>
      <w:r w:rsidRPr="00650AE6">
        <w:rPr>
          <w:rFonts w:cs="Times New Roman"/>
          <w:lang w:val="en-GB"/>
        </w:rPr>
        <w:t xml:space="preserve">Based on the criteria of the extended marketing mix used by the schools, questionnaires were compiled, the aim of which was to determine which main factors affect the candidate when choosing a university, and also to specify in which segments of the market candidates for higher education may be found. What characterises them, or what criteria they use when deciding on their choice of university. The analysis should serve as a basis for deciding whether to target the entire market with unified communications, or whether to divide the communication and target individual segments separately. </w:t>
      </w:r>
    </w:p>
    <w:p w:rsidR="00DE6490" w:rsidRPr="00650AE6" w:rsidRDefault="00DE6490" w:rsidP="00DE6490">
      <w:pPr>
        <w:pStyle w:val="textEM"/>
        <w:rPr>
          <w:rFonts w:cs="Times New Roman"/>
          <w:lang w:val="en-GB"/>
        </w:rPr>
      </w:pPr>
      <w:r w:rsidRPr="00650AE6">
        <w:rPr>
          <w:rFonts w:cs="Times New Roman"/>
          <w:lang w:val="en-GB"/>
        </w:rPr>
        <w:t xml:space="preserve">We used basic statistical processing of data, and selected tests including hypotheses. For the actual segmentation itself, cluster analysis methods were used. Similarly, this analysis was also used for such things as classifying foreign applicants at Czech universities or establishing agreement between the content of the ICT degree courses and the practical demands in the country </w:t>
      </w:r>
      <w:r w:rsidRPr="00650AE6">
        <w:rPr>
          <w:rFonts w:cs="Times New Roman"/>
          <w:lang w:val="en-GB"/>
        </w:rPr>
        <w:fldChar w:fldCharType="begin"/>
      </w:r>
      <w:r w:rsidR="00B16C41">
        <w:rPr>
          <w:rFonts w:cs="Times New Roman"/>
          <w:lang w:val="en-GB"/>
        </w:rPr>
        <w:instrText xml:space="preserve"> ADDIN EN.CITE &lt;EndNote&gt;&lt;Cite&gt;&lt;Author&gt;Doucek&lt;/Author&gt;&lt;Year&gt;2013&lt;/Year&gt;&lt;RecNum&gt;87&lt;/RecNum&gt;&lt;DisplayText&gt;[8, 28]&lt;/DisplayText&gt;&lt;record&gt;&lt;rec-number&gt;87&lt;/rec-number&gt;&lt;foreign-keys&gt;&lt;key app="EN" db-id="r05xppf0ee2vdkeepwyp55e6dvzve2p9dssr" timestamp="1511441670"&gt;87&lt;/key&gt;&lt;/foreign-keys&gt;&lt;ref-type name="Journal Article"&gt;17&lt;/ref-type&gt;&lt;contributors&gt;&lt;authors&gt;&lt;author&gt;Doucek, Petr&lt;/author&gt;&lt;author&gt;Maryska, Milos&lt;/author&gt;&lt;author&gt;Novotny, Ota&lt;/author&gt;&lt;/authors&gt;&lt;/contributors&gt;&lt;titles&gt;&lt;title&gt;The analysis of university graduates ICT related study programs/Analyza souladu obsahu ICT studijnich oboru s pozadavky praxe v Ceske republice&lt;/title&gt;&lt;secondary-title&gt;E+ M Ekonomie a Management&lt;/secondary-title&gt;&lt;/titles&gt;&lt;periodical&gt;&lt;full-title&gt;E+ M Ekonomie a Management&lt;/full-title&gt;&lt;/periodical&gt;&lt;pages&gt;148-162&lt;/pages&gt;&lt;volume&gt;16&lt;/volume&gt;&lt;number&gt;3&lt;/number&gt;&lt;dates&gt;&lt;year&gt;2013&lt;/year&gt;&lt;/dates&gt;&lt;isbn&gt;1212-3609&lt;/isbn&gt;&lt;urls&gt;&lt;/urls&gt;&lt;/record&gt;&lt;/Cite&gt;&lt;Cite&gt;&lt;Author&gt;Zambochova&lt;/Author&gt;&lt;Year&gt;2012&lt;/Year&gt;&lt;RecNum&gt;96&lt;/RecNum&gt;&lt;record&gt;&lt;rec-number&gt;96&lt;/rec-number&gt;&lt;foreign-keys&gt;&lt;key app="EN" db-id="r05xppf0ee2vdkeepwyp55e6dvzve2p9dssr" timestamp="1511441955"&gt;96&lt;/key&gt;&lt;/foreign-keys&gt;&lt;ref-type name="Journal Article"&gt;17&lt;/ref-type&gt;&lt;contributors&gt;&lt;authors&gt;&lt;author&gt;Zambochova, Marta&lt;/author&gt;&lt;/authors&gt;&lt;/contributors&gt;&lt;titles&gt;&lt;title&gt;Typology of foreign students interested in studying at czech universities&lt;/title&gt;&lt;secondary-title&gt;E+ M Ekonomie a Management&lt;/secondary-title&gt;&lt;/titles&gt;&lt;periodical&gt;&lt;full-title&gt;E+ M Ekonomie a Management&lt;/full-title&gt;&lt;/periodical&gt;&lt;pages&gt;141&lt;/pages&gt;&lt;number&gt;2&lt;/number&gt;&lt;dates&gt;&lt;year&gt;2012&lt;/year&gt;&lt;/dates&gt;&lt;urls&gt;&lt;/urls&gt;&lt;/record&gt;&lt;/Cite&gt;&lt;/EndNote&gt;</w:instrText>
      </w:r>
      <w:r w:rsidRPr="00650AE6">
        <w:rPr>
          <w:rFonts w:cs="Times New Roman"/>
          <w:lang w:val="en-GB"/>
        </w:rPr>
        <w:fldChar w:fldCharType="separate"/>
      </w:r>
      <w:r w:rsidR="00B16C41">
        <w:rPr>
          <w:rFonts w:cs="Times New Roman"/>
          <w:noProof/>
          <w:lang w:val="en-GB"/>
        </w:rPr>
        <w:t>[8, 28]</w:t>
      </w:r>
      <w:r w:rsidRPr="00650AE6">
        <w:rPr>
          <w:rFonts w:cs="Times New Roman"/>
          <w:lang w:val="en-GB"/>
        </w:rPr>
        <w:fldChar w:fldCharType="end"/>
      </w:r>
      <w:r w:rsidRPr="00650AE6">
        <w:rPr>
          <w:rFonts w:cs="Times New Roman"/>
          <w:lang w:val="en-GB"/>
        </w:rPr>
        <w:t>.</w:t>
      </w:r>
    </w:p>
    <w:p w:rsidR="00DE6490" w:rsidRPr="00650AE6" w:rsidRDefault="00DE6490" w:rsidP="00DE6490">
      <w:pPr>
        <w:pStyle w:val="textEM"/>
        <w:rPr>
          <w:rFonts w:cs="Times New Roman"/>
          <w:lang w:val="en-GB"/>
        </w:rPr>
      </w:pPr>
      <w:r w:rsidRPr="00650AE6">
        <w:rPr>
          <w:rFonts w:cs="Times New Roman"/>
          <w:lang w:val="en-GB"/>
        </w:rPr>
        <w:t xml:space="preserve">On the basis of two separate surveys, we created a classification of two specific groups of respondents. A secondary goal was to identify and describe the individual segments and their main characteristics in terms of their motivation in choosing a university. We then compared the outcomes among themselves derived from both surveys. </w:t>
      </w:r>
    </w:p>
    <w:p w:rsidR="00DE6490" w:rsidRPr="00650AE6" w:rsidRDefault="00DE6490" w:rsidP="00DE6490">
      <w:pPr>
        <w:pStyle w:val="textEM"/>
        <w:rPr>
          <w:rFonts w:cs="Times New Roman"/>
          <w:lang w:val="en-GB"/>
        </w:rPr>
      </w:pPr>
    </w:p>
    <w:p w:rsidR="00DE6490" w:rsidRPr="00C642E4" w:rsidRDefault="00DE6490" w:rsidP="00C642E4">
      <w:pPr>
        <w:pStyle w:val="Nadpis1"/>
        <w:numPr>
          <w:ilvl w:val="1"/>
          <w:numId w:val="22"/>
        </w:numPr>
        <w:ind w:left="709" w:hanging="715"/>
        <w:rPr>
          <w:sz w:val="26"/>
          <w:szCs w:val="26"/>
        </w:rPr>
      </w:pPr>
      <w:r w:rsidRPr="00C642E4">
        <w:rPr>
          <w:sz w:val="26"/>
          <w:szCs w:val="26"/>
        </w:rPr>
        <w:t>Methodology of Data Collection</w:t>
      </w:r>
    </w:p>
    <w:p w:rsidR="00DE6490" w:rsidRPr="00650AE6" w:rsidRDefault="00DE6490" w:rsidP="00DE6490">
      <w:pPr>
        <w:pStyle w:val="textEM"/>
        <w:rPr>
          <w:rFonts w:cs="Times New Roman"/>
          <w:lang w:val="en-GB"/>
        </w:rPr>
      </w:pPr>
      <w:r w:rsidRPr="00650AE6">
        <w:rPr>
          <w:rFonts w:cs="Times New Roman"/>
          <w:lang w:val="en-GB"/>
        </w:rPr>
        <w:t>The questionnaire survey was carry out in cooperation with the administration of the secondary schools after prior agreement and consent. Given the objectives of the research, a “non-exhaustive selection” was made, which assumes a survey only for a certain sample of units. Even in this case, a selection of suitable opportunities made based on easy accessibility.</w:t>
      </w:r>
    </w:p>
    <w:p w:rsidR="00DE6490" w:rsidRPr="00650AE6" w:rsidRDefault="00DE6490" w:rsidP="00DE6490">
      <w:pPr>
        <w:pStyle w:val="textEM"/>
        <w:rPr>
          <w:rFonts w:cs="Times New Roman"/>
          <w:lang w:val="en-GB"/>
        </w:rPr>
      </w:pPr>
      <w:r w:rsidRPr="00650AE6">
        <w:rPr>
          <w:rFonts w:cs="Times New Roman"/>
          <w:lang w:val="en-GB"/>
        </w:rPr>
        <w:t>For the implementation of the research, two independently conducted questionnaires were selected. The first (Type 1) was aimed at first and second year university students, the second investigation (Type 2) was conducted in final year classes at selected secondary schools in the Czech Republic. The surveys were carried out in collaboration with faculty undergraduate students as researchers.</w:t>
      </w:r>
    </w:p>
    <w:p w:rsidR="00DE6490" w:rsidRPr="005719FE" w:rsidRDefault="00DE6490" w:rsidP="008D13DD">
      <w:pPr>
        <w:pStyle w:val="textEM"/>
        <w:rPr>
          <w:sz w:val="28"/>
          <w:szCs w:val="22"/>
          <w:lang w:val="en-GB"/>
        </w:rPr>
      </w:pPr>
      <w:r w:rsidRPr="00650AE6">
        <w:rPr>
          <w:rFonts w:cs="Times New Roman"/>
          <w:lang w:val="en-GB"/>
        </w:rPr>
        <w:t>The main monitored types of properties related to the motivation of school choice</w:t>
      </w:r>
      <w:r w:rsidR="008D13DD">
        <w:rPr>
          <w:rFonts w:cs="Times New Roman"/>
          <w:lang w:val="en-GB"/>
        </w:rPr>
        <w:t xml:space="preserve"> such as r</w:t>
      </w:r>
      <w:r w:rsidRPr="005719FE">
        <w:rPr>
          <w:lang w:val="en-GB"/>
        </w:rPr>
        <w:t>ecommendation of friends</w:t>
      </w:r>
      <w:r w:rsidR="008D13DD">
        <w:rPr>
          <w:lang w:val="en-GB"/>
        </w:rPr>
        <w:t>, p</w:t>
      </w:r>
      <w:r w:rsidRPr="005719FE">
        <w:rPr>
          <w:lang w:val="en-GB"/>
        </w:rPr>
        <w:t>restige of the university;</w:t>
      </w:r>
      <w:r w:rsidR="008D13DD">
        <w:rPr>
          <w:lang w:val="en-GB"/>
        </w:rPr>
        <w:t xml:space="preserve"> o</w:t>
      </w:r>
      <w:r w:rsidRPr="005719FE">
        <w:rPr>
          <w:lang w:val="en-GB"/>
        </w:rPr>
        <w:t>pportunity to study abroad</w:t>
      </w:r>
      <w:r w:rsidR="008D13DD">
        <w:rPr>
          <w:lang w:val="en-GB"/>
        </w:rPr>
        <w:t>, e</w:t>
      </w:r>
      <w:r w:rsidRPr="005719FE">
        <w:rPr>
          <w:lang w:val="en-GB"/>
        </w:rPr>
        <w:t>xperience gained in collaboration with real world specialists</w:t>
      </w:r>
      <w:r w:rsidR="008D13DD">
        <w:rPr>
          <w:lang w:val="en-GB"/>
        </w:rPr>
        <w:t xml:space="preserve"> etc.</w:t>
      </w:r>
    </w:p>
    <w:p w:rsidR="00DE6490" w:rsidRPr="00650AE6" w:rsidRDefault="00DE6490" w:rsidP="00DE6490">
      <w:pPr>
        <w:pStyle w:val="textEM"/>
        <w:rPr>
          <w:rFonts w:cs="Times New Roman"/>
          <w:lang w:val="en-GB"/>
        </w:rPr>
      </w:pPr>
      <w:r w:rsidRPr="00650AE6">
        <w:rPr>
          <w:rFonts w:cs="Times New Roman"/>
          <w:lang w:val="en-GB"/>
        </w:rPr>
        <w:t>In the Type 2 questionnaire (secondary schools) responses to the preferred type of admission procedure were also analysed.</w:t>
      </w:r>
    </w:p>
    <w:p w:rsidR="00DE6490" w:rsidRPr="00650AE6" w:rsidRDefault="00DE6490" w:rsidP="00DE6490">
      <w:pPr>
        <w:pStyle w:val="textEM"/>
        <w:rPr>
          <w:rFonts w:cs="Times New Roman"/>
          <w:lang w:val="en-GB"/>
        </w:rPr>
      </w:pPr>
      <w:r w:rsidRPr="00650AE6">
        <w:rPr>
          <w:rFonts w:cs="Times New Roman"/>
          <w:lang w:val="en-GB"/>
        </w:rPr>
        <w:t xml:space="preserve">The questionnaire for Type 1 was divided into three parts: dividing respondents into the target group and other groups; factors that most influenced the choice of university and which most motivated them to study at university. The last one focused on additional information on respondents. The survey was conducted during the months of January and February of 2014. The questionnaire was distributed among the students via the Internet. Information about it was circulated via the students’ social networks - researchers. It was also </w:t>
      </w:r>
      <w:r w:rsidRPr="00650AE6">
        <w:rPr>
          <w:rFonts w:cs="Times New Roman"/>
          <w:lang w:val="en-GB"/>
        </w:rPr>
        <w:lastRenderedPageBreak/>
        <w:t>one of the reasons why the majority of respondents are students of the University of Pardubice. 330 questionnaires were filled in, but after checking the completeness and the selection of the target group 259 were selected for further processing (of which 169 were University of Pardubice students).</w:t>
      </w:r>
    </w:p>
    <w:p w:rsidR="00DE6490" w:rsidRPr="00650AE6" w:rsidRDefault="00DE6490" w:rsidP="00DE6490">
      <w:pPr>
        <w:pStyle w:val="textEM"/>
        <w:rPr>
          <w:rFonts w:cs="Times New Roman"/>
          <w:lang w:val="en-GB"/>
        </w:rPr>
      </w:pPr>
      <w:r w:rsidRPr="00650AE6">
        <w:rPr>
          <w:rFonts w:cs="Times New Roman"/>
          <w:lang w:val="en-GB"/>
        </w:rPr>
        <w:t>The Type 2 questionnaire consisted of two parts - the criteria for the selection of university and where the information was sought, and whether they know the University of Pardubice. Only part of the data was included in this research (useful for segmenting and subsequently comparing with the data obtained in the Type 1 survey). The questionnaire survey was carried out in cooperation with the administration of the secondary schools after prior agreement and consent. Given the objectives of the research, a “non-exhaustive selection” was made, which assumes a survey only for a certain sample of units. Even in this case, a selection of suitable opportunities was made based on easy accessibility.</w:t>
      </w:r>
    </w:p>
    <w:p w:rsidR="00DE6490" w:rsidRPr="00650AE6" w:rsidRDefault="00DE6490" w:rsidP="00DE6490">
      <w:pPr>
        <w:pStyle w:val="textEM"/>
        <w:rPr>
          <w:rFonts w:cs="Times New Roman"/>
          <w:lang w:val="en-GB"/>
        </w:rPr>
      </w:pPr>
      <w:r w:rsidRPr="00650AE6">
        <w:rPr>
          <w:rFonts w:cs="Times New Roman"/>
          <w:lang w:val="en-GB"/>
        </w:rPr>
        <w:t>The processed part consists of three segments: identifying respondents, finding interest in studying, and decisive factors in the choice of school.</w:t>
      </w:r>
    </w:p>
    <w:p w:rsidR="00DE6490" w:rsidRPr="00650AE6" w:rsidRDefault="00DE6490" w:rsidP="00DE6490">
      <w:pPr>
        <w:pStyle w:val="textEM"/>
        <w:rPr>
          <w:rFonts w:cs="Times New Roman"/>
          <w:lang w:val="en-GB"/>
        </w:rPr>
      </w:pPr>
      <w:r w:rsidRPr="00650AE6">
        <w:rPr>
          <w:rFonts w:cs="Times New Roman"/>
          <w:lang w:val="en-GB"/>
        </w:rPr>
        <w:t>The survey was conducted from 1 February 2014 to 28 February 2014, at the time when all students interested in studying at university were beginning to gather information. 505 completed questionnaires were received, but because of incomplete forms or lack of interest in further studies 449 were used for further processing.</w:t>
      </w:r>
    </w:p>
    <w:p w:rsidR="00DE6490" w:rsidRPr="00650AE6" w:rsidRDefault="00DE6490" w:rsidP="00DE6490">
      <w:pPr>
        <w:pStyle w:val="textEM"/>
        <w:rPr>
          <w:rFonts w:cs="Times New Roman"/>
          <w:lang w:val="en-GB"/>
        </w:rPr>
      </w:pPr>
    </w:p>
    <w:p w:rsidR="00DE6490" w:rsidRPr="00650AE6" w:rsidRDefault="00DE6490" w:rsidP="00597E76">
      <w:pPr>
        <w:pStyle w:val="Nadpis1"/>
        <w:ind w:left="426" w:hanging="426"/>
        <w:rPr>
          <w:lang w:val="en-GB"/>
        </w:rPr>
      </w:pPr>
      <w:bookmarkStart w:id="1" w:name="_Ref399757707"/>
      <w:r w:rsidRPr="00650AE6">
        <w:rPr>
          <w:lang w:val="en-GB"/>
        </w:rPr>
        <w:t xml:space="preserve">Cluster </w:t>
      </w:r>
      <w:r w:rsidRPr="00597E76">
        <w:t>Analysis</w:t>
      </w:r>
      <w:bookmarkEnd w:id="1"/>
    </w:p>
    <w:p w:rsidR="00DE6490" w:rsidRPr="00650AE6" w:rsidRDefault="00DE6490" w:rsidP="00DE6490">
      <w:pPr>
        <w:pStyle w:val="textEM"/>
        <w:rPr>
          <w:rFonts w:cs="Times New Roman"/>
          <w:lang w:val="en-GB"/>
        </w:rPr>
      </w:pPr>
      <w:r w:rsidRPr="00650AE6">
        <w:rPr>
          <w:rFonts w:cs="Times New Roman"/>
          <w:lang w:val="en-GB"/>
        </w:rPr>
        <w:t>Given that there are a large number of objects with a relatively small number of monitored characteristics - properties (in accordance with the set objectives), a method of multivariate analysis was used for the processing - cluster analysis. Cluster analysis is a method that deals with investigating similarities multidimensional objects that are described by more than one property, and classified into classes or clusters. This is especially useful where objects have a natural tendency to group together. This classification is called numerical taxonomy. Three main objectives can be formulated through cluster analysis: empirical object classification, simplification of data and identification of relationship after finding clusters of objects, and thus also in the structures among objects it is easier to detect relationships between objects.</w:t>
      </w:r>
    </w:p>
    <w:p w:rsidR="00DE6490" w:rsidRPr="00650AE6" w:rsidRDefault="00DE6490" w:rsidP="00DE6490">
      <w:pPr>
        <w:pStyle w:val="textEM"/>
        <w:rPr>
          <w:rFonts w:cs="Times New Roman"/>
          <w:lang w:val="en-GB"/>
        </w:rPr>
      </w:pPr>
      <w:r w:rsidRPr="00650AE6">
        <w:rPr>
          <w:rFonts w:cs="Times New Roman"/>
          <w:lang w:val="en-GB"/>
        </w:rPr>
        <w:t xml:space="preserve">Performing the analysis of large disparate group will reveal a few homogeneous clusters, which will help us to get an idea on the various segments of the candidates (and their motivation). </w:t>
      </w:r>
    </w:p>
    <w:p w:rsidR="00DE6490" w:rsidRPr="00650AE6" w:rsidRDefault="00DE6490" w:rsidP="00DE6490">
      <w:pPr>
        <w:pStyle w:val="textEM"/>
        <w:rPr>
          <w:rFonts w:cs="Times New Roman"/>
          <w:lang w:val="en-GB"/>
        </w:rPr>
      </w:pPr>
      <w:r w:rsidRPr="00650AE6">
        <w:rPr>
          <w:rFonts w:cs="Times New Roman"/>
          <w:lang w:val="en-GB"/>
        </w:rPr>
        <w:t>The following section will discuss the preparation of the data, which consists of obtaining the actual data from two independent surveys and determining the structure of the data. The data obtained had different characteristics. Therefore it was necessary, mainly for possible comparisons, to choose only those characteristics that correspond to our research – the motivation of students in choosing a university.</w:t>
      </w:r>
    </w:p>
    <w:p w:rsidR="00DE6490" w:rsidRPr="00650AE6" w:rsidRDefault="00DE6490" w:rsidP="00DE6490">
      <w:pPr>
        <w:pStyle w:val="textEM"/>
        <w:rPr>
          <w:rFonts w:cs="Times New Roman"/>
          <w:lang w:val="en-GB"/>
        </w:rPr>
      </w:pPr>
      <w:r w:rsidRPr="00650AE6">
        <w:rPr>
          <w:rFonts w:cs="Times New Roman"/>
          <w:lang w:val="en-GB"/>
        </w:rPr>
        <w:t>The questionnaires were designed so that respondents would select from the choices offered, that were designed based on the Likert scale position measurement technique. All the answers are converted into numerical values. For questions such as “What influenced me”, respondents could choose from three options: “strong influence”, “medium influence” and “had no influence”. As part of the final analysis, the only responses accepted were “strong and medium influence”, which were united into one with the following method: The response “strong influence” had a weight of 1.5; the response “medium influence” had a weight of 1. The response that a given criterion had no influence on the respondent’s decision is not relevant for the objectives of the project. As well the unique ID codes of the respondents were modified so that the following will be able to be identified during analysis of the outputs:</w:t>
      </w:r>
    </w:p>
    <w:p w:rsidR="00DE6490" w:rsidRPr="00650AE6" w:rsidRDefault="00DE6490" w:rsidP="00DE6490">
      <w:pPr>
        <w:pStyle w:val="textEM"/>
        <w:numPr>
          <w:ilvl w:val="0"/>
          <w:numId w:val="13"/>
        </w:numPr>
        <w:rPr>
          <w:rFonts w:cs="Times New Roman"/>
          <w:lang w:val="en-GB"/>
        </w:rPr>
      </w:pPr>
      <w:r w:rsidRPr="00650AE6">
        <w:rPr>
          <w:rFonts w:cs="Times New Roman"/>
          <w:lang w:val="en-GB"/>
        </w:rPr>
        <w:t>For Type 1: serial number, gender, subjects studied at secondary school and university;</w:t>
      </w:r>
    </w:p>
    <w:p w:rsidR="00DE6490" w:rsidRPr="00650AE6" w:rsidRDefault="00DE6490" w:rsidP="00DE6490">
      <w:pPr>
        <w:pStyle w:val="textEM"/>
        <w:numPr>
          <w:ilvl w:val="0"/>
          <w:numId w:val="13"/>
        </w:numPr>
        <w:rPr>
          <w:rFonts w:cs="Times New Roman"/>
          <w:lang w:val="en-GB"/>
        </w:rPr>
      </w:pPr>
      <w:r w:rsidRPr="00650AE6">
        <w:rPr>
          <w:rFonts w:cs="Times New Roman"/>
          <w:lang w:val="en-GB"/>
        </w:rPr>
        <w:lastRenderedPageBreak/>
        <w:t>For Type 2: serial number, gender, subjects studied at secondary school and place of residence (district).</w:t>
      </w:r>
    </w:p>
    <w:p w:rsidR="00DE6490" w:rsidRPr="00650AE6" w:rsidRDefault="00DE6490" w:rsidP="00DE6490">
      <w:pPr>
        <w:pStyle w:val="textEM"/>
        <w:rPr>
          <w:rFonts w:cs="Times New Roman"/>
          <w:lang w:val="en-GB"/>
        </w:rPr>
      </w:pPr>
      <w:r w:rsidRPr="00650AE6">
        <w:rPr>
          <w:rFonts w:cs="Times New Roman"/>
          <w:lang w:val="en-GB"/>
        </w:rPr>
        <w:t>Respondents’ gender and type of secondary school studies were also determined (see Tab. 1 and Tab 2). Nearly 2/3 of women responded to the surveys. In the Type 2, this can be explained by the type of secondary schools that participated in the survey.</w:t>
      </w:r>
    </w:p>
    <w:p w:rsidR="00DE6490" w:rsidRPr="00650AE6" w:rsidRDefault="00DE6490" w:rsidP="00DE6490">
      <w:pPr>
        <w:pStyle w:val="textEM"/>
        <w:rPr>
          <w:rFonts w:cs="Times New Roman"/>
          <w:lang w:val="en"/>
        </w:rPr>
      </w:pPr>
      <w:r w:rsidRPr="00650AE6">
        <w:rPr>
          <w:rFonts w:cs="Times New Roman"/>
          <w:lang w:val="en"/>
        </w:rPr>
        <w:t>The criteria for research were defined, which indicated that they had to be students of first and second years of university and fourth year of secondary school with a school-leaving exam who wanted to study at universities. After determining these criteria, a sample of respondents for testing using statistical tables was determined. Because of the inability to get the base file size from publicly available data, the size of the base file is not taken into account. Therefore, the formula for an unknown composition was used:</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DE6490" w:rsidRPr="00650AE6" w:rsidTr="00650AE6">
        <w:tc>
          <w:tcPr>
            <w:tcW w:w="4531" w:type="dxa"/>
            <w:vAlign w:val="center"/>
          </w:tcPr>
          <w:p w:rsidR="00DE6490" w:rsidRPr="00650AE6" w:rsidRDefault="00DE6490" w:rsidP="00650AE6">
            <w:pPr>
              <w:pStyle w:val="textEM"/>
              <w:ind w:firstLine="0"/>
              <w:jc w:val="center"/>
              <w:rPr>
                <w:rFonts w:cs="Times New Roman"/>
                <w:lang w:val="en"/>
              </w:rPr>
            </w:pPr>
            <w:r w:rsidRPr="00650AE6">
              <w:rPr>
                <w:rFonts w:cs="Times New Roman"/>
                <w:noProof/>
                <w:color w:val="70AD47" w:themeColor="accent6"/>
                <w:sz w:val="26"/>
                <w:szCs w:val="26"/>
                <w:lang w:eastAsia="cs-CZ"/>
              </w:rPr>
              <w:drawing>
                <wp:inline distT="0" distB="0" distL="0" distR="0" wp14:anchorId="05AB6FD1" wp14:editId="1CED6AB0">
                  <wp:extent cx="1630907" cy="771099"/>
                  <wp:effectExtent l="0" t="0" r="762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01.gif"/>
                          <pic:cNvPicPr/>
                        </pic:nvPicPr>
                        <pic:blipFill>
                          <a:blip r:embed="rId5">
                            <a:extLst>
                              <a:ext uri="{28A0092B-C50C-407E-A947-70E740481C1C}">
                                <a14:useLocalDpi xmlns:a14="http://schemas.microsoft.com/office/drawing/2010/main" val="0"/>
                              </a:ext>
                            </a:extLst>
                          </a:blip>
                          <a:stretch>
                            <a:fillRect/>
                          </a:stretch>
                        </pic:blipFill>
                        <pic:spPr>
                          <a:xfrm>
                            <a:off x="0" y="0"/>
                            <a:ext cx="1643198" cy="776910"/>
                          </a:xfrm>
                          <a:prstGeom prst="rect">
                            <a:avLst/>
                          </a:prstGeom>
                        </pic:spPr>
                      </pic:pic>
                    </a:graphicData>
                  </a:graphic>
                </wp:inline>
              </w:drawing>
            </w:r>
          </w:p>
        </w:tc>
        <w:tc>
          <w:tcPr>
            <w:tcW w:w="4531" w:type="dxa"/>
            <w:vAlign w:val="center"/>
          </w:tcPr>
          <w:p w:rsidR="00DE6490" w:rsidRPr="00650AE6" w:rsidRDefault="00DE6490" w:rsidP="00650AE6">
            <w:pPr>
              <w:pStyle w:val="textEM"/>
              <w:ind w:firstLine="0"/>
              <w:jc w:val="right"/>
              <w:rPr>
                <w:rFonts w:cs="Times New Roman"/>
                <w:lang w:val="en"/>
              </w:rPr>
            </w:pPr>
            <w:r w:rsidRPr="00650AE6">
              <w:rPr>
                <w:rFonts w:cs="Times New Roman"/>
                <w:lang w:val="en"/>
              </w:rPr>
              <w:t>(1)</w:t>
            </w:r>
          </w:p>
        </w:tc>
      </w:tr>
    </w:tbl>
    <w:p w:rsidR="00DE6490" w:rsidRPr="00650AE6" w:rsidRDefault="00DE6490" w:rsidP="00DE6490">
      <w:pPr>
        <w:pStyle w:val="textEM"/>
        <w:rPr>
          <w:rFonts w:cs="Times New Roman"/>
          <w:lang w:val="en-GB"/>
        </w:rPr>
      </w:pPr>
      <w:r w:rsidRPr="00650AE6">
        <w:rPr>
          <w:rFonts w:cs="Times New Roman"/>
          <w:lang w:val="en-GB"/>
        </w:rPr>
        <w:t>where:</w:t>
      </w:r>
    </w:p>
    <w:p w:rsidR="00DE6490" w:rsidRPr="005719FE" w:rsidRDefault="00DE6490" w:rsidP="00DE6490">
      <w:pPr>
        <w:spacing w:after="0" w:line="240" w:lineRule="auto"/>
        <w:ind w:firstLine="284"/>
        <w:rPr>
          <w:rFonts w:ascii="Times New Roman" w:hAnsi="Times New Roman" w:cs="Times New Roman"/>
          <w:iCs/>
          <w:sz w:val="24"/>
          <w:szCs w:val="26"/>
        </w:rPr>
      </w:pPr>
      <w:r w:rsidRPr="005719FE">
        <w:rPr>
          <w:rFonts w:ascii="Times New Roman" w:hAnsi="Times New Roman" w:cs="Times New Roman"/>
          <w:iCs/>
          <w:sz w:val="24"/>
          <w:szCs w:val="26"/>
        </w:rPr>
        <w:t>z - requested confidence level</w:t>
      </w:r>
    </w:p>
    <w:p w:rsidR="00DE6490" w:rsidRPr="005719FE" w:rsidRDefault="00DE6490" w:rsidP="00DE6490">
      <w:pPr>
        <w:spacing w:after="0" w:line="240" w:lineRule="auto"/>
        <w:ind w:firstLine="284"/>
        <w:rPr>
          <w:rFonts w:ascii="Times New Roman" w:hAnsi="Times New Roman" w:cs="Times New Roman"/>
          <w:iCs/>
          <w:sz w:val="24"/>
          <w:szCs w:val="26"/>
        </w:rPr>
      </w:pPr>
      <w:r w:rsidRPr="005719FE">
        <w:rPr>
          <w:rFonts w:ascii="Times New Roman" w:hAnsi="Times New Roman" w:cs="Times New Roman"/>
          <w:iCs/>
          <w:sz w:val="24"/>
          <w:szCs w:val="26"/>
        </w:rPr>
        <w:t>d – standard deviation</w:t>
      </w:r>
    </w:p>
    <w:p w:rsidR="00DE6490" w:rsidRPr="005719FE" w:rsidRDefault="00DE6490" w:rsidP="00DE6490">
      <w:pPr>
        <w:spacing w:after="0" w:line="240" w:lineRule="auto"/>
        <w:ind w:firstLine="284"/>
        <w:rPr>
          <w:rFonts w:ascii="Times New Roman" w:hAnsi="Times New Roman" w:cs="Times New Roman"/>
          <w:sz w:val="24"/>
          <w:szCs w:val="26"/>
        </w:rPr>
      </w:pPr>
      <w:r w:rsidRPr="005719FE">
        <w:rPr>
          <w:rFonts w:ascii="Times New Roman" w:hAnsi="Times New Roman" w:cs="Times New Roman"/>
          <w:iCs/>
          <w:sz w:val="24"/>
          <w:szCs w:val="26"/>
        </w:rPr>
        <w:t>r – expected deviation</w:t>
      </w:r>
    </w:p>
    <w:p w:rsidR="00DE6490" w:rsidRPr="00650AE6" w:rsidRDefault="00DE6490" w:rsidP="00DE6490">
      <w:pPr>
        <w:pStyle w:val="textEM"/>
        <w:rPr>
          <w:rFonts w:cs="Times New Roman"/>
          <w:lang w:val="en-GB"/>
        </w:rPr>
      </w:pPr>
    </w:p>
    <w:p w:rsidR="00DE6490" w:rsidRPr="00650AE6" w:rsidRDefault="00DE6490" w:rsidP="00DE6490">
      <w:pPr>
        <w:pStyle w:val="textEM"/>
        <w:rPr>
          <w:rFonts w:cs="Times New Roman"/>
          <w:lang w:val="en-GB"/>
        </w:rPr>
      </w:pPr>
      <w:r w:rsidRPr="00650AE6">
        <w:rPr>
          <w:rFonts w:cs="Times New Roman"/>
          <w:lang w:val="en-GB"/>
        </w:rPr>
        <w:t>that is, for a d = 50%, a 95% degree of certainty and a 4% discrepancy expected by us, it was calculated that in order for research to be representative according to the criteria chosen by us, 600 or more respondents should be involved in the research.</w:t>
      </w:r>
    </w:p>
    <w:p w:rsidR="00DE6490" w:rsidRPr="00650AE6" w:rsidRDefault="00DE6490" w:rsidP="00DE6490">
      <w:pPr>
        <w:pStyle w:val="textEM"/>
        <w:rPr>
          <w:rFonts w:cs="Times New Roman"/>
          <w:lang w:val="en-GB"/>
        </w:rPr>
      </w:pPr>
      <w:r w:rsidRPr="00650AE6">
        <w:rPr>
          <w:rFonts w:cs="Times New Roman"/>
          <w:lang w:val="en-GB"/>
        </w:rPr>
        <w:t>It corresponded to 505 high school students who are planning to apply for a university, and 330 respondents said they were studying the 1st or 2nd year of the Bachelor's degree program. This means that 835 questionnaires were processed. Furthermore, the completeness of the questionnaires was checked. Fully completed and further processed questionnaires were 708, which is a sufficiently representative sample according to the above test.</w:t>
      </w:r>
    </w:p>
    <w:p w:rsidR="00DE6490" w:rsidRPr="00650AE6" w:rsidRDefault="00DE6490" w:rsidP="00DE6490">
      <w:pPr>
        <w:pStyle w:val="textEM"/>
        <w:rPr>
          <w:rFonts w:cs="Times New Roman"/>
          <w:lang w:val="en-GB"/>
        </w:rPr>
      </w:pPr>
    </w:p>
    <w:p w:rsidR="00DE6490" w:rsidRPr="005719FE" w:rsidRDefault="00DE6490" w:rsidP="008D13DD">
      <w:pPr>
        <w:pStyle w:val="Titulek"/>
      </w:pPr>
      <w:r w:rsidRPr="005719FE">
        <w:t xml:space="preserve">Tab. </w:t>
      </w:r>
      <w:fldSimple w:instr=" SEQ Tab. \* ARABIC ">
        <w:r w:rsidRPr="005719FE">
          <w:rPr>
            <w:noProof/>
          </w:rPr>
          <w:t>1</w:t>
        </w:r>
      </w:fldSimple>
      <w:r w:rsidRPr="005719FE">
        <w:t>: Gender of Respondents</w:t>
      </w:r>
    </w:p>
    <w:tbl>
      <w:tblPr>
        <w:tblW w:w="5100" w:type="dxa"/>
        <w:tblInd w:w="284" w:type="dxa"/>
        <w:tblCellMar>
          <w:left w:w="70" w:type="dxa"/>
          <w:right w:w="70" w:type="dxa"/>
        </w:tblCellMar>
        <w:tblLook w:val="04A0" w:firstRow="1" w:lastRow="0" w:firstColumn="1" w:lastColumn="0" w:noHBand="0" w:noVBand="1"/>
      </w:tblPr>
      <w:tblGrid>
        <w:gridCol w:w="992"/>
        <w:gridCol w:w="1058"/>
        <w:gridCol w:w="996"/>
        <w:gridCol w:w="1058"/>
        <w:gridCol w:w="996"/>
      </w:tblGrid>
      <w:tr w:rsidR="00DE6490" w:rsidRPr="00650AE6" w:rsidTr="00C642E4">
        <w:trPr>
          <w:trHeight w:val="315"/>
        </w:trPr>
        <w:tc>
          <w:tcPr>
            <w:tcW w:w="992" w:type="dxa"/>
            <w:tcBorders>
              <w:top w:val="nil"/>
              <w:left w:val="nil"/>
              <w:bottom w:val="nil"/>
              <w:right w:val="nil"/>
            </w:tcBorders>
            <w:shd w:val="clear" w:color="auto" w:fill="auto"/>
            <w:noWrap/>
            <w:vAlign w:val="bottom"/>
            <w:hideMark/>
          </w:tcPr>
          <w:p w:rsidR="00DE6490" w:rsidRPr="00650AE6" w:rsidRDefault="00DE6490" w:rsidP="00C642E4">
            <w:pPr>
              <w:keepNext/>
              <w:keepLines/>
              <w:spacing w:after="0" w:line="240" w:lineRule="auto"/>
              <w:ind w:right="-249"/>
              <w:rPr>
                <w:rFonts w:ascii="Times New Roman" w:eastAsia="Times New Roman" w:hAnsi="Times New Roman" w:cs="Times New Roman"/>
                <w:color w:val="000000"/>
                <w:sz w:val="20"/>
                <w:szCs w:val="18"/>
                <w:lang w:val="en-GB" w:eastAsia="cs-CZ"/>
              </w:rPr>
            </w:pPr>
          </w:p>
        </w:tc>
        <w:tc>
          <w:tcPr>
            <w:tcW w:w="205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Male</w:t>
            </w:r>
          </w:p>
        </w:tc>
        <w:tc>
          <w:tcPr>
            <w:tcW w:w="2054" w:type="dxa"/>
            <w:gridSpan w:val="2"/>
            <w:tcBorders>
              <w:top w:val="single" w:sz="4" w:space="0" w:color="auto"/>
              <w:left w:val="nil"/>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Female</w:t>
            </w:r>
          </w:p>
        </w:tc>
      </w:tr>
      <w:tr w:rsidR="00DE6490" w:rsidRPr="00650AE6" w:rsidTr="00C642E4">
        <w:trPr>
          <w:trHeight w:val="315"/>
        </w:trPr>
        <w:tc>
          <w:tcPr>
            <w:tcW w:w="992" w:type="dxa"/>
            <w:tcBorders>
              <w:top w:val="nil"/>
              <w:left w:val="nil"/>
              <w:bottom w:val="nil"/>
              <w:right w:val="nil"/>
            </w:tcBorders>
            <w:shd w:val="clear" w:color="auto" w:fill="auto"/>
            <w:noWrap/>
            <w:vAlign w:val="bottom"/>
            <w:hideMark/>
          </w:tcPr>
          <w:p w:rsidR="00DE6490" w:rsidRPr="00650AE6" w:rsidRDefault="00DE6490" w:rsidP="00650AE6">
            <w:pPr>
              <w:keepNext/>
              <w:keepLines/>
              <w:spacing w:after="0" w:line="240" w:lineRule="auto"/>
              <w:rPr>
                <w:rFonts w:ascii="Times New Roman" w:eastAsia="Times New Roman" w:hAnsi="Times New Roman" w:cs="Times New Roman"/>
                <w:color w:val="000000"/>
                <w:sz w:val="20"/>
                <w:szCs w:val="18"/>
                <w:lang w:val="en-GB" w:eastAsia="cs-CZ"/>
              </w:rPr>
            </w:pPr>
          </w:p>
        </w:tc>
        <w:tc>
          <w:tcPr>
            <w:tcW w:w="10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Absolute value</w:t>
            </w:r>
          </w:p>
        </w:tc>
        <w:tc>
          <w:tcPr>
            <w:tcW w:w="996" w:type="dxa"/>
            <w:tcBorders>
              <w:top w:val="single" w:sz="4" w:space="0" w:color="auto"/>
              <w:left w:val="nil"/>
              <w:bottom w:val="single" w:sz="4" w:space="0" w:color="auto"/>
              <w:right w:val="single" w:sz="4" w:space="0" w:color="auto"/>
            </w:tcBorders>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Relative value</w:t>
            </w:r>
          </w:p>
        </w:tc>
        <w:tc>
          <w:tcPr>
            <w:tcW w:w="10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Absolute value</w:t>
            </w:r>
          </w:p>
        </w:tc>
        <w:tc>
          <w:tcPr>
            <w:tcW w:w="996" w:type="dxa"/>
            <w:tcBorders>
              <w:top w:val="single" w:sz="4" w:space="0" w:color="auto"/>
              <w:left w:val="nil"/>
              <w:bottom w:val="single" w:sz="4" w:space="0" w:color="auto"/>
              <w:right w:val="single" w:sz="4" w:space="0" w:color="auto"/>
            </w:tcBorders>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Relative value</w:t>
            </w:r>
          </w:p>
        </w:tc>
      </w:tr>
      <w:tr w:rsidR="00DE6490" w:rsidRPr="00650AE6" w:rsidTr="00C642E4">
        <w:trPr>
          <w:trHeight w:val="315"/>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Type 1</w:t>
            </w:r>
          </w:p>
        </w:tc>
        <w:tc>
          <w:tcPr>
            <w:tcW w:w="1058" w:type="dxa"/>
            <w:tcBorders>
              <w:top w:val="nil"/>
              <w:left w:val="nil"/>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76</w:t>
            </w:r>
          </w:p>
        </w:tc>
        <w:tc>
          <w:tcPr>
            <w:tcW w:w="996" w:type="dxa"/>
            <w:tcBorders>
              <w:top w:val="single" w:sz="4" w:space="0" w:color="auto"/>
              <w:left w:val="nil"/>
              <w:bottom w:val="single" w:sz="4" w:space="0" w:color="auto"/>
              <w:right w:val="single" w:sz="4" w:space="0" w:color="auto"/>
            </w:tcBorders>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29%</w:t>
            </w:r>
          </w:p>
        </w:tc>
        <w:tc>
          <w:tcPr>
            <w:tcW w:w="10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183</w:t>
            </w:r>
          </w:p>
        </w:tc>
        <w:tc>
          <w:tcPr>
            <w:tcW w:w="996" w:type="dxa"/>
            <w:tcBorders>
              <w:top w:val="nil"/>
              <w:left w:val="nil"/>
              <w:bottom w:val="single" w:sz="4" w:space="0" w:color="auto"/>
              <w:right w:val="single" w:sz="4" w:space="0" w:color="auto"/>
            </w:tcBorders>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71%</w:t>
            </w:r>
          </w:p>
        </w:tc>
      </w:tr>
      <w:tr w:rsidR="00DE6490" w:rsidRPr="00650AE6" w:rsidTr="00C642E4">
        <w:trPr>
          <w:trHeight w:val="315"/>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Type 2</w:t>
            </w:r>
          </w:p>
        </w:tc>
        <w:tc>
          <w:tcPr>
            <w:tcW w:w="1058" w:type="dxa"/>
            <w:tcBorders>
              <w:top w:val="nil"/>
              <w:left w:val="nil"/>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122</w:t>
            </w:r>
          </w:p>
        </w:tc>
        <w:tc>
          <w:tcPr>
            <w:tcW w:w="996" w:type="dxa"/>
            <w:tcBorders>
              <w:top w:val="single" w:sz="4" w:space="0" w:color="auto"/>
              <w:left w:val="nil"/>
              <w:bottom w:val="single" w:sz="4" w:space="0" w:color="auto"/>
              <w:right w:val="single" w:sz="4" w:space="0" w:color="auto"/>
            </w:tcBorders>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27%</w:t>
            </w:r>
          </w:p>
        </w:tc>
        <w:tc>
          <w:tcPr>
            <w:tcW w:w="10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327</w:t>
            </w:r>
          </w:p>
        </w:tc>
        <w:tc>
          <w:tcPr>
            <w:tcW w:w="996" w:type="dxa"/>
            <w:tcBorders>
              <w:top w:val="nil"/>
              <w:left w:val="nil"/>
              <w:bottom w:val="single" w:sz="4" w:space="0" w:color="auto"/>
              <w:right w:val="single" w:sz="4" w:space="0" w:color="auto"/>
            </w:tcBorders>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73%</w:t>
            </w:r>
          </w:p>
        </w:tc>
      </w:tr>
    </w:tbl>
    <w:p w:rsidR="00DE6490" w:rsidRPr="005719FE" w:rsidRDefault="00DE6490" w:rsidP="005719FE">
      <w:pPr>
        <w:spacing w:after="0" w:line="240" w:lineRule="auto"/>
        <w:ind w:firstLine="4253"/>
        <w:rPr>
          <w:rFonts w:ascii="Times New Roman" w:hAnsi="Times New Roman" w:cs="Times New Roman"/>
          <w:i/>
          <w:color w:val="000000"/>
          <w:shd w:val="clear" w:color="auto" w:fill="FFFFFF"/>
          <w:lang w:val="en-GB"/>
        </w:rPr>
      </w:pPr>
      <w:r w:rsidRPr="005719FE">
        <w:rPr>
          <w:rFonts w:ascii="Times New Roman" w:hAnsi="Times New Roman" w:cs="Times New Roman"/>
          <w:i/>
          <w:color w:val="000000"/>
          <w:shd w:val="clear" w:color="auto" w:fill="FFFFFF"/>
          <w:lang w:val="en-GB"/>
        </w:rPr>
        <w:t>Source: own</w:t>
      </w:r>
    </w:p>
    <w:p w:rsidR="00DE6490" w:rsidRPr="00650AE6" w:rsidRDefault="00DE6490" w:rsidP="00DE6490">
      <w:pPr>
        <w:spacing w:after="0" w:line="240" w:lineRule="auto"/>
        <w:ind w:firstLine="284"/>
        <w:jc w:val="both"/>
        <w:rPr>
          <w:rFonts w:ascii="Times New Roman" w:hAnsi="Times New Roman" w:cs="Times New Roman"/>
          <w:color w:val="000000"/>
          <w:sz w:val="20"/>
          <w:szCs w:val="20"/>
          <w:shd w:val="clear" w:color="auto" w:fill="FFFFFF"/>
          <w:lang w:val="en-GB"/>
        </w:rPr>
      </w:pPr>
    </w:p>
    <w:p w:rsidR="00DE6490" w:rsidRPr="005719FE" w:rsidRDefault="00DE6490" w:rsidP="008D13DD">
      <w:pPr>
        <w:pStyle w:val="Titulek"/>
      </w:pPr>
      <w:r w:rsidRPr="005719FE">
        <w:t xml:space="preserve">Tab. </w:t>
      </w:r>
      <w:fldSimple w:instr=" SEQ Tab. \* ARABIC ">
        <w:r w:rsidRPr="005719FE">
          <w:rPr>
            <w:noProof/>
          </w:rPr>
          <w:t>2</w:t>
        </w:r>
      </w:fldSimple>
      <w:r w:rsidRPr="005719FE">
        <w:t>: Studied type of high school</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72"/>
        <w:gridCol w:w="629"/>
        <w:gridCol w:w="851"/>
        <w:gridCol w:w="567"/>
        <w:gridCol w:w="709"/>
        <w:gridCol w:w="708"/>
        <w:gridCol w:w="851"/>
        <w:gridCol w:w="850"/>
        <w:gridCol w:w="851"/>
        <w:gridCol w:w="709"/>
        <w:gridCol w:w="708"/>
      </w:tblGrid>
      <w:tr w:rsidR="00DE6490" w:rsidRPr="00650AE6" w:rsidTr="00650AE6">
        <w:trPr>
          <w:cantSplit/>
          <w:trHeight w:val="770"/>
          <w:jc w:val="center"/>
        </w:trPr>
        <w:tc>
          <w:tcPr>
            <w:tcW w:w="1072" w:type="dxa"/>
            <w:shd w:val="clear" w:color="auto" w:fill="auto"/>
            <w:noWrap/>
            <w:vAlign w:val="center"/>
            <w:hideMark/>
          </w:tcPr>
          <w:p w:rsidR="00DE6490" w:rsidRPr="005719FE" w:rsidRDefault="00DE6490" w:rsidP="00650AE6">
            <w:pPr>
              <w:keepNext/>
              <w:keepLines/>
              <w:spacing w:after="0" w:line="240" w:lineRule="auto"/>
              <w:rPr>
                <w:rFonts w:ascii="Times New Roman" w:eastAsia="Times New Roman" w:hAnsi="Times New Roman" w:cs="Times New Roman"/>
                <w:b/>
                <w:iCs/>
                <w:color w:val="000000"/>
                <w:sz w:val="24"/>
                <w:szCs w:val="18"/>
                <w:lang w:val="en-GB" w:eastAsia="cs-CZ"/>
              </w:rPr>
            </w:pPr>
            <w:r w:rsidRPr="005719FE">
              <w:rPr>
                <w:rFonts w:ascii="Times New Roman" w:eastAsia="Times New Roman" w:hAnsi="Times New Roman" w:cs="Times New Roman"/>
                <w:b/>
                <w:iCs/>
                <w:color w:val="000000"/>
                <w:sz w:val="24"/>
                <w:szCs w:val="18"/>
                <w:lang w:val="en-GB" w:eastAsia="cs-CZ"/>
              </w:rPr>
              <w:t>Type of school</w:t>
            </w:r>
          </w:p>
        </w:tc>
        <w:tc>
          <w:tcPr>
            <w:tcW w:w="1480" w:type="dxa"/>
            <w:gridSpan w:val="2"/>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Gymnasium</w:t>
            </w:r>
          </w:p>
        </w:tc>
        <w:tc>
          <w:tcPr>
            <w:tcW w:w="1276" w:type="dxa"/>
            <w:gridSpan w:val="2"/>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Dual education system</w:t>
            </w:r>
          </w:p>
        </w:tc>
        <w:tc>
          <w:tcPr>
            <w:tcW w:w="1559" w:type="dxa"/>
            <w:gridSpan w:val="2"/>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Secondary Industrial School</w:t>
            </w:r>
          </w:p>
        </w:tc>
        <w:tc>
          <w:tcPr>
            <w:tcW w:w="1701" w:type="dxa"/>
            <w:gridSpan w:val="2"/>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Business Academy</w:t>
            </w:r>
          </w:p>
        </w:tc>
        <w:tc>
          <w:tcPr>
            <w:tcW w:w="1417" w:type="dxa"/>
            <w:gridSpan w:val="2"/>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b/>
                <w:color w:val="000000"/>
                <w:sz w:val="24"/>
                <w:szCs w:val="18"/>
                <w:lang w:val="en-GB" w:eastAsia="cs-CZ"/>
              </w:rPr>
            </w:pPr>
            <w:r w:rsidRPr="005719FE">
              <w:rPr>
                <w:rFonts w:ascii="Times New Roman" w:eastAsia="Times New Roman" w:hAnsi="Times New Roman" w:cs="Times New Roman"/>
                <w:b/>
                <w:color w:val="000000"/>
                <w:sz w:val="24"/>
                <w:szCs w:val="18"/>
                <w:lang w:val="en-GB" w:eastAsia="cs-CZ"/>
              </w:rPr>
              <w:t>Others</w:t>
            </w:r>
          </w:p>
        </w:tc>
      </w:tr>
      <w:tr w:rsidR="00DE6490" w:rsidRPr="00650AE6" w:rsidTr="00650AE6">
        <w:trPr>
          <w:trHeight w:val="300"/>
          <w:jc w:val="center"/>
        </w:trPr>
        <w:tc>
          <w:tcPr>
            <w:tcW w:w="1072" w:type="dxa"/>
            <w:shd w:val="clear" w:color="auto" w:fill="auto"/>
            <w:noWrap/>
            <w:vAlign w:val="center"/>
            <w:hideMark/>
          </w:tcPr>
          <w:p w:rsidR="00DE6490" w:rsidRPr="005719FE" w:rsidRDefault="00DE6490" w:rsidP="00650AE6">
            <w:pPr>
              <w:keepNext/>
              <w:keepLines/>
              <w:spacing w:after="0" w:line="240" w:lineRule="auto"/>
              <w:rPr>
                <w:rFonts w:ascii="Times New Roman" w:eastAsia="Times New Roman" w:hAnsi="Times New Roman" w:cs="Times New Roman"/>
                <w:iCs/>
                <w:color w:val="000000"/>
                <w:sz w:val="24"/>
                <w:szCs w:val="18"/>
                <w:lang w:val="en-GB" w:eastAsia="cs-CZ"/>
              </w:rPr>
            </w:pPr>
            <w:r w:rsidRPr="005719FE">
              <w:rPr>
                <w:rFonts w:ascii="Times New Roman" w:eastAsia="Times New Roman" w:hAnsi="Times New Roman" w:cs="Times New Roman"/>
                <w:iCs/>
                <w:color w:val="000000"/>
                <w:sz w:val="24"/>
                <w:szCs w:val="18"/>
                <w:lang w:val="en-GB" w:eastAsia="cs-CZ"/>
              </w:rPr>
              <w:t>Type 1</w:t>
            </w:r>
          </w:p>
        </w:tc>
        <w:tc>
          <w:tcPr>
            <w:tcW w:w="629"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111</w:t>
            </w:r>
          </w:p>
        </w:tc>
        <w:tc>
          <w:tcPr>
            <w:tcW w:w="851"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42,9%</w:t>
            </w:r>
          </w:p>
        </w:tc>
        <w:tc>
          <w:tcPr>
            <w:tcW w:w="567"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75</w:t>
            </w:r>
          </w:p>
        </w:tc>
        <w:tc>
          <w:tcPr>
            <w:tcW w:w="709"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29%</w:t>
            </w:r>
          </w:p>
        </w:tc>
        <w:tc>
          <w:tcPr>
            <w:tcW w:w="708"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12</w:t>
            </w:r>
          </w:p>
        </w:tc>
        <w:tc>
          <w:tcPr>
            <w:tcW w:w="851"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4,6%</w:t>
            </w:r>
          </w:p>
        </w:tc>
        <w:tc>
          <w:tcPr>
            <w:tcW w:w="850"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52</w:t>
            </w:r>
          </w:p>
        </w:tc>
        <w:tc>
          <w:tcPr>
            <w:tcW w:w="851"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20,1%</w:t>
            </w:r>
          </w:p>
        </w:tc>
        <w:tc>
          <w:tcPr>
            <w:tcW w:w="709"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9</w:t>
            </w:r>
          </w:p>
        </w:tc>
        <w:tc>
          <w:tcPr>
            <w:tcW w:w="708"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3,5%</w:t>
            </w:r>
          </w:p>
        </w:tc>
      </w:tr>
      <w:tr w:rsidR="00DE6490" w:rsidRPr="00650AE6" w:rsidTr="00650AE6">
        <w:trPr>
          <w:trHeight w:val="300"/>
          <w:jc w:val="center"/>
        </w:trPr>
        <w:tc>
          <w:tcPr>
            <w:tcW w:w="1072" w:type="dxa"/>
            <w:shd w:val="clear" w:color="auto" w:fill="auto"/>
            <w:noWrap/>
            <w:vAlign w:val="center"/>
            <w:hideMark/>
          </w:tcPr>
          <w:p w:rsidR="00DE6490" w:rsidRPr="005719FE" w:rsidRDefault="00DE6490" w:rsidP="00650AE6">
            <w:pPr>
              <w:keepNext/>
              <w:keepLines/>
              <w:spacing w:after="0" w:line="240" w:lineRule="auto"/>
              <w:rPr>
                <w:rFonts w:ascii="Times New Roman" w:eastAsia="Times New Roman" w:hAnsi="Times New Roman" w:cs="Times New Roman"/>
                <w:iCs/>
                <w:color w:val="000000"/>
                <w:sz w:val="24"/>
                <w:szCs w:val="18"/>
                <w:lang w:val="en-GB" w:eastAsia="cs-CZ"/>
              </w:rPr>
            </w:pPr>
            <w:r w:rsidRPr="005719FE">
              <w:rPr>
                <w:rFonts w:ascii="Times New Roman" w:eastAsia="Times New Roman" w:hAnsi="Times New Roman" w:cs="Times New Roman"/>
                <w:iCs/>
                <w:color w:val="000000"/>
                <w:sz w:val="24"/>
                <w:szCs w:val="18"/>
                <w:lang w:val="en-GB" w:eastAsia="cs-CZ"/>
              </w:rPr>
              <w:t>Type 2</w:t>
            </w:r>
          </w:p>
        </w:tc>
        <w:tc>
          <w:tcPr>
            <w:tcW w:w="629"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199</w:t>
            </w:r>
          </w:p>
        </w:tc>
        <w:tc>
          <w:tcPr>
            <w:tcW w:w="851"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44,3%</w:t>
            </w:r>
          </w:p>
        </w:tc>
        <w:tc>
          <w:tcPr>
            <w:tcW w:w="567"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24</w:t>
            </w:r>
          </w:p>
        </w:tc>
        <w:tc>
          <w:tcPr>
            <w:tcW w:w="709"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5,3%</w:t>
            </w:r>
          </w:p>
        </w:tc>
        <w:tc>
          <w:tcPr>
            <w:tcW w:w="708"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35</w:t>
            </w:r>
          </w:p>
        </w:tc>
        <w:tc>
          <w:tcPr>
            <w:tcW w:w="851"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7,8%</w:t>
            </w:r>
          </w:p>
        </w:tc>
        <w:tc>
          <w:tcPr>
            <w:tcW w:w="850"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189</w:t>
            </w:r>
          </w:p>
        </w:tc>
        <w:tc>
          <w:tcPr>
            <w:tcW w:w="851" w:type="dxa"/>
            <w:vAlign w:val="center"/>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42,1%</w:t>
            </w:r>
          </w:p>
        </w:tc>
        <w:tc>
          <w:tcPr>
            <w:tcW w:w="709"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2</w:t>
            </w:r>
          </w:p>
        </w:tc>
        <w:tc>
          <w:tcPr>
            <w:tcW w:w="708" w:type="dxa"/>
            <w:shd w:val="clear" w:color="auto" w:fill="auto"/>
            <w:noWrap/>
            <w:vAlign w:val="center"/>
            <w:hideMark/>
          </w:tcPr>
          <w:p w:rsidR="00DE6490" w:rsidRPr="005719FE" w:rsidRDefault="00DE6490" w:rsidP="00650AE6">
            <w:pPr>
              <w:keepNext/>
              <w:keepLines/>
              <w:spacing w:after="0" w:line="240" w:lineRule="auto"/>
              <w:jc w:val="center"/>
              <w:rPr>
                <w:rFonts w:ascii="Times New Roman" w:eastAsia="Times New Roman" w:hAnsi="Times New Roman" w:cs="Times New Roman"/>
                <w:color w:val="000000"/>
                <w:sz w:val="24"/>
                <w:szCs w:val="18"/>
                <w:lang w:val="en-GB" w:eastAsia="cs-CZ"/>
              </w:rPr>
            </w:pPr>
            <w:r w:rsidRPr="005719FE">
              <w:rPr>
                <w:rFonts w:ascii="Times New Roman" w:eastAsia="Times New Roman" w:hAnsi="Times New Roman" w:cs="Times New Roman"/>
                <w:color w:val="000000"/>
                <w:sz w:val="24"/>
                <w:szCs w:val="18"/>
                <w:lang w:val="en-GB" w:eastAsia="cs-CZ"/>
              </w:rPr>
              <w:t>0,4%</w:t>
            </w:r>
          </w:p>
        </w:tc>
      </w:tr>
    </w:tbl>
    <w:p w:rsidR="00DE6490" w:rsidRPr="005719FE" w:rsidRDefault="00DE6490" w:rsidP="005719FE">
      <w:pPr>
        <w:pStyle w:val="textEM"/>
        <w:jc w:val="right"/>
        <w:rPr>
          <w:rFonts w:cs="Times New Roman"/>
          <w:i/>
          <w:sz w:val="22"/>
          <w:szCs w:val="16"/>
          <w:lang w:val="en-GB"/>
        </w:rPr>
      </w:pPr>
      <w:r w:rsidRPr="005719FE">
        <w:rPr>
          <w:rFonts w:cs="Times New Roman"/>
          <w:i/>
          <w:sz w:val="22"/>
          <w:szCs w:val="16"/>
          <w:lang w:val="en-GB"/>
        </w:rPr>
        <w:t>Source: own</w:t>
      </w:r>
    </w:p>
    <w:p w:rsidR="00DE6490" w:rsidRPr="00650AE6" w:rsidRDefault="00DE6490" w:rsidP="00DE6490">
      <w:pPr>
        <w:pStyle w:val="textEM"/>
        <w:rPr>
          <w:rFonts w:cs="Times New Roman"/>
          <w:lang w:val="en-GB"/>
        </w:rPr>
      </w:pPr>
    </w:p>
    <w:p w:rsidR="00DE6490" w:rsidRPr="00650AE6" w:rsidRDefault="00DE6490" w:rsidP="00DE6490">
      <w:pPr>
        <w:pStyle w:val="textEM"/>
        <w:rPr>
          <w:rFonts w:cs="Times New Roman"/>
          <w:lang w:val="en-GB"/>
        </w:rPr>
      </w:pPr>
      <w:r w:rsidRPr="00650AE6">
        <w:rPr>
          <w:rFonts w:cs="Times New Roman"/>
          <w:lang w:val="en-GB"/>
        </w:rPr>
        <w:t>A combination of hierarchical and non-hierarchical clustering methods was used for the clustering. The advantage of hierarchical methods is that information on the optimum number of clusters is not needed in the clustering process; this number is determined later. In this clustering two basic problems arise:</w:t>
      </w:r>
    </w:p>
    <w:p w:rsidR="00DE6490" w:rsidRPr="00650AE6" w:rsidRDefault="00DE6490" w:rsidP="005719FE">
      <w:pPr>
        <w:pStyle w:val="textEM"/>
        <w:numPr>
          <w:ilvl w:val="0"/>
          <w:numId w:val="11"/>
        </w:numPr>
        <w:ind w:left="851" w:hanging="567"/>
        <w:rPr>
          <w:rFonts w:cs="Times New Roman"/>
          <w:lang w:val="en-GB"/>
        </w:rPr>
      </w:pPr>
      <w:r w:rsidRPr="00650AE6">
        <w:rPr>
          <w:rFonts w:cs="Times New Roman"/>
          <w:lang w:val="en-GB"/>
        </w:rPr>
        <w:lastRenderedPageBreak/>
        <w:t>The method of measuring distances between objects (most often a Euclidean metric is used, which is a natural extension of the common concept of distance);</w:t>
      </w:r>
    </w:p>
    <w:p w:rsidR="00DE6490" w:rsidRPr="00650AE6" w:rsidRDefault="00DE6490" w:rsidP="005719FE">
      <w:pPr>
        <w:pStyle w:val="textEM"/>
        <w:numPr>
          <w:ilvl w:val="0"/>
          <w:numId w:val="11"/>
        </w:numPr>
        <w:ind w:left="851" w:hanging="567"/>
        <w:rPr>
          <w:rFonts w:cs="Times New Roman"/>
          <w:lang w:val="en-GB"/>
        </w:rPr>
      </w:pPr>
      <w:r w:rsidRPr="00650AE6">
        <w:rPr>
          <w:rFonts w:cs="Times New Roman"/>
          <w:lang w:val="en-GB"/>
        </w:rPr>
        <w:t>Selecting the appropriate clustering methods.</w:t>
      </w:r>
    </w:p>
    <w:p w:rsidR="00DE6490" w:rsidRPr="00650AE6" w:rsidRDefault="00DE6490" w:rsidP="00DE6490">
      <w:pPr>
        <w:pStyle w:val="textEM"/>
        <w:rPr>
          <w:rFonts w:cs="Times New Roman"/>
          <w:lang w:val="en-GB"/>
        </w:rPr>
      </w:pPr>
      <w:r w:rsidRPr="00650AE6">
        <w:rPr>
          <w:rFonts w:cs="Times New Roman"/>
          <w:lang w:val="en-GB"/>
        </w:rPr>
        <w:t xml:space="preserve">In our case, the clustering was done using an average and centroid method. The results were compared and four clusters were determined, which exhibit a relatively even distribution of the objects into clusters. For the next step, non-hierarchical clustering methods were used with a fixed number of clusters, which assign objects to clusters with an optimisation method. Clustering was performed several times with each of the methods, in a superstructural module for MS Excel MONHSA V1 (available at http://jonasova.upce.cz/) with different initial characteristic points (centre of gravity). A Euclidean metric was used for both methods. Clustering based on one of the criteria was selected; a functional sum of squared deviations, and uniformity of distribution. A K-average method was selected in both questionnaires as the most suitable method for clustering. As a check, the same calculation was also made as well with Statistica 12 software. For selected characteristics, the results are shown in the following tables and detailed analyses (results for Type 1 are shown in Tab. 3 and </w:t>
      </w:r>
      <w:r w:rsidR="008D13DD">
        <w:rPr>
          <w:rFonts w:cs="Times New Roman"/>
          <w:lang w:val="en-GB"/>
        </w:rPr>
        <w:t>5</w:t>
      </w:r>
      <w:r w:rsidRPr="00650AE6">
        <w:rPr>
          <w:rFonts w:cs="Times New Roman"/>
          <w:lang w:val="en-GB"/>
        </w:rPr>
        <w:t xml:space="preserve"> and Fig. 1; for Type 2 see tab. </w:t>
      </w:r>
      <w:r w:rsidR="008D13DD">
        <w:rPr>
          <w:rFonts w:cs="Times New Roman"/>
          <w:lang w:val="en-GB"/>
        </w:rPr>
        <w:t>4</w:t>
      </w:r>
      <w:r w:rsidRPr="00650AE6">
        <w:rPr>
          <w:rFonts w:cs="Times New Roman"/>
          <w:lang w:val="en-GB"/>
        </w:rPr>
        <w:t>). In tables 4 and 6 individual clusters of criteria are highlighted where respondents mostly replied that the criterion had influence on the decision. The criteria are ranked from the greatest to the least influence.</w:t>
      </w:r>
    </w:p>
    <w:p w:rsidR="00DE6490" w:rsidRPr="00650AE6" w:rsidRDefault="00DE6490" w:rsidP="00DE6490">
      <w:pPr>
        <w:pStyle w:val="textEM"/>
        <w:rPr>
          <w:rFonts w:cs="Times New Roman"/>
          <w:lang w:val="en-GB"/>
        </w:rPr>
      </w:pPr>
    </w:p>
    <w:p w:rsidR="00DE6490" w:rsidRPr="005719FE" w:rsidRDefault="00DE6490" w:rsidP="008D13DD">
      <w:pPr>
        <w:pStyle w:val="Titulek"/>
      </w:pPr>
      <w:r w:rsidRPr="005719FE">
        <w:t xml:space="preserve">Fig. </w:t>
      </w:r>
      <w:fldSimple w:instr=" SEQ Fig. \* ARABIC ">
        <w:r w:rsidRPr="005719FE">
          <w:rPr>
            <w:noProof/>
          </w:rPr>
          <w:t>1</w:t>
        </w:r>
      </w:fldSimple>
      <w:r w:rsidRPr="005719FE">
        <w:t>: Chart of cluster centers to compare - type 1</w:t>
      </w:r>
    </w:p>
    <w:p w:rsidR="00DE6490" w:rsidRPr="00650AE6" w:rsidRDefault="00DE6490" w:rsidP="008D13DD">
      <w:pPr>
        <w:pStyle w:val="textEM"/>
        <w:ind w:left="426" w:firstLine="0"/>
        <w:rPr>
          <w:rFonts w:cs="Times New Roman"/>
          <w:lang w:val="en-GB"/>
        </w:rPr>
      </w:pPr>
      <w:r w:rsidRPr="00650AE6">
        <w:rPr>
          <w:rFonts w:cs="Times New Roman"/>
          <w:noProof/>
          <w:lang w:eastAsia="cs-CZ"/>
        </w:rPr>
        <w:drawing>
          <wp:inline distT="0" distB="0" distL="0" distR="0" wp14:anchorId="5B229988" wp14:editId="5968EE11">
            <wp:extent cx="5438775" cy="3457575"/>
            <wp:effectExtent l="0" t="0" r="9525" b="9525"/>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DE6490" w:rsidRPr="005719FE" w:rsidRDefault="00DE6490" w:rsidP="005719FE">
      <w:pPr>
        <w:spacing w:after="0" w:line="240" w:lineRule="auto"/>
        <w:ind w:firstLine="7797"/>
        <w:rPr>
          <w:rFonts w:ascii="Times New Roman" w:hAnsi="Times New Roman" w:cs="Times New Roman"/>
          <w:color w:val="000000"/>
          <w:szCs w:val="16"/>
          <w:shd w:val="clear" w:color="auto" w:fill="FFFFFF"/>
          <w:lang w:val="en-GB"/>
        </w:rPr>
      </w:pPr>
      <w:r w:rsidRPr="005719FE">
        <w:rPr>
          <w:rFonts w:ascii="Times New Roman" w:hAnsi="Times New Roman" w:cs="Times New Roman"/>
          <w:color w:val="000000"/>
          <w:szCs w:val="16"/>
          <w:shd w:val="clear" w:color="auto" w:fill="FFFFFF"/>
          <w:lang w:val="en-GB"/>
        </w:rPr>
        <w:t>Source: own</w:t>
      </w:r>
    </w:p>
    <w:p w:rsidR="00DE6490" w:rsidRPr="00650AE6" w:rsidRDefault="00DE6490" w:rsidP="008D13DD">
      <w:pPr>
        <w:pStyle w:val="Titulek"/>
      </w:pPr>
      <w:r w:rsidRPr="00650AE6">
        <w:lastRenderedPageBreak/>
        <w:t xml:space="preserve">Tab. </w:t>
      </w:r>
      <w:fldSimple w:instr=" SEQ Tab. \* ARABIC ">
        <w:r w:rsidRPr="00650AE6">
          <w:rPr>
            <w:noProof/>
          </w:rPr>
          <w:t>3</w:t>
        </w:r>
      </w:fldSimple>
      <w:r w:rsidRPr="00650AE6">
        <w:t>: The result of clustering for Type 1</w:t>
      </w:r>
    </w:p>
    <w:tbl>
      <w:tblPr>
        <w:tblW w:w="6232"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14"/>
        <w:gridCol w:w="3118"/>
      </w:tblGrid>
      <w:tr w:rsidR="00DE6490" w:rsidRPr="00650AE6" w:rsidTr="005719FE">
        <w:trPr>
          <w:trHeight w:val="300"/>
        </w:trPr>
        <w:tc>
          <w:tcPr>
            <w:tcW w:w="3114" w:type="dxa"/>
            <w:tcBorders>
              <w:top w:val="single" w:sz="4" w:space="0" w:color="auto"/>
              <w:bottom w:val="nil"/>
            </w:tcBorders>
            <w:shd w:val="clear" w:color="auto" w:fill="auto"/>
            <w:noWrap/>
            <w:vAlign w:val="bottom"/>
            <w:hideMark/>
          </w:tcPr>
          <w:p w:rsidR="00DE6490" w:rsidRPr="008D13DD" w:rsidRDefault="00DE6490" w:rsidP="00650AE6">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eastAsia="Times New Roman" w:hAnsi="Times New Roman" w:cs="Times New Roman"/>
                <w:i/>
                <w:iCs/>
                <w:color w:val="000000"/>
                <w:sz w:val="24"/>
                <w:szCs w:val="18"/>
                <w:lang w:val="en-GB" w:eastAsia="cs-CZ"/>
              </w:rPr>
              <w:t>The number of variables:    16</w:t>
            </w:r>
          </w:p>
        </w:tc>
        <w:tc>
          <w:tcPr>
            <w:tcW w:w="3118" w:type="dxa"/>
            <w:tcBorders>
              <w:top w:val="single" w:sz="4" w:space="0" w:color="auto"/>
              <w:bottom w:val="nil"/>
            </w:tcBorders>
            <w:vAlign w:val="bottom"/>
          </w:tcPr>
          <w:p w:rsidR="00DE6490" w:rsidRPr="008D13DD" w:rsidRDefault="00DE6490" w:rsidP="00650AE6">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eastAsia="Times New Roman" w:hAnsi="Times New Roman" w:cs="Times New Roman"/>
                <w:i/>
                <w:iCs/>
                <w:color w:val="000000"/>
                <w:sz w:val="24"/>
                <w:szCs w:val="18"/>
                <w:lang w:val="en-GB" w:eastAsia="cs-CZ"/>
              </w:rPr>
              <w:t>The number of clusters       4</w:t>
            </w:r>
          </w:p>
        </w:tc>
      </w:tr>
      <w:tr w:rsidR="00DE6490" w:rsidRPr="00650AE6" w:rsidTr="005719FE">
        <w:trPr>
          <w:trHeight w:val="300"/>
        </w:trPr>
        <w:tc>
          <w:tcPr>
            <w:tcW w:w="3114" w:type="dxa"/>
            <w:tcBorders>
              <w:top w:val="nil"/>
              <w:bottom w:val="nil"/>
            </w:tcBorders>
            <w:shd w:val="clear" w:color="auto" w:fill="auto"/>
            <w:noWrap/>
            <w:vAlign w:val="bottom"/>
            <w:hideMark/>
          </w:tcPr>
          <w:p w:rsidR="00DE6490" w:rsidRPr="008D13DD" w:rsidRDefault="00DE6490" w:rsidP="00650AE6">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eastAsia="Times New Roman" w:hAnsi="Times New Roman" w:cs="Times New Roman"/>
                <w:i/>
                <w:iCs/>
                <w:color w:val="000000"/>
                <w:sz w:val="24"/>
                <w:szCs w:val="18"/>
                <w:lang w:val="en-GB" w:eastAsia="cs-CZ"/>
              </w:rPr>
              <w:t>The number of cases:   259</w:t>
            </w:r>
          </w:p>
        </w:tc>
        <w:tc>
          <w:tcPr>
            <w:tcW w:w="3118" w:type="dxa"/>
            <w:tcBorders>
              <w:top w:val="nil"/>
              <w:bottom w:val="nil"/>
            </w:tcBorders>
            <w:vAlign w:val="bottom"/>
          </w:tcPr>
          <w:p w:rsidR="00DE6490" w:rsidRPr="008D13DD" w:rsidRDefault="00DE6490" w:rsidP="00650AE6">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eastAsia="Times New Roman" w:hAnsi="Times New Roman" w:cs="Times New Roman"/>
                <w:i/>
                <w:iCs/>
                <w:color w:val="000000"/>
                <w:sz w:val="24"/>
                <w:szCs w:val="18"/>
                <w:lang w:val="en-GB" w:eastAsia="cs-CZ"/>
              </w:rPr>
              <w:t>The number of iterations     4</w:t>
            </w:r>
          </w:p>
        </w:tc>
      </w:tr>
      <w:tr w:rsidR="00DE6490" w:rsidRPr="00650AE6" w:rsidTr="005719FE">
        <w:trPr>
          <w:trHeight w:val="300"/>
        </w:trPr>
        <w:tc>
          <w:tcPr>
            <w:tcW w:w="3114" w:type="dxa"/>
            <w:tcBorders>
              <w:top w:val="nil"/>
              <w:bottom w:val="nil"/>
            </w:tcBorders>
            <w:shd w:val="clear" w:color="auto" w:fill="auto"/>
            <w:noWrap/>
            <w:vAlign w:val="bottom"/>
            <w:hideMark/>
          </w:tcPr>
          <w:p w:rsidR="00DE6490" w:rsidRPr="008D13DD" w:rsidRDefault="00DE6490" w:rsidP="00650AE6">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hAnsi="Times New Roman" w:cs="Times New Roman"/>
                <w:i/>
                <w:iCs/>
                <w:sz w:val="24"/>
                <w:szCs w:val="18"/>
                <w:lang w:val="en-GB"/>
              </w:rPr>
              <w:t xml:space="preserve"> </w:t>
            </w:r>
            <w:r w:rsidRPr="008D13DD">
              <w:rPr>
                <w:rFonts w:ascii="Times New Roman" w:eastAsia="Times New Roman" w:hAnsi="Times New Roman" w:cs="Times New Roman"/>
                <w:i/>
                <w:iCs/>
                <w:color w:val="000000"/>
                <w:sz w:val="24"/>
                <w:szCs w:val="18"/>
                <w:lang w:val="en-GB" w:eastAsia="cs-CZ"/>
              </w:rPr>
              <w:t>K-Means Clustering of cases</w:t>
            </w:r>
          </w:p>
        </w:tc>
        <w:tc>
          <w:tcPr>
            <w:tcW w:w="3118" w:type="dxa"/>
            <w:tcBorders>
              <w:top w:val="nil"/>
              <w:bottom w:val="nil"/>
            </w:tcBorders>
          </w:tcPr>
          <w:p w:rsidR="00DE6490" w:rsidRPr="008D13DD" w:rsidRDefault="00DE6490" w:rsidP="00650AE6">
            <w:pPr>
              <w:keepNext/>
              <w:keepLines/>
              <w:spacing w:after="0" w:line="240" w:lineRule="auto"/>
              <w:rPr>
                <w:rFonts w:ascii="Times New Roman" w:hAnsi="Times New Roman" w:cs="Times New Roman"/>
                <w:i/>
                <w:iCs/>
                <w:sz w:val="24"/>
                <w:szCs w:val="18"/>
                <w:lang w:val="en-GB"/>
              </w:rPr>
            </w:pPr>
          </w:p>
        </w:tc>
      </w:tr>
      <w:tr w:rsidR="00DE6490" w:rsidRPr="00650AE6" w:rsidTr="005719FE">
        <w:trPr>
          <w:trHeight w:val="300"/>
        </w:trPr>
        <w:tc>
          <w:tcPr>
            <w:tcW w:w="3114" w:type="dxa"/>
            <w:tcBorders>
              <w:top w:val="single" w:sz="4" w:space="0" w:color="auto"/>
            </w:tcBorders>
            <w:shd w:val="clear" w:color="auto" w:fill="auto"/>
            <w:noWrap/>
            <w:vAlign w:val="bottom"/>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Cluster 1</w:t>
            </w:r>
          </w:p>
        </w:tc>
        <w:tc>
          <w:tcPr>
            <w:tcW w:w="3118" w:type="dxa"/>
            <w:tcBorders>
              <w:top w:val="single" w:sz="4" w:space="0" w:color="auto"/>
            </w:tcBorders>
            <w:vAlign w:val="bottom"/>
          </w:tcPr>
          <w:p w:rsidR="00DE6490" w:rsidRPr="008D13DD" w:rsidRDefault="00DE6490" w:rsidP="00650AE6">
            <w:pPr>
              <w:spacing w:after="0" w:line="240" w:lineRule="auto"/>
              <w:jc w:val="center"/>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55</w:t>
            </w:r>
          </w:p>
        </w:tc>
      </w:tr>
      <w:tr w:rsidR="00DE6490" w:rsidRPr="00650AE6" w:rsidTr="005719FE">
        <w:trPr>
          <w:trHeight w:val="300"/>
        </w:trPr>
        <w:tc>
          <w:tcPr>
            <w:tcW w:w="3114" w:type="dxa"/>
            <w:shd w:val="clear" w:color="auto" w:fill="auto"/>
            <w:noWrap/>
            <w:vAlign w:val="bottom"/>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Cluster 2</w:t>
            </w:r>
          </w:p>
        </w:tc>
        <w:tc>
          <w:tcPr>
            <w:tcW w:w="3118" w:type="dxa"/>
            <w:vAlign w:val="bottom"/>
          </w:tcPr>
          <w:p w:rsidR="00DE6490" w:rsidRPr="008D13DD" w:rsidRDefault="00DE6490" w:rsidP="00650AE6">
            <w:pPr>
              <w:spacing w:after="0" w:line="240" w:lineRule="auto"/>
              <w:jc w:val="center"/>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78</w:t>
            </w:r>
          </w:p>
        </w:tc>
      </w:tr>
      <w:tr w:rsidR="00DE6490" w:rsidRPr="00650AE6" w:rsidTr="005719FE">
        <w:trPr>
          <w:trHeight w:val="300"/>
        </w:trPr>
        <w:tc>
          <w:tcPr>
            <w:tcW w:w="3114" w:type="dxa"/>
            <w:shd w:val="clear" w:color="auto" w:fill="auto"/>
            <w:noWrap/>
            <w:vAlign w:val="bottom"/>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Cluster 3</w:t>
            </w:r>
          </w:p>
        </w:tc>
        <w:tc>
          <w:tcPr>
            <w:tcW w:w="3118" w:type="dxa"/>
            <w:vAlign w:val="center"/>
          </w:tcPr>
          <w:p w:rsidR="00DE6490" w:rsidRPr="008D13DD" w:rsidRDefault="00DE6490" w:rsidP="00650AE6">
            <w:pPr>
              <w:spacing w:after="0" w:line="240" w:lineRule="auto"/>
              <w:jc w:val="center"/>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66</w:t>
            </w:r>
          </w:p>
        </w:tc>
      </w:tr>
      <w:tr w:rsidR="00DE6490" w:rsidRPr="00650AE6" w:rsidTr="005719FE">
        <w:trPr>
          <w:trHeight w:val="300"/>
        </w:trPr>
        <w:tc>
          <w:tcPr>
            <w:tcW w:w="3114" w:type="dxa"/>
            <w:shd w:val="clear" w:color="auto" w:fill="auto"/>
            <w:noWrap/>
            <w:vAlign w:val="bottom"/>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Cluster 4</w:t>
            </w:r>
          </w:p>
        </w:tc>
        <w:tc>
          <w:tcPr>
            <w:tcW w:w="3118" w:type="dxa"/>
            <w:vAlign w:val="center"/>
          </w:tcPr>
          <w:p w:rsidR="00DE6490" w:rsidRPr="008D13DD" w:rsidRDefault="00DE6490" w:rsidP="00650AE6">
            <w:pPr>
              <w:spacing w:after="0" w:line="240" w:lineRule="auto"/>
              <w:jc w:val="center"/>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60</w:t>
            </w:r>
          </w:p>
        </w:tc>
      </w:tr>
      <w:tr w:rsidR="00DE6490" w:rsidRPr="00650AE6" w:rsidTr="005719FE">
        <w:trPr>
          <w:trHeight w:val="300"/>
        </w:trPr>
        <w:tc>
          <w:tcPr>
            <w:tcW w:w="3114" w:type="dxa"/>
            <w:shd w:val="clear" w:color="auto" w:fill="auto"/>
            <w:noWrap/>
            <w:vAlign w:val="bottom"/>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Total for all respondents</w:t>
            </w:r>
          </w:p>
        </w:tc>
        <w:tc>
          <w:tcPr>
            <w:tcW w:w="3118" w:type="dxa"/>
            <w:vAlign w:val="center"/>
          </w:tcPr>
          <w:p w:rsidR="00DE6490" w:rsidRPr="008D13DD" w:rsidRDefault="00DE6490" w:rsidP="00650AE6">
            <w:pPr>
              <w:spacing w:after="0" w:line="240" w:lineRule="auto"/>
              <w:jc w:val="center"/>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259</w:t>
            </w:r>
          </w:p>
        </w:tc>
      </w:tr>
    </w:tbl>
    <w:p w:rsidR="00DE6490" w:rsidRPr="005719FE" w:rsidRDefault="00DE6490" w:rsidP="005719FE">
      <w:pPr>
        <w:spacing w:after="0" w:line="240" w:lineRule="auto"/>
        <w:ind w:firstLine="5529"/>
        <w:rPr>
          <w:rFonts w:ascii="Times New Roman" w:hAnsi="Times New Roman" w:cs="Times New Roman"/>
          <w:color w:val="000000"/>
          <w:szCs w:val="16"/>
          <w:shd w:val="clear" w:color="auto" w:fill="FFFFFF"/>
          <w:lang w:val="en-GB"/>
        </w:rPr>
      </w:pPr>
      <w:r w:rsidRPr="005719FE">
        <w:rPr>
          <w:rFonts w:ascii="Times New Roman" w:hAnsi="Times New Roman" w:cs="Times New Roman"/>
          <w:color w:val="000000"/>
          <w:szCs w:val="16"/>
          <w:shd w:val="clear" w:color="auto" w:fill="FFFFFF"/>
          <w:lang w:val="en-GB"/>
        </w:rPr>
        <w:t>Source: own</w:t>
      </w:r>
    </w:p>
    <w:p w:rsidR="008D13DD" w:rsidRPr="00650AE6" w:rsidRDefault="008D13DD" w:rsidP="008D13DD">
      <w:pPr>
        <w:pStyle w:val="Titulek"/>
      </w:pPr>
      <w:r w:rsidRPr="00650AE6">
        <w:t xml:space="preserve">Tab. </w:t>
      </w:r>
      <w:r w:rsidRPr="00650AE6">
        <w:fldChar w:fldCharType="begin"/>
      </w:r>
      <w:r w:rsidRPr="00650AE6">
        <w:instrText xml:space="preserve"> SEQ Tab. \* ARABIC </w:instrText>
      </w:r>
      <w:r w:rsidRPr="00650AE6">
        <w:fldChar w:fldCharType="separate"/>
      </w:r>
      <w:r>
        <w:rPr>
          <w:noProof/>
        </w:rPr>
        <w:t>4</w:t>
      </w:r>
      <w:r w:rsidRPr="00650AE6">
        <w:rPr>
          <w:noProof/>
        </w:rPr>
        <w:fldChar w:fldCharType="end"/>
      </w:r>
      <w:r w:rsidRPr="00650AE6">
        <w:t>: The result of clustering for Type 2</w:t>
      </w:r>
    </w:p>
    <w:tbl>
      <w:tblPr>
        <w:tblW w:w="6374" w:type="dxa"/>
        <w:tblInd w:w="421" w:type="dxa"/>
        <w:tblCellMar>
          <w:left w:w="70" w:type="dxa"/>
          <w:right w:w="70" w:type="dxa"/>
        </w:tblCellMar>
        <w:tblLook w:val="04A0" w:firstRow="1" w:lastRow="0" w:firstColumn="1" w:lastColumn="0" w:noHBand="0" w:noVBand="1"/>
      </w:tblPr>
      <w:tblGrid>
        <w:gridCol w:w="3273"/>
        <w:gridCol w:w="3101"/>
      </w:tblGrid>
      <w:tr w:rsidR="008D13DD" w:rsidRPr="00650AE6" w:rsidTr="008D13DD">
        <w:trPr>
          <w:trHeight w:val="300"/>
        </w:trPr>
        <w:tc>
          <w:tcPr>
            <w:tcW w:w="3273" w:type="dxa"/>
            <w:tcBorders>
              <w:top w:val="single" w:sz="4" w:space="0" w:color="auto"/>
              <w:left w:val="single" w:sz="4" w:space="0" w:color="auto"/>
              <w:bottom w:val="nil"/>
              <w:right w:val="single" w:sz="4" w:space="0" w:color="auto"/>
            </w:tcBorders>
            <w:shd w:val="clear" w:color="auto" w:fill="auto"/>
            <w:noWrap/>
            <w:vAlign w:val="bottom"/>
            <w:hideMark/>
          </w:tcPr>
          <w:p w:rsidR="008D13DD" w:rsidRPr="008D13DD" w:rsidRDefault="008D13DD" w:rsidP="009E64E5">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eastAsia="Times New Roman" w:hAnsi="Times New Roman" w:cs="Times New Roman"/>
                <w:i/>
                <w:iCs/>
                <w:color w:val="000000"/>
                <w:sz w:val="24"/>
                <w:szCs w:val="18"/>
                <w:lang w:val="en-GB" w:eastAsia="cs-CZ"/>
              </w:rPr>
              <w:t>The number of variables:    14</w:t>
            </w:r>
          </w:p>
        </w:tc>
        <w:tc>
          <w:tcPr>
            <w:tcW w:w="3101" w:type="dxa"/>
            <w:tcBorders>
              <w:top w:val="single" w:sz="4" w:space="0" w:color="auto"/>
              <w:left w:val="single" w:sz="4" w:space="0" w:color="auto"/>
              <w:bottom w:val="nil"/>
              <w:right w:val="single" w:sz="4" w:space="0" w:color="auto"/>
            </w:tcBorders>
            <w:vAlign w:val="bottom"/>
          </w:tcPr>
          <w:p w:rsidR="008D13DD" w:rsidRPr="008D13DD" w:rsidRDefault="008D13DD" w:rsidP="009E64E5">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eastAsia="Times New Roman" w:hAnsi="Times New Roman" w:cs="Times New Roman"/>
                <w:i/>
                <w:iCs/>
                <w:color w:val="000000"/>
                <w:sz w:val="24"/>
                <w:szCs w:val="18"/>
                <w:lang w:val="en-GB" w:eastAsia="cs-CZ"/>
              </w:rPr>
              <w:t>The number of clusters       4</w:t>
            </w:r>
          </w:p>
        </w:tc>
      </w:tr>
      <w:tr w:rsidR="008D13DD" w:rsidRPr="00650AE6" w:rsidTr="008D13DD">
        <w:trPr>
          <w:trHeight w:val="300"/>
        </w:trPr>
        <w:tc>
          <w:tcPr>
            <w:tcW w:w="3273" w:type="dxa"/>
            <w:tcBorders>
              <w:top w:val="nil"/>
              <w:left w:val="single" w:sz="4" w:space="0" w:color="auto"/>
              <w:bottom w:val="nil"/>
              <w:right w:val="single" w:sz="4" w:space="0" w:color="auto"/>
            </w:tcBorders>
            <w:shd w:val="clear" w:color="auto" w:fill="auto"/>
            <w:noWrap/>
            <w:vAlign w:val="bottom"/>
            <w:hideMark/>
          </w:tcPr>
          <w:p w:rsidR="008D13DD" w:rsidRPr="008D13DD" w:rsidRDefault="008D13DD" w:rsidP="009E64E5">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eastAsia="Times New Roman" w:hAnsi="Times New Roman" w:cs="Times New Roman"/>
                <w:i/>
                <w:iCs/>
                <w:color w:val="000000"/>
                <w:sz w:val="24"/>
                <w:szCs w:val="18"/>
                <w:lang w:val="en-GB" w:eastAsia="cs-CZ"/>
              </w:rPr>
              <w:t>The number of cases:   449</w:t>
            </w:r>
          </w:p>
        </w:tc>
        <w:tc>
          <w:tcPr>
            <w:tcW w:w="3101" w:type="dxa"/>
            <w:tcBorders>
              <w:top w:val="nil"/>
              <w:left w:val="single" w:sz="4" w:space="0" w:color="auto"/>
              <w:bottom w:val="nil"/>
              <w:right w:val="single" w:sz="4" w:space="0" w:color="auto"/>
            </w:tcBorders>
            <w:vAlign w:val="bottom"/>
          </w:tcPr>
          <w:p w:rsidR="008D13DD" w:rsidRPr="008D13DD" w:rsidRDefault="008D13DD" w:rsidP="009E64E5">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eastAsia="Times New Roman" w:hAnsi="Times New Roman" w:cs="Times New Roman"/>
                <w:i/>
                <w:iCs/>
                <w:color w:val="000000"/>
                <w:sz w:val="24"/>
                <w:szCs w:val="18"/>
                <w:lang w:val="en-GB" w:eastAsia="cs-CZ"/>
              </w:rPr>
              <w:t>The number of iterations     3</w:t>
            </w:r>
          </w:p>
        </w:tc>
      </w:tr>
      <w:tr w:rsidR="008D13DD" w:rsidRPr="00650AE6" w:rsidTr="008D13DD">
        <w:trPr>
          <w:trHeight w:val="300"/>
        </w:trPr>
        <w:tc>
          <w:tcPr>
            <w:tcW w:w="3273" w:type="dxa"/>
            <w:tcBorders>
              <w:top w:val="nil"/>
              <w:left w:val="single" w:sz="4" w:space="0" w:color="auto"/>
              <w:bottom w:val="nil"/>
              <w:right w:val="single" w:sz="4" w:space="0" w:color="auto"/>
            </w:tcBorders>
            <w:shd w:val="clear" w:color="auto" w:fill="auto"/>
            <w:noWrap/>
            <w:vAlign w:val="bottom"/>
            <w:hideMark/>
          </w:tcPr>
          <w:p w:rsidR="008D13DD" w:rsidRPr="008D13DD" w:rsidRDefault="008D13DD" w:rsidP="009E64E5">
            <w:pPr>
              <w:keepNext/>
              <w:keepLines/>
              <w:spacing w:after="0" w:line="240" w:lineRule="auto"/>
              <w:rPr>
                <w:rFonts w:ascii="Times New Roman" w:eastAsia="Times New Roman" w:hAnsi="Times New Roman" w:cs="Times New Roman"/>
                <w:i/>
                <w:iCs/>
                <w:color w:val="000000"/>
                <w:sz w:val="24"/>
                <w:szCs w:val="18"/>
                <w:lang w:val="en-GB" w:eastAsia="cs-CZ"/>
              </w:rPr>
            </w:pPr>
            <w:r w:rsidRPr="008D13DD">
              <w:rPr>
                <w:rFonts w:ascii="Times New Roman" w:eastAsia="Times New Roman" w:hAnsi="Times New Roman" w:cs="Times New Roman"/>
                <w:i/>
                <w:iCs/>
                <w:color w:val="000000"/>
                <w:sz w:val="24"/>
                <w:szCs w:val="18"/>
                <w:lang w:val="en-GB" w:eastAsia="cs-CZ"/>
              </w:rPr>
              <w:t xml:space="preserve"> K-Means Clustering of cases</w:t>
            </w:r>
          </w:p>
        </w:tc>
        <w:tc>
          <w:tcPr>
            <w:tcW w:w="3101" w:type="dxa"/>
            <w:tcBorders>
              <w:top w:val="nil"/>
              <w:left w:val="single" w:sz="4" w:space="0" w:color="auto"/>
              <w:bottom w:val="nil"/>
              <w:right w:val="single" w:sz="4" w:space="0" w:color="auto"/>
            </w:tcBorders>
          </w:tcPr>
          <w:p w:rsidR="008D13DD" w:rsidRPr="008D13DD" w:rsidRDefault="008D13DD" w:rsidP="009E64E5">
            <w:pPr>
              <w:keepNext/>
              <w:keepLines/>
              <w:spacing w:after="0" w:line="240" w:lineRule="auto"/>
              <w:rPr>
                <w:rFonts w:ascii="Times New Roman" w:eastAsia="Times New Roman" w:hAnsi="Times New Roman" w:cs="Times New Roman"/>
                <w:i/>
                <w:iCs/>
                <w:color w:val="000000"/>
                <w:sz w:val="24"/>
                <w:szCs w:val="18"/>
                <w:lang w:val="en-GB" w:eastAsia="cs-CZ"/>
              </w:rPr>
            </w:pPr>
          </w:p>
        </w:tc>
      </w:tr>
      <w:tr w:rsidR="008D13DD" w:rsidRPr="00650AE6" w:rsidTr="008D13DD">
        <w:trPr>
          <w:trHeight w:val="300"/>
        </w:trPr>
        <w:tc>
          <w:tcPr>
            <w:tcW w:w="3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13DD" w:rsidRPr="008D13DD" w:rsidRDefault="008D13DD" w:rsidP="009E64E5">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Cluster 1</w:t>
            </w:r>
          </w:p>
        </w:tc>
        <w:tc>
          <w:tcPr>
            <w:tcW w:w="3101" w:type="dxa"/>
            <w:tcBorders>
              <w:top w:val="single" w:sz="4" w:space="0" w:color="auto"/>
              <w:left w:val="nil"/>
              <w:bottom w:val="single" w:sz="4" w:space="0" w:color="auto"/>
              <w:right w:val="single" w:sz="4" w:space="0" w:color="auto"/>
            </w:tcBorders>
            <w:vAlign w:val="bottom"/>
          </w:tcPr>
          <w:p w:rsidR="008D13DD" w:rsidRPr="008D13DD" w:rsidRDefault="008D13DD" w:rsidP="009E64E5">
            <w:pPr>
              <w:keepNext/>
              <w:keepLines/>
              <w:spacing w:after="0" w:line="240" w:lineRule="auto"/>
              <w:jc w:val="right"/>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126</w:t>
            </w:r>
          </w:p>
        </w:tc>
      </w:tr>
      <w:tr w:rsidR="008D13DD" w:rsidRPr="00650AE6" w:rsidTr="008D13DD">
        <w:trPr>
          <w:trHeight w:val="30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8D13DD" w:rsidRPr="008D13DD" w:rsidRDefault="008D13DD" w:rsidP="009E64E5">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Cluster 2</w:t>
            </w:r>
          </w:p>
        </w:tc>
        <w:tc>
          <w:tcPr>
            <w:tcW w:w="3101" w:type="dxa"/>
            <w:tcBorders>
              <w:top w:val="nil"/>
              <w:left w:val="nil"/>
              <w:bottom w:val="single" w:sz="4" w:space="0" w:color="auto"/>
              <w:right w:val="single" w:sz="4" w:space="0" w:color="auto"/>
            </w:tcBorders>
            <w:vAlign w:val="bottom"/>
          </w:tcPr>
          <w:p w:rsidR="008D13DD" w:rsidRPr="008D13DD" w:rsidRDefault="008D13DD" w:rsidP="009E64E5">
            <w:pPr>
              <w:keepNext/>
              <w:keepLines/>
              <w:spacing w:after="0" w:line="240" w:lineRule="auto"/>
              <w:jc w:val="right"/>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98</w:t>
            </w:r>
          </w:p>
        </w:tc>
      </w:tr>
      <w:tr w:rsidR="008D13DD" w:rsidRPr="00650AE6" w:rsidTr="008D13DD">
        <w:trPr>
          <w:trHeight w:val="30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8D13DD" w:rsidRPr="008D13DD" w:rsidRDefault="008D13DD" w:rsidP="009E64E5">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Cluster 3</w:t>
            </w:r>
          </w:p>
        </w:tc>
        <w:tc>
          <w:tcPr>
            <w:tcW w:w="3101" w:type="dxa"/>
            <w:tcBorders>
              <w:top w:val="nil"/>
              <w:left w:val="nil"/>
              <w:bottom w:val="single" w:sz="4" w:space="0" w:color="auto"/>
              <w:right w:val="single" w:sz="4" w:space="0" w:color="auto"/>
            </w:tcBorders>
            <w:vAlign w:val="center"/>
          </w:tcPr>
          <w:p w:rsidR="008D13DD" w:rsidRPr="008D13DD" w:rsidRDefault="008D13DD" w:rsidP="009E64E5">
            <w:pPr>
              <w:keepNext/>
              <w:keepLines/>
              <w:spacing w:after="0" w:line="240" w:lineRule="auto"/>
              <w:jc w:val="right"/>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117</w:t>
            </w:r>
          </w:p>
        </w:tc>
      </w:tr>
      <w:tr w:rsidR="008D13DD" w:rsidRPr="00650AE6" w:rsidTr="008D13DD">
        <w:trPr>
          <w:trHeight w:val="30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8D13DD" w:rsidRPr="008D13DD" w:rsidRDefault="008D13DD" w:rsidP="009E64E5">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Cluster 4</w:t>
            </w:r>
          </w:p>
        </w:tc>
        <w:tc>
          <w:tcPr>
            <w:tcW w:w="3101" w:type="dxa"/>
            <w:tcBorders>
              <w:top w:val="nil"/>
              <w:left w:val="nil"/>
              <w:bottom w:val="single" w:sz="4" w:space="0" w:color="auto"/>
              <w:right w:val="single" w:sz="4" w:space="0" w:color="auto"/>
            </w:tcBorders>
            <w:vAlign w:val="center"/>
          </w:tcPr>
          <w:p w:rsidR="008D13DD" w:rsidRPr="008D13DD" w:rsidRDefault="008D13DD" w:rsidP="009E64E5">
            <w:pPr>
              <w:keepNext/>
              <w:keepLines/>
              <w:spacing w:after="0" w:line="240" w:lineRule="auto"/>
              <w:jc w:val="right"/>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108</w:t>
            </w:r>
          </w:p>
        </w:tc>
      </w:tr>
      <w:tr w:rsidR="008D13DD" w:rsidRPr="00650AE6" w:rsidTr="008D13DD">
        <w:trPr>
          <w:trHeight w:val="30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8D13DD" w:rsidRPr="008D13DD" w:rsidRDefault="008D13DD" w:rsidP="009E64E5">
            <w:pPr>
              <w:keepNext/>
              <w:keepLines/>
              <w:spacing w:after="0" w:line="240" w:lineRule="auto"/>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Total for all respondents</w:t>
            </w:r>
          </w:p>
        </w:tc>
        <w:tc>
          <w:tcPr>
            <w:tcW w:w="3101" w:type="dxa"/>
            <w:tcBorders>
              <w:top w:val="nil"/>
              <w:left w:val="nil"/>
              <w:bottom w:val="single" w:sz="4" w:space="0" w:color="auto"/>
              <w:right w:val="single" w:sz="4" w:space="0" w:color="auto"/>
            </w:tcBorders>
            <w:vAlign w:val="center"/>
          </w:tcPr>
          <w:p w:rsidR="008D13DD" w:rsidRPr="008D13DD" w:rsidRDefault="008D13DD" w:rsidP="009E64E5">
            <w:pPr>
              <w:keepNext/>
              <w:keepLines/>
              <w:spacing w:after="0" w:line="240" w:lineRule="auto"/>
              <w:jc w:val="right"/>
              <w:rPr>
                <w:rFonts w:ascii="Times New Roman" w:eastAsia="Times New Roman" w:hAnsi="Times New Roman" w:cs="Times New Roman"/>
                <w:color w:val="000000"/>
                <w:sz w:val="24"/>
                <w:szCs w:val="18"/>
                <w:lang w:val="en-GB" w:eastAsia="cs-CZ"/>
              </w:rPr>
            </w:pPr>
            <w:r w:rsidRPr="008D13DD">
              <w:rPr>
                <w:rFonts w:ascii="Times New Roman" w:eastAsia="Times New Roman" w:hAnsi="Times New Roman" w:cs="Times New Roman"/>
                <w:color w:val="000000"/>
                <w:sz w:val="24"/>
                <w:szCs w:val="18"/>
                <w:lang w:val="en-GB" w:eastAsia="cs-CZ"/>
              </w:rPr>
              <w:t>449</w:t>
            </w:r>
          </w:p>
        </w:tc>
      </w:tr>
    </w:tbl>
    <w:p w:rsidR="008D13DD" w:rsidRPr="008D13DD" w:rsidRDefault="008D13DD" w:rsidP="008D13DD">
      <w:pPr>
        <w:spacing w:after="0" w:line="240" w:lineRule="auto"/>
        <w:ind w:firstLine="5245"/>
        <w:rPr>
          <w:rFonts w:ascii="Times New Roman" w:hAnsi="Times New Roman" w:cs="Times New Roman"/>
          <w:color w:val="000000"/>
          <w:szCs w:val="16"/>
          <w:shd w:val="clear" w:color="auto" w:fill="FFFFFF"/>
          <w:lang w:val="en-GB"/>
        </w:rPr>
      </w:pPr>
      <w:r w:rsidRPr="008D13DD">
        <w:rPr>
          <w:rFonts w:ascii="Times New Roman" w:hAnsi="Times New Roman" w:cs="Times New Roman"/>
          <w:color w:val="000000"/>
          <w:szCs w:val="16"/>
          <w:shd w:val="clear" w:color="auto" w:fill="FFFFFF"/>
          <w:lang w:val="en-GB"/>
        </w:rPr>
        <w:t>Source: own</w:t>
      </w:r>
    </w:p>
    <w:p w:rsidR="00DE6490" w:rsidRPr="00650AE6" w:rsidRDefault="00DE6490" w:rsidP="00DE6490">
      <w:pPr>
        <w:pStyle w:val="textEM"/>
        <w:ind w:firstLine="0"/>
        <w:rPr>
          <w:rFonts w:cs="Times New Roman"/>
          <w:lang w:val="en-GB"/>
        </w:rPr>
      </w:pPr>
    </w:p>
    <w:p w:rsidR="00DE6490" w:rsidRPr="00650AE6" w:rsidRDefault="00DE6490" w:rsidP="008D13DD">
      <w:pPr>
        <w:pStyle w:val="Titulek"/>
      </w:pPr>
      <w:r w:rsidRPr="00650AE6">
        <w:lastRenderedPageBreak/>
        <w:t xml:space="preserve">Tab. </w:t>
      </w:r>
      <w:fldSimple w:instr=" SEQ Tab. \* ARABIC ">
        <w:r w:rsidR="008D13DD">
          <w:rPr>
            <w:noProof/>
          </w:rPr>
          <w:t>5</w:t>
        </w:r>
      </w:fldSimple>
      <w:r w:rsidRPr="00650AE6">
        <w:t>: Points of clusters for selected variables Type 1</w:t>
      </w:r>
    </w:p>
    <w:tbl>
      <w:tblPr>
        <w:tblW w:w="8495" w:type="dxa"/>
        <w:tblCellMar>
          <w:left w:w="70" w:type="dxa"/>
          <w:right w:w="70" w:type="dxa"/>
        </w:tblCellMar>
        <w:tblLook w:val="04A0" w:firstRow="1" w:lastRow="0" w:firstColumn="1" w:lastColumn="0" w:noHBand="0" w:noVBand="1"/>
      </w:tblPr>
      <w:tblGrid>
        <w:gridCol w:w="2341"/>
        <w:gridCol w:w="838"/>
        <w:gridCol w:w="839"/>
        <w:gridCol w:w="839"/>
        <w:gridCol w:w="839"/>
        <w:gridCol w:w="839"/>
        <w:gridCol w:w="839"/>
        <w:gridCol w:w="839"/>
        <w:gridCol w:w="839"/>
      </w:tblGrid>
      <w:tr w:rsidR="00DE6490" w:rsidRPr="00650AE6" w:rsidTr="008D13DD">
        <w:trPr>
          <w:trHeight w:val="315"/>
        </w:trPr>
        <w:tc>
          <w:tcPr>
            <w:tcW w:w="253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Criteria for selecting</w:t>
            </w:r>
          </w:p>
        </w:tc>
        <w:tc>
          <w:tcPr>
            <w:tcW w:w="3096" w:type="dxa"/>
            <w:gridSpan w:val="4"/>
            <w:tcBorders>
              <w:top w:val="single" w:sz="8" w:space="0" w:color="auto"/>
              <w:left w:val="nil"/>
              <w:bottom w:val="single" w:sz="8" w:space="0" w:color="auto"/>
              <w:right w:val="single" w:sz="8" w:space="0" w:color="000000"/>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Total</w:t>
            </w:r>
          </w:p>
        </w:tc>
        <w:tc>
          <w:tcPr>
            <w:tcW w:w="2864" w:type="dxa"/>
            <w:gridSpan w:val="4"/>
            <w:tcBorders>
              <w:top w:val="single" w:sz="8" w:space="0" w:color="auto"/>
              <w:left w:val="nil"/>
              <w:bottom w:val="single" w:sz="8" w:space="0" w:color="auto"/>
              <w:right w:val="single" w:sz="8" w:space="0" w:color="000000"/>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Average</w:t>
            </w:r>
          </w:p>
        </w:tc>
      </w:tr>
      <w:tr w:rsidR="00DE6490" w:rsidRPr="00650AE6" w:rsidTr="008D13DD">
        <w:trPr>
          <w:trHeight w:val="315"/>
        </w:trPr>
        <w:tc>
          <w:tcPr>
            <w:tcW w:w="2535" w:type="dxa"/>
            <w:tcBorders>
              <w:top w:val="nil"/>
              <w:left w:val="single" w:sz="8" w:space="0" w:color="auto"/>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p>
        </w:tc>
        <w:tc>
          <w:tcPr>
            <w:tcW w:w="774" w:type="dxa"/>
            <w:tcBorders>
              <w:top w:val="nil"/>
              <w:left w:val="nil"/>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Cluster 1</w:t>
            </w:r>
          </w:p>
        </w:tc>
        <w:tc>
          <w:tcPr>
            <w:tcW w:w="774" w:type="dxa"/>
            <w:tcBorders>
              <w:top w:val="nil"/>
              <w:left w:val="nil"/>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Cluster 2</w:t>
            </w:r>
          </w:p>
        </w:tc>
        <w:tc>
          <w:tcPr>
            <w:tcW w:w="774" w:type="dxa"/>
            <w:tcBorders>
              <w:top w:val="nil"/>
              <w:left w:val="nil"/>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Cluster 3</w:t>
            </w:r>
          </w:p>
        </w:tc>
        <w:tc>
          <w:tcPr>
            <w:tcW w:w="774" w:type="dxa"/>
            <w:tcBorders>
              <w:top w:val="nil"/>
              <w:left w:val="nil"/>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Cluster 4</w:t>
            </w:r>
          </w:p>
        </w:tc>
        <w:tc>
          <w:tcPr>
            <w:tcW w:w="774" w:type="dxa"/>
            <w:tcBorders>
              <w:top w:val="nil"/>
              <w:left w:val="nil"/>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Cluster 1</w:t>
            </w:r>
          </w:p>
        </w:tc>
        <w:tc>
          <w:tcPr>
            <w:tcW w:w="774" w:type="dxa"/>
            <w:tcBorders>
              <w:top w:val="nil"/>
              <w:left w:val="nil"/>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Cluster 2</w:t>
            </w:r>
          </w:p>
        </w:tc>
        <w:tc>
          <w:tcPr>
            <w:tcW w:w="774" w:type="dxa"/>
            <w:tcBorders>
              <w:top w:val="nil"/>
              <w:left w:val="nil"/>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Cluster 3</w:t>
            </w:r>
          </w:p>
        </w:tc>
        <w:tc>
          <w:tcPr>
            <w:tcW w:w="542" w:type="dxa"/>
            <w:tcBorders>
              <w:top w:val="nil"/>
              <w:left w:val="nil"/>
              <w:bottom w:val="single" w:sz="8" w:space="0" w:color="auto"/>
              <w:right w:val="single" w:sz="8"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b/>
                <w:color w:val="000000"/>
                <w:sz w:val="24"/>
                <w:szCs w:val="24"/>
                <w:lang w:val="en-GB" w:eastAsia="cs-CZ"/>
              </w:rPr>
            </w:pPr>
            <w:r w:rsidRPr="008D13DD">
              <w:rPr>
                <w:rFonts w:ascii="Times New Roman" w:eastAsia="Times New Roman" w:hAnsi="Times New Roman" w:cs="Times New Roman"/>
                <w:b/>
                <w:color w:val="000000"/>
                <w:sz w:val="24"/>
                <w:szCs w:val="24"/>
                <w:lang w:val="en-GB" w:eastAsia="cs-CZ"/>
              </w:rPr>
              <w:t>Cluster 4</w:t>
            </w:r>
          </w:p>
        </w:tc>
      </w:tr>
      <w:tr w:rsidR="00DE6490" w:rsidRPr="00650AE6" w:rsidTr="008D13DD">
        <w:trPr>
          <w:trHeight w:val="300"/>
        </w:trPr>
        <w:tc>
          <w:tcPr>
            <w:tcW w:w="25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certainty of obtaining work</w:t>
            </w:r>
          </w:p>
        </w:tc>
        <w:tc>
          <w:tcPr>
            <w:tcW w:w="774" w:type="dxa"/>
            <w:tcBorders>
              <w:top w:val="single" w:sz="4" w:space="0" w:color="auto"/>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75,5</w:t>
            </w:r>
          </w:p>
        </w:tc>
        <w:tc>
          <w:tcPr>
            <w:tcW w:w="774" w:type="dxa"/>
            <w:tcBorders>
              <w:top w:val="single" w:sz="4" w:space="0" w:color="auto"/>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81</w:t>
            </w:r>
          </w:p>
        </w:tc>
        <w:tc>
          <w:tcPr>
            <w:tcW w:w="774" w:type="dxa"/>
            <w:tcBorders>
              <w:top w:val="single" w:sz="4" w:space="0" w:color="auto"/>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65,5</w:t>
            </w:r>
          </w:p>
        </w:tc>
        <w:tc>
          <w:tcPr>
            <w:tcW w:w="774" w:type="dxa"/>
            <w:tcBorders>
              <w:top w:val="single" w:sz="4" w:space="0" w:color="auto"/>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62</w:t>
            </w:r>
          </w:p>
        </w:tc>
        <w:tc>
          <w:tcPr>
            <w:tcW w:w="77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1,37</w:t>
            </w:r>
          </w:p>
        </w:tc>
        <w:tc>
          <w:tcPr>
            <w:tcW w:w="77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1,04</w:t>
            </w:r>
          </w:p>
        </w:tc>
        <w:tc>
          <w:tcPr>
            <w:tcW w:w="774" w:type="dxa"/>
            <w:tcBorders>
              <w:top w:val="single" w:sz="4" w:space="0" w:color="auto"/>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0,99</w:t>
            </w:r>
          </w:p>
        </w:tc>
        <w:tc>
          <w:tcPr>
            <w:tcW w:w="542"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1,03</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prestige of school</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71,5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67</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63</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48</w:t>
            </w:r>
          </w:p>
        </w:tc>
        <w:tc>
          <w:tcPr>
            <w:tcW w:w="77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1,30</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0,86</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0,95</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0,80</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financial demands of Studies</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56</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90</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30,5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64</w:t>
            </w:r>
          </w:p>
        </w:tc>
        <w:tc>
          <w:tcPr>
            <w:tcW w:w="77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1,02</w:t>
            </w:r>
          </w:p>
        </w:tc>
        <w:tc>
          <w:tcPr>
            <w:tcW w:w="77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1,15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0,46</w:t>
            </w:r>
          </w:p>
        </w:tc>
        <w:tc>
          <w:tcPr>
            <w:tcW w:w="542"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1,07</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distance from the residence</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48,5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110</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26,5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51,5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0,88</w:t>
            </w:r>
          </w:p>
        </w:tc>
        <w:tc>
          <w:tcPr>
            <w:tcW w:w="77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1,41</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0,40</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0,86</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difficulty of studies</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54</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75,5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32</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64,5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0,98</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0,97</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0,48</w:t>
            </w:r>
          </w:p>
        </w:tc>
        <w:tc>
          <w:tcPr>
            <w:tcW w:w="542"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1,08</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difficulty of entrance exam</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44</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71</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32</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65,5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0,80</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0,91</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0,48</w:t>
            </w:r>
          </w:p>
        </w:tc>
        <w:tc>
          <w:tcPr>
            <w:tcW w:w="542"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1,09</w:t>
            </w:r>
          </w:p>
        </w:tc>
      </w:tr>
      <w:tr w:rsidR="00DE6490" w:rsidRPr="00650AE6" w:rsidTr="008D13DD">
        <w:trPr>
          <w:trHeight w:val="495"/>
        </w:trPr>
        <w:tc>
          <w:tcPr>
            <w:tcW w:w="2535" w:type="dxa"/>
            <w:tcBorders>
              <w:top w:val="nil"/>
              <w:left w:val="single" w:sz="4" w:space="0" w:color="auto"/>
              <w:bottom w:val="single" w:sz="4" w:space="0" w:color="auto"/>
              <w:right w:val="single" w:sz="4" w:space="0" w:color="auto"/>
            </w:tcBorders>
            <w:shd w:val="clear" w:color="auto" w:fill="auto"/>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gained experience in the profession</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73</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44</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45</w:t>
            </w:r>
          </w:p>
        </w:tc>
        <w:tc>
          <w:tcPr>
            <w:tcW w:w="77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1,33</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0,58</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0,67</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0,75</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school services</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71</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46</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19</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62</w:t>
            </w:r>
          </w:p>
        </w:tc>
        <w:tc>
          <w:tcPr>
            <w:tcW w:w="77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1,29</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0,59</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0,29</w:t>
            </w:r>
          </w:p>
        </w:tc>
        <w:tc>
          <w:tcPr>
            <w:tcW w:w="542"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1,03</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recommendation of friends</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43</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66</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34</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44,5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0,78</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0,85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0,52</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0,74</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possibility of accommodation</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62</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23</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76</w:t>
            </w:r>
          </w:p>
        </w:tc>
        <w:tc>
          <w:tcPr>
            <w:tcW w:w="774"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1,13</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0,09</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0,35</w:t>
            </w:r>
          </w:p>
        </w:tc>
        <w:tc>
          <w:tcPr>
            <w:tcW w:w="542"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1,27</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recommendation of family</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41,5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50,5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27,5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27,5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0,75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0,65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0,42</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0,46</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culture in city</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53</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22,5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19</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31,5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0,96</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0,29</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0,29</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0,53</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quality of accommodation</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51,5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3</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54,5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0,94</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0,04</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0,11</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0,91</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possibility of studying abroad</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51</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14</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22,5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20</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0,93</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0,18</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0,34</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0,33</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sports background</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44,5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7,5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9,5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25,5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0,81</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0,10</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0,14</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0,43</w:t>
            </w:r>
          </w:p>
        </w:tc>
      </w:tr>
      <w:tr w:rsidR="00DE6490" w:rsidRPr="00650AE6" w:rsidTr="008D13DD">
        <w:trPr>
          <w:trHeight w:val="300"/>
        </w:trPr>
        <w:tc>
          <w:tcPr>
            <w:tcW w:w="2535" w:type="dxa"/>
            <w:tcBorders>
              <w:top w:val="nil"/>
              <w:left w:val="single" w:sz="4" w:space="0" w:color="auto"/>
              <w:bottom w:val="single" w:sz="4" w:space="0" w:color="auto"/>
              <w:right w:val="single" w:sz="4" w:space="0" w:color="auto"/>
            </w:tcBorders>
            <w:shd w:val="clear" w:color="auto" w:fill="auto"/>
            <w:noWrap/>
            <w:vAlign w:val="center"/>
            <w:hideMark/>
          </w:tcPr>
          <w:p w:rsidR="00DE6490" w:rsidRPr="008D13DD" w:rsidRDefault="00DE6490" w:rsidP="00650AE6">
            <w:pPr>
              <w:keepNext/>
              <w:spacing w:after="0" w:line="240" w:lineRule="auto"/>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quality of meal</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19,5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3,5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4</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0,35</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0,04</w:t>
            </w:r>
          </w:p>
        </w:tc>
        <w:tc>
          <w:tcPr>
            <w:tcW w:w="774"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0,00</w:t>
            </w:r>
          </w:p>
        </w:tc>
        <w:tc>
          <w:tcPr>
            <w:tcW w:w="542" w:type="dxa"/>
            <w:tcBorders>
              <w:top w:val="nil"/>
              <w:left w:val="nil"/>
              <w:bottom w:val="single" w:sz="4" w:space="0" w:color="auto"/>
              <w:right w:val="single" w:sz="4" w:space="0" w:color="auto"/>
            </w:tcBorders>
            <w:shd w:val="clear" w:color="auto" w:fill="auto"/>
            <w:noWrap/>
            <w:vAlign w:val="center"/>
            <w:hideMark/>
          </w:tcPr>
          <w:p w:rsidR="00DE6490" w:rsidRPr="008D13DD" w:rsidRDefault="00DE6490" w:rsidP="00650AE6">
            <w:pPr>
              <w:keepNext/>
              <w:keepLines/>
              <w:spacing w:after="0" w:line="240" w:lineRule="auto"/>
              <w:jc w:val="center"/>
              <w:rPr>
                <w:rFonts w:ascii="Times New Roman" w:eastAsia="Times New Roman" w:hAnsi="Times New Roman" w:cs="Times New Roman"/>
                <w:color w:val="000000"/>
                <w:sz w:val="24"/>
                <w:szCs w:val="24"/>
                <w:lang w:val="en-GB" w:eastAsia="cs-CZ"/>
              </w:rPr>
            </w:pPr>
            <w:r w:rsidRPr="008D13DD">
              <w:rPr>
                <w:rFonts w:ascii="Times New Roman" w:eastAsia="Times New Roman" w:hAnsi="Times New Roman" w:cs="Times New Roman"/>
                <w:color w:val="000000"/>
                <w:sz w:val="24"/>
                <w:szCs w:val="24"/>
                <w:lang w:val="en-GB" w:eastAsia="cs-CZ"/>
              </w:rPr>
              <w:t>0,07</w:t>
            </w:r>
          </w:p>
        </w:tc>
      </w:tr>
    </w:tbl>
    <w:p w:rsidR="00DE6490" w:rsidRPr="008D13DD" w:rsidRDefault="00DE6490" w:rsidP="008D13DD">
      <w:pPr>
        <w:spacing w:after="0" w:line="240" w:lineRule="auto"/>
        <w:ind w:firstLine="7938"/>
        <w:rPr>
          <w:rFonts w:ascii="Times New Roman" w:hAnsi="Times New Roman" w:cs="Times New Roman"/>
          <w:color w:val="000000"/>
          <w:szCs w:val="16"/>
          <w:shd w:val="clear" w:color="auto" w:fill="FFFFFF"/>
          <w:lang w:val="en-GB"/>
        </w:rPr>
      </w:pPr>
      <w:r w:rsidRPr="008D13DD">
        <w:rPr>
          <w:rFonts w:ascii="Times New Roman" w:hAnsi="Times New Roman" w:cs="Times New Roman"/>
          <w:color w:val="000000"/>
          <w:szCs w:val="16"/>
          <w:shd w:val="clear" w:color="auto" w:fill="FFFFFF"/>
          <w:lang w:val="en-GB"/>
        </w:rPr>
        <w:t>Source: own</w:t>
      </w:r>
    </w:p>
    <w:p w:rsidR="00DE6490" w:rsidRPr="00650AE6" w:rsidRDefault="00DE6490" w:rsidP="00DE6490">
      <w:pPr>
        <w:pStyle w:val="textEM"/>
        <w:ind w:firstLine="0"/>
        <w:rPr>
          <w:rFonts w:cs="Times New Roman"/>
          <w:lang w:val="en-GB"/>
        </w:rPr>
      </w:pPr>
    </w:p>
    <w:p w:rsidR="00DE6490" w:rsidRPr="00650AE6" w:rsidRDefault="00DE6490" w:rsidP="00597E76">
      <w:pPr>
        <w:pStyle w:val="Nadpis1"/>
        <w:rPr>
          <w:lang w:val="en-GB"/>
        </w:rPr>
      </w:pPr>
      <w:r w:rsidRPr="00650AE6">
        <w:rPr>
          <w:lang w:val="en-GB"/>
        </w:rPr>
        <w:t>Evaluation of </w:t>
      </w:r>
      <w:r w:rsidRPr="00597E76">
        <w:t>Cluster</w:t>
      </w:r>
      <w:r w:rsidRPr="00650AE6">
        <w:rPr>
          <w:lang w:val="en-GB"/>
        </w:rPr>
        <w:t xml:space="preserve"> Analysis</w:t>
      </w:r>
    </w:p>
    <w:p w:rsidR="00DE6490" w:rsidRPr="00650AE6" w:rsidRDefault="00DE6490" w:rsidP="00DE6490">
      <w:pPr>
        <w:pStyle w:val="textEM"/>
        <w:rPr>
          <w:rFonts w:cs="Times New Roman"/>
          <w:lang w:val="en-GB"/>
        </w:rPr>
      </w:pPr>
      <w:r w:rsidRPr="00650AE6">
        <w:rPr>
          <w:rFonts w:cs="Times New Roman"/>
          <w:lang w:val="en-GB"/>
        </w:rPr>
        <w:t xml:space="preserve">This section of the article contains a summary of the results of the data processing in order to monitor the possibility of segmenting students and applicants. </w:t>
      </w:r>
    </w:p>
    <w:p w:rsidR="00DE6490" w:rsidRPr="00650AE6" w:rsidRDefault="00DE6490" w:rsidP="00DE6490">
      <w:pPr>
        <w:pStyle w:val="textEM"/>
        <w:rPr>
          <w:rFonts w:cs="Times New Roman"/>
          <w:lang w:val="en-GB"/>
        </w:rPr>
      </w:pPr>
      <w:r w:rsidRPr="00650AE6">
        <w:rPr>
          <w:rFonts w:cs="Times New Roman"/>
          <w:lang w:val="en-GB"/>
        </w:rPr>
        <w:t>The result of the distribution of the entire sample (the respondents from among current university students) of Type 1 into clusters brought these characteristics of each group of respondents (see Tab. 4).</w:t>
      </w:r>
    </w:p>
    <w:p w:rsidR="00DE6490" w:rsidRPr="00650AE6" w:rsidRDefault="00DE6490" w:rsidP="00DE6490">
      <w:pPr>
        <w:pStyle w:val="textEM"/>
        <w:rPr>
          <w:rFonts w:cs="Times New Roman"/>
          <w:lang w:val="en-GB"/>
        </w:rPr>
      </w:pPr>
      <w:r w:rsidRPr="00650AE6">
        <w:rPr>
          <w:rFonts w:cs="Times New Roman"/>
          <w:lang w:val="en-GB"/>
        </w:rPr>
        <w:t xml:space="preserve">Cluster 1 – For this cluster, the certainty of using the education is dominant, including the option of gaining experience, which is certainly connected while the prestige of the university has a great influence. Almost as important are the university facilities, accommodation and financial demands of studying. In this cluster, the recommendation of friends and family has almost no significance. </w:t>
      </w:r>
    </w:p>
    <w:p w:rsidR="00DE6490" w:rsidRPr="00650AE6" w:rsidRDefault="00DE6490" w:rsidP="00DE6490">
      <w:pPr>
        <w:pStyle w:val="textEM"/>
        <w:rPr>
          <w:rFonts w:cs="Times New Roman"/>
          <w:lang w:val="en-GB"/>
        </w:rPr>
      </w:pPr>
      <w:r w:rsidRPr="00650AE6">
        <w:rPr>
          <w:rFonts w:cs="Times New Roman"/>
          <w:lang w:val="en-GB"/>
        </w:rPr>
        <w:t xml:space="preserve">Cluster 2 – Respondents included in this cluster place distance from the place of residence and the financial demands of study in first place. The certainty of using the education is also important for them along with the difficulty of study and the admission procedures. Recommendations of friends and family are more important than university facilities and </w:t>
      </w:r>
      <w:r w:rsidRPr="00650AE6">
        <w:rPr>
          <w:rFonts w:cs="Times New Roman"/>
          <w:lang w:val="en-GB"/>
        </w:rPr>
        <w:lastRenderedPageBreak/>
        <w:t>opportunities to study abroad. The identification codes indicate that almost 70% of respondents studying at the University of Pardubice are found in this cluster.</w:t>
      </w:r>
    </w:p>
    <w:p w:rsidR="00DE6490" w:rsidRPr="00650AE6" w:rsidRDefault="00DE6490" w:rsidP="00DE6490">
      <w:pPr>
        <w:pStyle w:val="textEM"/>
        <w:rPr>
          <w:rFonts w:cs="Times New Roman"/>
          <w:lang w:val="en-GB"/>
        </w:rPr>
      </w:pPr>
      <w:r w:rsidRPr="00650AE6">
        <w:rPr>
          <w:rFonts w:cs="Times New Roman"/>
          <w:lang w:val="en-GB"/>
        </w:rPr>
        <w:t xml:space="preserve">Cluster 3 – Similar to Cluster 1, the important factor here is the ability to use the education and the prestige of the university, followed by the possibility of gaining experience in the field. The recommendations of friends also play a role, as does the difficulty of studies and admission procedures or distance from the place of residence. The identification codes show that 40% of the respondents here are among those of continuing study; i.e., students from higher grades. </w:t>
      </w:r>
    </w:p>
    <w:p w:rsidR="00DE6490" w:rsidRPr="00650AE6" w:rsidRDefault="00DE6490" w:rsidP="00DE6490">
      <w:pPr>
        <w:pStyle w:val="textEM"/>
        <w:rPr>
          <w:rFonts w:cs="Times New Roman"/>
          <w:lang w:val="en-GB"/>
        </w:rPr>
      </w:pPr>
      <w:r w:rsidRPr="00650AE6">
        <w:rPr>
          <w:rFonts w:cs="Times New Roman"/>
          <w:lang w:val="en-GB"/>
        </w:rPr>
        <w:t>Cluster 4 – This cluster primarily favours accommodation in the selection of a university, as well as the difficulty of studies, entrance examinations and the financial demands of studying. In the next positions are the success rate of work placements, university facilities, quality of accommodation, distance from the place of residence and the prestige of the university or the possibility of gaining experience in the field. Recommendations of friends and family are ranked among the last positions, along with cultural and sports facilities and opportunities to study abroad. Similarly, as in cluster 2, there are here many respondents studying at the University of Pardubice (80%). There is one more interesting point here; in comparison with other clusters, there is a preponderance of third year students.</w:t>
      </w:r>
    </w:p>
    <w:p w:rsidR="00DE6490" w:rsidRPr="00650AE6" w:rsidRDefault="00DE6490" w:rsidP="00DE6490">
      <w:pPr>
        <w:pStyle w:val="textEM"/>
        <w:rPr>
          <w:rFonts w:cs="Times New Roman"/>
          <w:lang w:val="en-GB"/>
        </w:rPr>
      </w:pPr>
      <w:r w:rsidRPr="00650AE6">
        <w:rPr>
          <w:rFonts w:cs="Times New Roman"/>
          <w:lang w:val="en-GB"/>
        </w:rPr>
        <w:t xml:space="preserve">For clusters 1 and 2, the most important attribute when choosing a university is usability and prestige, while the clusters differ in whether respondents deal with the problem of accommodation or not. </w:t>
      </w:r>
    </w:p>
    <w:p w:rsidR="00DE6490" w:rsidRDefault="00DE6490" w:rsidP="00DE6490">
      <w:pPr>
        <w:pStyle w:val="textEM"/>
        <w:rPr>
          <w:rFonts w:cs="Times New Roman"/>
          <w:lang w:val="en-GB"/>
        </w:rPr>
      </w:pPr>
      <w:r w:rsidRPr="00650AE6">
        <w:rPr>
          <w:rFonts w:cs="Times New Roman"/>
          <w:lang w:val="en-GB"/>
        </w:rPr>
        <w:t>For clusters 2 and 4, the most important items are the difficulty of the studies and admission procedures and financial requirements. Again, they differ in the need to deal with accommodation (cluster 2 is based on distance; cluster 4 is based on options of accommodation).</w:t>
      </w:r>
    </w:p>
    <w:p w:rsidR="005719FE" w:rsidRPr="00650AE6" w:rsidRDefault="005719FE" w:rsidP="00DE6490">
      <w:pPr>
        <w:pStyle w:val="textEM"/>
        <w:rPr>
          <w:rFonts w:cs="Times New Roman"/>
          <w:lang w:val="en-GB"/>
        </w:rPr>
      </w:pPr>
    </w:p>
    <w:p w:rsidR="00DE6490" w:rsidRPr="00650AE6" w:rsidRDefault="00DE6490" w:rsidP="00597E76">
      <w:pPr>
        <w:pStyle w:val="Nadpis1"/>
        <w:rPr>
          <w:lang w:val="en-GB"/>
        </w:rPr>
      </w:pPr>
      <w:r w:rsidRPr="00597E76">
        <w:t>Conclusions</w:t>
      </w:r>
    </w:p>
    <w:p w:rsidR="00DE6490" w:rsidRPr="00650AE6" w:rsidRDefault="00DE6490" w:rsidP="00DE6490">
      <w:pPr>
        <w:pStyle w:val="textEM"/>
        <w:rPr>
          <w:rFonts w:cs="Times New Roman"/>
          <w:lang w:val="en-GB"/>
        </w:rPr>
      </w:pPr>
      <w:r w:rsidRPr="00650AE6">
        <w:rPr>
          <w:rFonts w:cs="Times New Roman"/>
          <w:lang w:val="en-GB"/>
        </w:rPr>
        <w:t>Using clustering options to analyse the survey among applicants for studies at universities and university students was done on model data. This demonstrated the possibility to understand information based on results from the questionnaire survey. The paper describes the segments that can be found on the market of candidates for higher education in the CR and determines the criteria of critical importance when choosing a university.</w:t>
      </w:r>
    </w:p>
    <w:p w:rsidR="00DE6490" w:rsidRPr="00650AE6" w:rsidRDefault="00DE6490" w:rsidP="00DE6490">
      <w:pPr>
        <w:pStyle w:val="textEM"/>
        <w:rPr>
          <w:rFonts w:cs="Times New Roman"/>
          <w:lang w:val="en-GB"/>
        </w:rPr>
      </w:pPr>
      <w:r w:rsidRPr="00650AE6">
        <w:rPr>
          <w:rFonts w:cs="Times New Roman"/>
          <w:lang w:val="en-GB"/>
        </w:rPr>
        <w:t>The survey, for example, makes it obvious that if a university wants to target students who have a potentially significantly higher chance of success at school and to complete it, it can focus on information providing greater evidence of the possibilities of applying the education. However, there is a rather not insignificant group of candidates who include sport and university events as important selection criteria. Given that such a profiled segment has not yet appeared in a breakdown of current university students, it could be assumed that this type of candidate may not successfully complete their studies at a university. This conclusion cannot be clearly confirmed; it would be appropriate to posit a hypothesis and explore it in greater detail with further surveys.</w:t>
      </w:r>
    </w:p>
    <w:p w:rsidR="00DE6490" w:rsidRPr="00650AE6" w:rsidRDefault="00DE6490" w:rsidP="00DE6490">
      <w:pPr>
        <w:pStyle w:val="textEM"/>
        <w:rPr>
          <w:rFonts w:cs="Times New Roman"/>
          <w:lang w:val="en-GB"/>
        </w:rPr>
      </w:pPr>
      <w:r w:rsidRPr="00650AE6">
        <w:rPr>
          <w:rFonts w:cs="Times New Roman"/>
          <w:lang w:val="en-GB"/>
        </w:rPr>
        <w:t>In the case of applicants for studying, a specific group was profiled that introduced the position of the most important influence their choice of university, “attractiveness of the university city”. This is interesting information for the universities which can use this information when preparing promotional materials. Regional universities, such as the University of Pardubice, do not use this. This would probably concern candidates thus oriented towards regional universities.</w:t>
      </w:r>
    </w:p>
    <w:p w:rsidR="00DE6490" w:rsidRPr="00650AE6" w:rsidRDefault="00DE6490" w:rsidP="00DE6490">
      <w:pPr>
        <w:pStyle w:val="textEM"/>
        <w:rPr>
          <w:rFonts w:cs="Times New Roman"/>
          <w:lang w:val="en-GB"/>
        </w:rPr>
      </w:pPr>
      <w:r w:rsidRPr="00650AE6">
        <w:rPr>
          <w:rFonts w:cs="Times New Roman"/>
          <w:lang w:val="en-GB"/>
        </w:rPr>
        <w:t xml:space="preserve">The cluster analysis conducted by the university students revealed that among 4 main reasons, most students most often stated “the certainty of using the education”, but introduced other interesting information that students sometimes make decisions placing greater weight on the basis of the six other criteria. Among these are accommodation options, distance from the place of residence, financial demands of study, difficulty of admission procedures and </w:t>
      </w:r>
      <w:r w:rsidRPr="00650AE6">
        <w:rPr>
          <w:rFonts w:cs="Times New Roman"/>
          <w:lang w:val="en-GB"/>
        </w:rPr>
        <w:lastRenderedPageBreak/>
        <w:t>the studies. For marketing workers, it is a question of the factors that will be considered when creating the “essence” of the marketing materials. They will be completed based on whichever group of applicants are most important for the university. The segment which will subsequently be targeted using this knowledge will likely react better to the signal which resonates more strongly internally. This may then be the decisive factor which generates sufficient interest for a university among the applicants.</w:t>
      </w:r>
    </w:p>
    <w:p w:rsidR="00DE6490" w:rsidRPr="00650AE6" w:rsidRDefault="00DE6490" w:rsidP="00DE6490">
      <w:pPr>
        <w:pStyle w:val="textEM"/>
        <w:rPr>
          <w:rFonts w:cs="Times New Roman"/>
          <w:lang w:val="en-GB"/>
        </w:rPr>
      </w:pPr>
      <w:r w:rsidRPr="00650AE6">
        <w:rPr>
          <w:rFonts w:cs="Times New Roman"/>
          <w:lang w:val="en-GB"/>
        </w:rPr>
        <w:t xml:space="preserve">The market space in which universities move is quite narrow; far more significant differences would be obtained by the use of cluster analysis in the public administration sectors where is more diverse mix of customers. </w:t>
      </w:r>
    </w:p>
    <w:p w:rsidR="00DE6490" w:rsidRPr="00650AE6" w:rsidRDefault="00DE6490" w:rsidP="00DE6490">
      <w:pPr>
        <w:pStyle w:val="textEM"/>
        <w:rPr>
          <w:rFonts w:cs="Times New Roman"/>
          <w:lang w:val="en-GB"/>
        </w:rPr>
      </w:pPr>
    </w:p>
    <w:p w:rsidR="00DE6490" w:rsidRPr="006A6DE9" w:rsidRDefault="00DE6490" w:rsidP="00597E76">
      <w:pPr>
        <w:pStyle w:val="Nadpis1"/>
        <w:rPr>
          <w:lang w:val="en-GB"/>
        </w:rPr>
      </w:pPr>
      <w:r w:rsidRPr="00597E76">
        <w:t>References</w:t>
      </w:r>
    </w:p>
    <w:bookmarkStart w:id="2" w:name="_GoBack"/>
    <w:p w:rsidR="00B16C41" w:rsidRPr="00B16C41" w:rsidRDefault="00DE6490" w:rsidP="00597E76">
      <w:pPr>
        <w:pStyle w:val="EndNoteBibliography"/>
        <w:spacing w:after="0"/>
        <w:ind w:left="720" w:hanging="578"/>
      </w:pPr>
      <w:r w:rsidRPr="00B16C41">
        <w:rPr>
          <w:szCs w:val="24"/>
          <w:lang w:val="en-GB"/>
        </w:rPr>
        <w:fldChar w:fldCharType="begin"/>
      </w:r>
      <w:r w:rsidRPr="00B16C41">
        <w:rPr>
          <w:szCs w:val="24"/>
          <w:lang w:val="en-GB"/>
        </w:rPr>
        <w:instrText xml:space="preserve"> ADDIN EN.REFLIST </w:instrText>
      </w:r>
      <w:r w:rsidRPr="00B16C41">
        <w:rPr>
          <w:szCs w:val="24"/>
          <w:lang w:val="en-GB"/>
        </w:rPr>
        <w:fldChar w:fldCharType="separate"/>
      </w:r>
      <w:r w:rsidR="00B16C41" w:rsidRPr="00B16C41">
        <w:t xml:space="preserve">Abrami, P.C. and S. d'Apollonia, </w:t>
      </w:r>
      <w:r w:rsidR="00B16C41" w:rsidRPr="00B16C41">
        <w:rPr>
          <w:i/>
        </w:rPr>
        <w:t>Multidimensional students' evaluations of teaching effectiveness: Generalizability of" N= 1" research: Comment on Marsh (1991).</w:t>
      </w:r>
      <w:r w:rsidR="00B16C41" w:rsidRPr="00B16C41">
        <w:t xml:space="preserve"> 1991.</w:t>
      </w:r>
    </w:p>
    <w:p w:rsidR="00B16C41" w:rsidRPr="00B16C41" w:rsidRDefault="00B16C41" w:rsidP="00597E76">
      <w:pPr>
        <w:pStyle w:val="EndNoteBibliography"/>
        <w:spacing w:after="0"/>
        <w:ind w:left="720" w:hanging="578"/>
      </w:pPr>
      <w:r w:rsidRPr="00B16C41">
        <w:t xml:space="preserve">Ali, F., et al., </w:t>
      </w:r>
      <w:r w:rsidRPr="00B16C41">
        <w:rPr>
          <w:i/>
        </w:rPr>
        <w:t>Does higher education service quality effect student satisfaction, image and loyalty? A study of international students in Malaysian public universities.</w:t>
      </w:r>
      <w:r w:rsidRPr="00B16C41">
        <w:t xml:space="preserve"> Quality Assurance in Education, 2016. </w:t>
      </w:r>
      <w:r w:rsidRPr="00B16C41">
        <w:rPr>
          <w:b/>
        </w:rPr>
        <w:t>24</w:t>
      </w:r>
      <w:r w:rsidRPr="00B16C41">
        <w:t>(1): p. 70-94.</w:t>
      </w:r>
    </w:p>
    <w:p w:rsidR="00B16C41" w:rsidRPr="00B16C41" w:rsidRDefault="00B16C41" w:rsidP="00597E76">
      <w:pPr>
        <w:pStyle w:val="EndNoteBibliography"/>
        <w:spacing w:after="0"/>
        <w:ind w:left="720" w:hanging="578"/>
      </w:pPr>
      <w:r w:rsidRPr="00B16C41">
        <w:t xml:space="preserve">Berk, R.A., </w:t>
      </w:r>
      <w:r w:rsidRPr="00B16C41">
        <w:rPr>
          <w:i/>
        </w:rPr>
        <w:t>Survey of 12 strategies to measure teaching effectiveness.</w:t>
      </w:r>
      <w:r w:rsidRPr="00B16C41">
        <w:t xml:space="preserve"> International journal of teaching and learning in higher education, 2005. </w:t>
      </w:r>
      <w:r w:rsidRPr="00B16C41">
        <w:rPr>
          <w:b/>
        </w:rPr>
        <w:t>17</w:t>
      </w:r>
      <w:r w:rsidRPr="00B16C41">
        <w:t>(1): p. 48-62.</w:t>
      </w:r>
    </w:p>
    <w:p w:rsidR="00B16C41" w:rsidRPr="00B16C41" w:rsidRDefault="00B16C41" w:rsidP="00597E76">
      <w:pPr>
        <w:pStyle w:val="EndNoteBibliography"/>
        <w:spacing w:after="0"/>
        <w:ind w:left="720" w:hanging="578"/>
      </w:pPr>
      <w:r w:rsidRPr="00B16C41">
        <w:t xml:space="preserve">Cabrera, A.F., W. de Vries, and S. Anderson, </w:t>
      </w:r>
      <w:r w:rsidRPr="00B16C41">
        <w:rPr>
          <w:i/>
        </w:rPr>
        <w:t>Job satisfaction among Mexican alumni: A case of incongruence between hunch-based policies and labor market demands.</w:t>
      </w:r>
      <w:r w:rsidRPr="00B16C41">
        <w:t xml:space="preserve"> Higher Education, 2008. </w:t>
      </w:r>
      <w:r w:rsidRPr="00B16C41">
        <w:rPr>
          <w:b/>
        </w:rPr>
        <w:t>56</w:t>
      </w:r>
      <w:r w:rsidRPr="00B16C41">
        <w:t>(6): p. 699-722.</w:t>
      </w:r>
    </w:p>
    <w:p w:rsidR="00B16C41" w:rsidRPr="00B16C41" w:rsidRDefault="00B16C41" w:rsidP="00597E76">
      <w:pPr>
        <w:pStyle w:val="EndNoteBibliography"/>
        <w:spacing w:after="0"/>
        <w:ind w:left="720" w:hanging="578"/>
      </w:pPr>
      <w:r w:rsidRPr="00B16C41">
        <w:t xml:space="preserve">Cashin, W.E. and R.G. Downey, </w:t>
      </w:r>
      <w:r w:rsidRPr="00B16C41">
        <w:rPr>
          <w:i/>
        </w:rPr>
        <w:t>Using global student rating items for summative evaluation.</w:t>
      </w:r>
      <w:r w:rsidRPr="00B16C41">
        <w:t xml:space="preserve"> Journal of educational Psychology, 1992. </w:t>
      </w:r>
      <w:r w:rsidRPr="00B16C41">
        <w:rPr>
          <w:b/>
        </w:rPr>
        <w:t>84</w:t>
      </w:r>
      <w:r w:rsidRPr="00B16C41">
        <w:t>(4): p. 563.</w:t>
      </w:r>
    </w:p>
    <w:p w:rsidR="00B16C41" w:rsidRPr="00B16C41" w:rsidRDefault="00B16C41" w:rsidP="00597E76">
      <w:pPr>
        <w:pStyle w:val="EndNoteBibliography"/>
        <w:spacing w:after="0"/>
        <w:ind w:left="720" w:hanging="578"/>
      </w:pPr>
      <w:r w:rsidRPr="00B16C41">
        <w:t xml:space="preserve">Cremonini, L., D. Westerheijden, and J. Enders, </w:t>
      </w:r>
      <w:r w:rsidRPr="00B16C41">
        <w:rPr>
          <w:i/>
        </w:rPr>
        <w:t>Disseminating the right information to the right audience: Cultural determinants in the use (and misuse) of rankings.</w:t>
      </w:r>
      <w:r w:rsidRPr="00B16C41">
        <w:t xml:space="preserve"> Higher Education, 2008. </w:t>
      </w:r>
      <w:r w:rsidRPr="00B16C41">
        <w:rPr>
          <w:b/>
        </w:rPr>
        <w:t>55</w:t>
      </w:r>
      <w:r w:rsidRPr="00B16C41">
        <w:t>(3): p. 373-385.</w:t>
      </w:r>
    </w:p>
    <w:p w:rsidR="00B16C41" w:rsidRPr="00B16C41" w:rsidRDefault="00B16C41" w:rsidP="00597E76">
      <w:pPr>
        <w:pStyle w:val="EndNoteBibliography"/>
        <w:spacing w:after="0"/>
        <w:ind w:left="720" w:hanging="578"/>
      </w:pPr>
      <w:r w:rsidRPr="00B16C41">
        <w:t xml:space="preserve">De Witte, K. and N. Rogge, </w:t>
      </w:r>
      <w:r w:rsidRPr="00B16C41">
        <w:rPr>
          <w:i/>
        </w:rPr>
        <w:t>Accounting for exogenous influences in performance evaluations of teachers.</w:t>
      </w:r>
      <w:r w:rsidRPr="00B16C41">
        <w:t xml:space="preserve"> Economics of Education Review, 2011. </w:t>
      </w:r>
      <w:r w:rsidRPr="00B16C41">
        <w:rPr>
          <w:b/>
        </w:rPr>
        <w:t>30</w:t>
      </w:r>
      <w:r w:rsidRPr="00B16C41">
        <w:t>(4): p. 641-653.</w:t>
      </w:r>
    </w:p>
    <w:p w:rsidR="00B16C41" w:rsidRPr="00B16C41" w:rsidRDefault="00B16C41" w:rsidP="00597E76">
      <w:pPr>
        <w:pStyle w:val="EndNoteBibliography"/>
        <w:spacing w:after="0"/>
        <w:ind w:left="720" w:hanging="578"/>
      </w:pPr>
      <w:r w:rsidRPr="00B16C41">
        <w:t xml:space="preserve">Doucek, P., M. Maryska, and O. Novotny, </w:t>
      </w:r>
      <w:r w:rsidRPr="00B16C41">
        <w:rPr>
          <w:i/>
        </w:rPr>
        <w:t>The analysis of university graduates ICT related study programs/Analyza souladu obsahu ICT studijnich oboru s pozadavky praxe v Ceske republice.</w:t>
      </w:r>
      <w:r w:rsidRPr="00B16C41">
        <w:t xml:space="preserve"> E+ M Ekonomie a Management, 2013. </w:t>
      </w:r>
      <w:r w:rsidRPr="00B16C41">
        <w:rPr>
          <w:b/>
        </w:rPr>
        <w:t>16</w:t>
      </w:r>
      <w:r w:rsidRPr="00B16C41">
        <w:t>(3): p. 148-162.</w:t>
      </w:r>
    </w:p>
    <w:p w:rsidR="00B16C41" w:rsidRPr="00B16C41" w:rsidRDefault="00B16C41" w:rsidP="00597E76">
      <w:pPr>
        <w:pStyle w:val="EndNoteBibliography"/>
        <w:spacing w:after="0"/>
        <w:ind w:left="720" w:hanging="578"/>
      </w:pPr>
      <w:r w:rsidRPr="00B16C41">
        <w:t xml:space="preserve">Chapman, R.G., </w:t>
      </w:r>
      <w:r w:rsidRPr="00B16C41">
        <w:rPr>
          <w:i/>
        </w:rPr>
        <w:t>Toward a theory of college selection: A model of college search and choice behavior.</w:t>
      </w:r>
      <w:r w:rsidRPr="00B16C41">
        <w:t xml:space="preserve"> ACR North American Advances, 1986.</w:t>
      </w:r>
    </w:p>
    <w:p w:rsidR="00B16C41" w:rsidRPr="00B16C41" w:rsidRDefault="00B16C41" w:rsidP="00597E76">
      <w:pPr>
        <w:pStyle w:val="EndNoteBibliography"/>
        <w:spacing w:after="0"/>
        <w:ind w:left="720" w:hanging="578"/>
      </w:pPr>
      <w:r w:rsidRPr="00B16C41">
        <w:t xml:space="preserve">Jenkins, A., et al., </w:t>
      </w:r>
      <w:r w:rsidRPr="00B16C41">
        <w:rPr>
          <w:i/>
        </w:rPr>
        <w:t>Teaching and research: Student perspectives and policy implications.</w:t>
      </w:r>
      <w:r w:rsidRPr="00B16C41">
        <w:t xml:space="preserve"> Studies in Higher education, 1998. </w:t>
      </w:r>
      <w:r w:rsidRPr="00B16C41">
        <w:rPr>
          <w:b/>
        </w:rPr>
        <w:t>23</w:t>
      </w:r>
      <w:r w:rsidRPr="00B16C41">
        <w:t>(2): p. 127-141.</w:t>
      </w:r>
    </w:p>
    <w:p w:rsidR="00B16C41" w:rsidRPr="00B16C41" w:rsidRDefault="00B16C41" w:rsidP="00597E76">
      <w:pPr>
        <w:pStyle w:val="EndNoteBibliography"/>
        <w:spacing w:after="0"/>
        <w:ind w:left="720" w:hanging="578"/>
      </w:pPr>
      <w:r w:rsidRPr="00B16C41">
        <w:t xml:space="preserve">Kotler, P. and G. Armstrong, </w:t>
      </w:r>
      <w:r w:rsidRPr="00B16C41">
        <w:rPr>
          <w:i/>
        </w:rPr>
        <w:t>Principles of marketing</w:t>
      </w:r>
      <w:r w:rsidRPr="00B16C41">
        <w:t>. 2010: Pearson education.</w:t>
      </w:r>
    </w:p>
    <w:p w:rsidR="00B16C41" w:rsidRPr="00B16C41" w:rsidRDefault="00B16C41" w:rsidP="00597E76">
      <w:pPr>
        <w:pStyle w:val="EndNoteBibliography"/>
        <w:spacing w:after="0"/>
        <w:ind w:left="720" w:hanging="578"/>
      </w:pPr>
      <w:r w:rsidRPr="00B16C41">
        <w:t xml:space="preserve">Kuzmanovic, M., et al., </w:t>
      </w:r>
      <w:r w:rsidRPr="00B16C41">
        <w:rPr>
          <w:i/>
        </w:rPr>
        <w:t>A new approach to evaluation of university teaching considering heterogeneity of students’ preferences.</w:t>
      </w:r>
      <w:r w:rsidRPr="00B16C41">
        <w:t xml:space="preserve"> Higher Education, 2013. </w:t>
      </w:r>
      <w:r w:rsidRPr="00B16C41">
        <w:rPr>
          <w:b/>
        </w:rPr>
        <w:t>66</w:t>
      </w:r>
      <w:r w:rsidRPr="00B16C41">
        <w:t>(2): p. 153-171.</w:t>
      </w:r>
    </w:p>
    <w:p w:rsidR="00B16C41" w:rsidRPr="00B16C41" w:rsidRDefault="00B16C41" w:rsidP="00597E76">
      <w:pPr>
        <w:pStyle w:val="EndNoteBibliography"/>
        <w:spacing w:after="0"/>
        <w:ind w:left="720" w:hanging="578"/>
      </w:pPr>
      <w:r w:rsidRPr="00B16C41">
        <w:t xml:space="preserve">Marsh, H.W., </w:t>
      </w:r>
      <w:r w:rsidRPr="00B16C41">
        <w:rPr>
          <w:i/>
        </w:rPr>
        <w:t>Students’ Evaluations of University Teaching: Dimensionality, Reliability, Validity, Potential Biases and Usefulness</w:t>
      </w:r>
      <w:r w:rsidRPr="00B16C41">
        <w:t xml:space="preserve">, in </w:t>
      </w:r>
      <w:r w:rsidRPr="00B16C41">
        <w:rPr>
          <w:i/>
        </w:rPr>
        <w:t>The Scholarship of Teaching and Learning in Higher Education: An Evidence-Based Perspective</w:t>
      </w:r>
      <w:r w:rsidRPr="00B16C41">
        <w:t>, R.P. Perry and J.C. Smart, Editors. 2007, Springer Netherlands: Dordrecht. p. 319-383.</w:t>
      </w:r>
    </w:p>
    <w:p w:rsidR="00B16C41" w:rsidRPr="00B16C41" w:rsidRDefault="00B16C41" w:rsidP="00597E76">
      <w:pPr>
        <w:pStyle w:val="EndNoteBibliography"/>
        <w:spacing w:after="0"/>
        <w:ind w:left="720" w:hanging="578"/>
      </w:pPr>
      <w:r w:rsidRPr="00B16C41">
        <w:t xml:space="preserve">Martínez-Gómez, M., et al., </w:t>
      </w:r>
      <w:r w:rsidRPr="00B16C41">
        <w:rPr>
          <w:i/>
        </w:rPr>
        <w:t>A multivariate method for analyzing and improving the use of student evaluation of teaching questionnaires: a case study.</w:t>
      </w:r>
      <w:r w:rsidRPr="00B16C41">
        <w:t xml:space="preserve"> Quality &amp; Quantity, 2011. </w:t>
      </w:r>
      <w:r w:rsidRPr="00B16C41">
        <w:rPr>
          <w:b/>
        </w:rPr>
        <w:t>45</w:t>
      </w:r>
      <w:r w:rsidRPr="00B16C41">
        <w:t>(6): p. 1415-1427.</w:t>
      </w:r>
    </w:p>
    <w:p w:rsidR="00B16C41" w:rsidRPr="00B16C41" w:rsidRDefault="00B16C41" w:rsidP="00597E76">
      <w:pPr>
        <w:pStyle w:val="EndNoteBibliography"/>
        <w:spacing w:after="0"/>
        <w:ind w:left="720" w:hanging="578"/>
      </w:pPr>
      <w:r w:rsidRPr="00B16C41">
        <w:t xml:space="preserve">McNally, B., et al., </w:t>
      </w:r>
      <w:r w:rsidRPr="00B16C41">
        <w:rPr>
          <w:i/>
        </w:rPr>
        <w:t>Flipped classroom experiences: student preferences and flip strategy in a higher education context.</w:t>
      </w:r>
      <w:r w:rsidRPr="00B16C41">
        <w:t xml:space="preserve"> Higher Education, 2017. </w:t>
      </w:r>
      <w:r w:rsidRPr="00B16C41">
        <w:rPr>
          <w:b/>
        </w:rPr>
        <w:t>73</w:t>
      </w:r>
      <w:r w:rsidRPr="00B16C41">
        <w:t>(2): p. 281-298.</w:t>
      </w:r>
    </w:p>
    <w:p w:rsidR="00B16C41" w:rsidRPr="00B16C41" w:rsidRDefault="00B16C41" w:rsidP="00597E76">
      <w:pPr>
        <w:pStyle w:val="EndNoteBibliography"/>
        <w:spacing w:after="0"/>
        <w:ind w:left="720" w:hanging="578"/>
      </w:pPr>
      <w:r w:rsidRPr="00B16C41">
        <w:t xml:space="preserve">Menon, M.E., A. Saiti, and M. Socratous, </w:t>
      </w:r>
      <w:r w:rsidRPr="00B16C41">
        <w:rPr>
          <w:i/>
        </w:rPr>
        <w:t>Rationality, information search and choice in higher education: Evidence from Greece.</w:t>
      </w:r>
      <w:r w:rsidRPr="00B16C41">
        <w:t xml:space="preserve"> Higher Education, 2007. </w:t>
      </w:r>
      <w:r w:rsidRPr="00B16C41">
        <w:rPr>
          <w:b/>
        </w:rPr>
        <w:t>54</w:t>
      </w:r>
      <w:r w:rsidRPr="00B16C41">
        <w:t>(5): p. 705-721.</w:t>
      </w:r>
    </w:p>
    <w:p w:rsidR="00B16C41" w:rsidRPr="00B16C41" w:rsidRDefault="00B16C41" w:rsidP="00597E76">
      <w:pPr>
        <w:pStyle w:val="EndNoteBibliography"/>
        <w:spacing w:after="0"/>
        <w:ind w:left="720" w:hanging="578"/>
      </w:pPr>
      <w:r w:rsidRPr="00B16C41">
        <w:lastRenderedPageBreak/>
        <w:t xml:space="preserve">Novotny, J. and P. Duspiva, </w:t>
      </w:r>
      <w:r w:rsidRPr="00B16C41">
        <w:rPr>
          <w:i/>
        </w:rPr>
        <w:t>Factors influencing consumers' buying behavior and their importance for enterprises/Faktory ovlivnujici kupni chovani spotrebitelu a jejich vyznam pro podniky.</w:t>
      </w:r>
      <w:r w:rsidRPr="00B16C41">
        <w:t xml:space="preserve"> E+ M Ekonomie a Management, 2014. </w:t>
      </w:r>
      <w:r w:rsidRPr="00B16C41">
        <w:rPr>
          <w:b/>
        </w:rPr>
        <w:t>17</w:t>
      </w:r>
      <w:r w:rsidRPr="00B16C41">
        <w:t>(1): p. 152-167.</w:t>
      </w:r>
    </w:p>
    <w:p w:rsidR="00B16C41" w:rsidRPr="00B16C41" w:rsidRDefault="00B16C41" w:rsidP="00597E76">
      <w:pPr>
        <w:pStyle w:val="EndNoteBibliography"/>
        <w:spacing w:after="0"/>
        <w:ind w:left="720" w:hanging="578"/>
      </w:pPr>
      <w:r w:rsidRPr="00B16C41">
        <w:t xml:space="preserve">Reveszova, L., </w:t>
      </w:r>
      <w:r w:rsidRPr="00B16C41">
        <w:rPr>
          <w:i/>
        </w:rPr>
        <w:t>Designing modern informatics education for future managers and advanced users according to their knowledge base.</w:t>
      </w:r>
      <w:r w:rsidRPr="00B16C41">
        <w:t xml:space="preserve"> E+ M Ekonomie a Management, 2016(4): p. 186.</w:t>
      </w:r>
    </w:p>
    <w:p w:rsidR="00B16C41" w:rsidRPr="00B16C41" w:rsidRDefault="00B16C41" w:rsidP="00597E76">
      <w:pPr>
        <w:pStyle w:val="EndNoteBibliography"/>
        <w:spacing w:after="0"/>
        <w:ind w:left="720" w:hanging="578"/>
      </w:pPr>
      <w:r w:rsidRPr="00B16C41">
        <w:t xml:space="preserve">Russell, J., D. Rosenthal, and G. Thomson, </w:t>
      </w:r>
      <w:r w:rsidRPr="00B16C41">
        <w:rPr>
          <w:i/>
        </w:rPr>
        <w:t>The international student experience: three styles of adaptation.</w:t>
      </w:r>
      <w:r w:rsidRPr="00B16C41">
        <w:t xml:space="preserve"> Higher Education, 2010. </w:t>
      </w:r>
      <w:r w:rsidRPr="00B16C41">
        <w:rPr>
          <w:b/>
        </w:rPr>
        <w:t>60</w:t>
      </w:r>
      <w:r w:rsidRPr="00B16C41">
        <w:t>(2): p. 235-249.</w:t>
      </w:r>
    </w:p>
    <w:p w:rsidR="00B16C41" w:rsidRPr="00B16C41" w:rsidRDefault="00B16C41" w:rsidP="00597E76">
      <w:pPr>
        <w:pStyle w:val="EndNoteBibliography"/>
        <w:spacing w:after="0"/>
        <w:ind w:left="720" w:hanging="578"/>
      </w:pPr>
      <w:r w:rsidRPr="00B16C41">
        <w:t xml:space="preserve">Shumar, W., </w:t>
      </w:r>
      <w:r w:rsidRPr="00B16C41">
        <w:rPr>
          <w:i/>
        </w:rPr>
        <w:t>College for sale: A critique of the commodification of higher education</w:t>
      </w:r>
      <w:r w:rsidRPr="00B16C41">
        <w:t>. 1997: Psychology Press.</w:t>
      </w:r>
    </w:p>
    <w:p w:rsidR="00B16C41" w:rsidRPr="00B16C41" w:rsidRDefault="00B16C41" w:rsidP="00597E76">
      <w:pPr>
        <w:pStyle w:val="EndNoteBibliography"/>
        <w:spacing w:after="0"/>
        <w:ind w:left="720" w:hanging="578"/>
      </w:pPr>
      <w:r w:rsidRPr="00B16C41">
        <w:t xml:space="preserve">Somers, P., J. Cofer, and J. Vanderputten. </w:t>
      </w:r>
      <w:r w:rsidRPr="00B16C41">
        <w:rPr>
          <w:i/>
        </w:rPr>
        <w:t>The influence of early aspirations and attitudes on postsecondary attendance</w:t>
      </w:r>
      <w:r w:rsidRPr="00B16C41">
        <w:t xml:space="preserve">. in </w:t>
      </w:r>
      <w:r w:rsidRPr="00B16C41">
        <w:rPr>
          <w:i/>
        </w:rPr>
        <w:t>annual meeting of the American Educational Research Association, Montreal, Canada</w:t>
      </w:r>
      <w:r w:rsidRPr="00B16C41">
        <w:t>. 1999.</w:t>
      </w:r>
    </w:p>
    <w:p w:rsidR="00B16C41" w:rsidRPr="00B16C41" w:rsidRDefault="00B16C41" w:rsidP="00597E76">
      <w:pPr>
        <w:pStyle w:val="EndNoteBibliography"/>
        <w:spacing w:after="0"/>
        <w:ind w:left="720" w:hanging="578"/>
      </w:pPr>
      <w:r w:rsidRPr="00B16C41">
        <w:t xml:space="preserve">Stensaker, B., </w:t>
      </w:r>
      <w:r w:rsidRPr="00B16C41">
        <w:rPr>
          <w:i/>
        </w:rPr>
        <w:t>Organizational identity as a concept for understanding university dynamics.</w:t>
      </w:r>
      <w:r w:rsidRPr="00B16C41">
        <w:t xml:space="preserve"> Higher Education, 2015. </w:t>
      </w:r>
      <w:r w:rsidRPr="00B16C41">
        <w:rPr>
          <w:b/>
        </w:rPr>
        <w:t>69</w:t>
      </w:r>
      <w:r w:rsidRPr="00B16C41">
        <w:t>(1): p. 103-115.</w:t>
      </w:r>
    </w:p>
    <w:p w:rsidR="00B16C41" w:rsidRPr="00B16C41" w:rsidRDefault="00B16C41" w:rsidP="00597E76">
      <w:pPr>
        <w:pStyle w:val="EndNoteBibliography"/>
        <w:spacing w:after="0"/>
        <w:ind w:left="720" w:hanging="578"/>
      </w:pPr>
      <w:r w:rsidRPr="00B16C41">
        <w:t xml:space="preserve">Sultan, P. and H. Yin Wong, </w:t>
      </w:r>
      <w:r w:rsidRPr="00B16C41">
        <w:rPr>
          <w:i/>
        </w:rPr>
        <w:t>Antecedents and consequences of service quality in a higher education context: a qualitative research approach.</w:t>
      </w:r>
      <w:r w:rsidRPr="00B16C41">
        <w:t xml:space="preserve"> Quality assurance in education, 2013. </w:t>
      </w:r>
      <w:r w:rsidRPr="00B16C41">
        <w:rPr>
          <w:b/>
        </w:rPr>
        <w:t>21</w:t>
      </w:r>
      <w:r w:rsidRPr="00B16C41">
        <w:t>(1): p. 70-95.</w:t>
      </w:r>
    </w:p>
    <w:p w:rsidR="00B16C41" w:rsidRPr="00B16C41" w:rsidRDefault="00B16C41" w:rsidP="00597E76">
      <w:pPr>
        <w:pStyle w:val="EndNoteBibliography"/>
        <w:spacing w:after="0"/>
        <w:ind w:left="720" w:hanging="578"/>
      </w:pPr>
      <w:r w:rsidRPr="00B16C41">
        <w:t xml:space="preserve">Šipikal, M. and V. Némethová, </w:t>
      </w:r>
      <w:r w:rsidRPr="00B16C41">
        <w:rPr>
          <w:i/>
        </w:rPr>
        <w:t>VÝKONOVÉ FINANCOVANIE UNIVERZÍT–PRÍPADOVÁ ŠTÚDIA SLOVENSKA.</w:t>
      </w:r>
      <w:r w:rsidRPr="00B16C41">
        <w:t xml:space="preserve"> Scientific Papers of the University of Pardubice. Series D, Faculty of Economics &amp; Administration, 2017. </w:t>
      </w:r>
      <w:r w:rsidRPr="00B16C41">
        <w:rPr>
          <w:b/>
        </w:rPr>
        <w:t>25</w:t>
      </w:r>
      <w:r w:rsidRPr="00B16C41">
        <w:t>(41).</w:t>
      </w:r>
    </w:p>
    <w:p w:rsidR="00B16C41" w:rsidRPr="00B16C41" w:rsidRDefault="00B16C41" w:rsidP="00597E76">
      <w:pPr>
        <w:pStyle w:val="EndNoteBibliography"/>
        <w:spacing w:after="0"/>
        <w:ind w:left="720" w:hanging="578"/>
      </w:pPr>
      <w:r w:rsidRPr="00B16C41">
        <w:t xml:space="preserve">Turner, N., B. Wuetherick, and M. Healey, </w:t>
      </w:r>
      <w:r w:rsidRPr="00B16C41">
        <w:rPr>
          <w:i/>
        </w:rPr>
        <w:t>International perspectives on student awareness, experiences and perceptions of research: Implications for academic developers in implementing research‐based teaching and learning.</w:t>
      </w:r>
      <w:r w:rsidRPr="00B16C41">
        <w:t xml:space="preserve"> International Journal for Academic Development, 2008. </w:t>
      </w:r>
      <w:r w:rsidRPr="00B16C41">
        <w:rPr>
          <w:b/>
        </w:rPr>
        <w:t>13</w:t>
      </w:r>
      <w:r w:rsidRPr="00B16C41">
        <w:t>(3): p. 199-211.</w:t>
      </w:r>
    </w:p>
    <w:p w:rsidR="00B16C41" w:rsidRPr="00B16C41" w:rsidRDefault="00B16C41" w:rsidP="00597E76">
      <w:pPr>
        <w:pStyle w:val="EndNoteBibliography"/>
        <w:spacing w:after="0"/>
        <w:ind w:left="720" w:hanging="578"/>
      </w:pPr>
      <w:r w:rsidRPr="00B16C41">
        <w:t xml:space="preserve">Visser-Wijnveen, G.J., R.M. van der Rijst, and J.H. van Driel, </w:t>
      </w:r>
      <w:r w:rsidRPr="00B16C41">
        <w:rPr>
          <w:i/>
        </w:rPr>
        <w:t>A questionnaire to capture students’ perceptions of research integration in their courses.</w:t>
      </w:r>
      <w:r w:rsidRPr="00B16C41">
        <w:t xml:space="preserve"> Higher Education, 2016. </w:t>
      </w:r>
      <w:r w:rsidRPr="00B16C41">
        <w:rPr>
          <w:b/>
        </w:rPr>
        <w:t>71</w:t>
      </w:r>
      <w:r w:rsidRPr="00B16C41">
        <w:t>(4): p. 473-488.</w:t>
      </w:r>
    </w:p>
    <w:p w:rsidR="00B16C41" w:rsidRPr="00B16C41" w:rsidRDefault="00B16C41" w:rsidP="00597E76">
      <w:pPr>
        <w:pStyle w:val="EndNoteBibliography"/>
        <w:spacing w:after="0"/>
        <w:ind w:left="720" w:hanging="578"/>
      </w:pPr>
      <w:r w:rsidRPr="00B16C41">
        <w:t xml:space="preserve">White, N.R., </w:t>
      </w:r>
      <w:r w:rsidRPr="00B16C41">
        <w:rPr>
          <w:i/>
        </w:rPr>
        <w:t>‘The customer is always right?’: Student discourse about higher education in Australia.</w:t>
      </w:r>
      <w:r w:rsidRPr="00B16C41">
        <w:t xml:space="preserve"> Higher Education, 2007. </w:t>
      </w:r>
      <w:r w:rsidRPr="00B16C41">
        <w:rPr>
          <w:b/>
        </w:rPr>
        <w:t>54</w:t>
      </w:r>
      <w:r w:rsidRPr="00B16C41">
        <w:t>(4): p. 593-604.</w:t>
      </w:r>
    </w:p>
    <w:p w:rsidR="00B16C41" w:rsidRPr="00B16C41" w:rsidRDefault="00B16C41" w:rsidP="00597E76">
      <w:pPr>
        <w:pStyle w:val="EndNoteBibliography"/>
        <w:ind w:left="720" w:hanging="578"/>
      </w:pPr>
      <w:r w:rsidRPr="00B16C41">
        <w:t xml:space="preserve">Zambochova, M., </w:t>
      </w:r>
      <w:r w:rsidRPr="00B16C41">
        <w:rPr>
          <w:i/>
        </w:rPr>
        <w:t>Typology of foreign students interested in studying at czech universities.</w:t>
      </w:r>
      <w:r w:rsidRPr="00B16C41">
        <w:t xml:space="preserve"> E+ M Ekonomie a Management, 2012(2): p. 141.</w:t>
      </w:r>
    </w:p>
    <w:p w:rsidR="00DE6490" w:rsidRPr="00650AE6" w:rsidRDefault="00DE6490" w:rsidP="00597E76">
      <w:pPr>
        <w:pStyle w:val="textEM"/>
        <w:tabs>
          <w:tab w:val="left" w:pos="851"/>
        </w:tabs>
        <w:ind w:left="720" w:hanging="578"/>
        <w:rPr>
          <w:rFonts w:cs="Times New Roman"/>
          <w:lang w:val="en-GB"/>
        </w:rPr>
      </w:pPr>
      <w:r w:rsidRPr="00B16C41">
        <w:rPr>
          <w:rFonts w:cs="Times New Roman"/>
          <w:szCs w:val="24"/>
          <w:lang w:val="en-GB"/>
        </w:rPr>
        <w:fldChar w:fldCharType="end"/>
      </w:r>
      <w:bookmarkEnd w:id="2"/>
    </w:p>
    <w:p w:rsidR="00DE6490" w:rsidRPr="00650AE6" w:rsidRDefault="00476198" w:rsidP="00DE6490">
      <w:pPr>
        <w:pStyle w:val="textEM"/>
        <w:ind w:firstLine="0"/>
        <w:rPr>
          <w:rFonts w:cs="Times New Roman"/>
          <w:lang w:val="en-GB"/>
        </w:rPr>
      </w:pPr>
      <w:r>
        <w:rPr>
          <w:rFonts w:cs="Times New Roman"/>
          <w:lang w:val="en-GB"/>
        </w:rPr>
        <w:t>Contact addresses:</w:t>
      </w:r>
    </w:p>
    <w:p w:rsidR="00DE6490" w:rsidRPr="00476198" w:rsidRDefault="00DE6490" w:rsidP="00476198">
      <w:pPr>
        <w:spacing w:after="0" w:line="240" w:lineRule="auto"/>
        <w:rPr>
          <w:rFonts w:ascii="Times New Roman" w:hAnsi="Times New Roman" w:cs="Times New Roman"/>
          <w:b/>
          <w:sz w:val="24"/>
          <w:szCs w:val="20"/>
          <w:lang w:val="en-GB"/>
        </w:rPr>
      </w:pPr>
      <w:r w:rsidRPr="00476198">
        <w:rPr>
          <w:rFonts w:ascii="Times New Roman" w:hAnsi="Times New Roman" w:cs="Times New Roman"/>
          <w:b/>
          <w:sz w:val="24"/>
          <w:szCs w:val="20"/>
          <w:lang w:val="en-GB"/>
        </w:rPr>
        <w:t>Ing. Kateřina Kantorová, Ph.D.</w:t>
      </w:r>
    </w:p>
    <w:p w:rsidR="00B42451" w:rsidRPr="00476198" w:rsidRDefault="00DE6490" w:rsidP="00B42451">
      <w:pPr>
        <w:spacing w:after="0" w:line="240" w:lineRule="auto"/>
        <w:rPr>
          <w:rFonts w:ascii="Times New Roman" w:hAnsi="Times New Roman" w:cs="Times New Roman"/>
          <w:sz w:val="24"/>
          <w:szCs w:val="20"/>
          <w:lang w:val="en-GB"/>
        </w:rPr>
      </w:pPr>
      <w:r w:rsidRPr="00476198">
        <w:rPr>
          <w:rFonts w:ascii="Times New Roman" w:hAnsi="Times New Roman" w:cs="Times New Roman"/>
          <w:sz w:val="24"/>
          <w:szCs w:val="20"/>
          <w:lang w:val="en-GB"/>
        </w:rPr>
        <w:t>University of Pardubice</w:t>
      </w:r>
      <w:r w:rsidR="00476198">
        <w:rPr>
          <w:rFonts w:ascii="Times New Roman" w:hAnsi="Times New Roman" w:cs="Times New Roman"/>
          <w:sz w:val="24"/>
          <w:szCs w:val="20"/>
          <w:lang w:val="en-GB"/>
        </w:rPr>
        <w:t xml:space="preserve">, </w:t>
      </w:r>
      <w:r w:rsidRPr="00476198">
        <w:rPr>
          <w:rFonts w:ascii="Times New Roman" w:hAnsi="Times New Roman" w:cs="Times New Roman"/>
          <w:sz w:val="24"/>
          <w:szCs w:val="20"/>
          <w:lang w:val="en-GB"/>
        </w:rPr>
        <w:t>Faculty of economics and administration</w:t>
      </w:r>
      <w:r w:rsidR="00476198">
        <w:rPr>
          <w:rFonts w:ascii="Times New Roman" w:hAnsi="Times New Roman" w:cs="Times New Roman"/>
          <w:sz w:val="24"/>
          <w:szCs w:val="20"/>
          <w:lang w:val="en-GB"/>
        </w:rPr>
        <w:t xml:space="preserve">, </w:t>
      </w:r>
      <w:r w:rsidRPr="00476198">
        <w:rPr>
          <w:rFonts w:ascii="Times New Roman" w:hAnsi="Times New Roman" w:cs="Times New Roman"/>
          <w:sz w:val="24"/>
          <w:szCs w:val="20"/>
          <w:lang w:val="en-GB"/>
        </w:rPr>
        <w:t>Institute of Business Economics and Management</w:t>
      </w:r>
      <w:r w:rsidR="00B42451">
        <w:rPr>
          <w:rFonts w:ascii="Times New Roman" w:hAnsi="Times New Roman" w:cs="Times New Roman"/>
          <w:sz w:val="24"/>
          <w:szCs w:val="20"/>
          <w:lang w:val="en-GB"/>
        </w:rPr>
        <w:t>,</w:t>
      </w:r>
      <w:r w:rsidR="00B42451" w:rsidRPr="00B42451">
        <w:rPr>
          <w:rFonts w:ascii="Times New Roman" w:hAnsi="Times New Roman" w:cs="Times New Roman"/>
          <w:sz w:val="24"/>
          <w:szCs w:val="20"/>
          <w:lang w:val="en-GB"/>
        </w:rPr>
        <w:t xml:space="preserve"> </w:t>
      </w:r>
      <w:r w:rsidR="00B42451" w:rsidRPr="00476198">
        <w:rPr>
          <w:rFonts w:ascii="Times New Roman" w:hAnsi="Times New Roman" w:cs="Times New Roman"/>
          <w:sz w:val="24"/>
          <w:szCs w:val="20"/>
          <w:lang w:val="en-GB"/>
        </w:rPr>
        <w:t>Studentská 95, 53210 Pardubice, Czech Republic</w:t>
      </w:r>
    </w:p>
    <w:p w:rsidR="00DE6490" w:rsidRPr="00476198" w:rsidRDefault="00DE6490" w:rsidP="00476198">
      <w:pPr>
        <w:spacing w:after="0" w:line="240" w:lineRule="auto"/>
        <w:rPr>
          <w:rFonts w:ascii="Times New Roman" w:hAnsi="Times New Roman" w:cs="Times New Roman"/>
          <w:sz w:val="24"/>
          <w:szCs w:val="20"/>
          <w:lang w:val="en-GB"/>
        </w:rPr>
      </w:pPr>
      <w:r w:rsidRPr="00476198">
        <w:rPr>
          <w:rFonts w:ascii="Times New Roman" w:hAnsi="Times New Roman" w:cs="Times New Roman"/>
          <w:sz w:val="24"/>
          <w:szCs w:val="20"/>
          <w:lang w:val="en-GB"/>
        </w:rPr>
        <w:t>email: katerina.kantorova@upce.cz</w:t>
      </w:r>
    </w:p>
    <w:p w:rsidR="00DE6490" w:rsidRPr="00476198" w:rsidRDefault="00DE6490" w:rsidP="00476198">
      <w:pPr>
        <w:spacing w:after="0" w:line="240" w:lineRule="auto"/>
        <w:rPr>
          <w:rFonts w:ascii="Times New Roman" w:hAnsi="Times New Roman" w:cs="Times New Roman"/>
          <w:sz w:val="24"/>
          <w:szCs w:val="20"/>
          <w:lang w:val="en-GB"/>
        </w:rPr>
      </w:pPr>
    </w:p>
    <w:p w:rsidR="00DE6490" w:rsidRPr="00476198" w:rsidRDefault="00DE6490" w:rsidP="00476198">
      <w:pPr>
        <w:spacing w:after="0" w:line="240" w:lineRule="auto"/>
        <w:rPr>
          <w:rFonts w:ascii="Times New Roman" w:hAnsi="Times New Roman" w:cs="Times New Roman"/>
          <w:b/>
          <w:sz w:val="24"/>
          <w:szCs w:val="20"/>
          <w:lang w:val="en-GB"/>
        </w:rPr>
      </w:pPr>
      <w:r w:rsidRPr="00476198">
        <w:rPr>
          <w:rFonts w:ascii="Times New Roman" w:hAnsi="Times New Roman" w:cs="Times New Roman"/>
          <w:b/>
          <w:sz w:val="24"/>
          <w:szCs w:val="20"/>
          <w:lang w:val="en-GB"/>
        </w:rPr>
        <w:t>Ing. Hana Jonášová, Ph.D.</w:t>
      </w:r>
    </w:p>
    <w:p w:rsidR="00B42451" w:rsidRPr="00476198" w:rsidRDefault="00DE6490" w:rsidP="00B42451">
      <w:pPr>
        <w:spacing w:after="0" w:line="240" w:lineRule="auto"/>
        <w:rPr>
          <w:rFonts w:ascii="Times New Roman" w:hAnsi="Times New Roman" w:cs="Times New Roman"/>
          <w:sz w:val="24"/>
          <w:szCs w:val="20"/>
          <w:lang w:val="en-GB"/>
        </w:rPr>
      </w:pPr>
      <w:r w:rsidRPr="00476198">
        <w:rPr>
          <w:rFonts w:ascii="Times New Roman" w:hAnsi="Times New Roman" w:cs="Times New Roman"/>
          <w:sz w:val="24"/>
          <w:szCs w:val="20"/>
          <w:lang w:val="en-GB"/>
        </w:rPr>
        <w:t>University of Pardubice</w:t>
      </w:r>
      <w:r w:rsidR="00476198">
        <w:rPr>
          <w:rFonts w:ascii="Times New Roman" w:hAnsi="Times New Roman" w:cs="Times New Roman"/>
          <w:sz w:val="24"/>
          <w:szCs w:val="20"/>
          <w:lang w:val="en-GB"/>
        </w:rPr>
        <w:t xml:space="preserve">, </w:t>
      </w:r>
      <w:r w:rsidRPr="00476198">
        <w:rPr>
          <w:rFonts w:ascii="Times New Roman" w:hAnsi="Times New Roman" w:cs="Times New Roman"/>
          <w:sz w:val="24"/>
          <w:szCs w:val="20"/>
          <w:lang w:val="en-GB"/>
        </w:rPr>
        <w:t>Faculty of economics and administration</w:t>
      </w:r>
      <w:r w:rsidR="00476198">
        <w:rPr>
          <w:rFonts w:ascii="Times New Roman" w:hAnsi="Times New Roman" w:cs="Times New Roman"/>
          <w:sz w:val="24"/>
          <w:szCs w:val="20"/>
          <w:lang w:val="en-GB"/>
        </w:rPr>
        <w:t xml:space="preserve">, </w:t>
      </w:r>
      <w:r w:rsidRPr="00476198">
        <w:rPr>
          <w:rFonts w:ascii="Times New Roman" w:hAnsi="Times New Roman" w:cs="Times New Roman"/>
          <w:sz w:val="24"/>
          <w:szCs w:val="20"/>
          <w:lang w:val="en-GB"/>
        </w:rPr>
        <w:t>Institute of System Engineering and Informatics</w:t>
      </w:r>
      <w:r w:rsidR="00B42451">
        <w:rPr>
          <w:rFonts w:ascii="Times New Roman" w:hAnsi="Times New Roman" w:cs="Times New Roman"/>
          <w:sz w:val="24"/>
          <w:szCs w:val="20"/>
          <w:lang w:val="en-GB"/>
        </w:rPr>
        <w:t>,</w:t>
      </w:r>
      <w:r w:rsidRPr="00476198">
        <w:rPr>
          <w:rFonts w:ascii="Times New Roman" w:hAnsi="Times New Roman" w:cs="Times New Roman"/>
          <w:sz w:val="24"/>
          <w:szCs w:val="20"/>
          <w:lang w:val="en-GB"/>
        </w:rPr>
        <w:t xml:space="preserve"> </w:t>
      </w:r>
      <w:r w:rsidR="00B42451" w:rsidRPr="00476198">
        <w:rPr>
          <w:rFonts w:ascii="Times New Roman" w:hAnsi="Times New Roman" w:cs="Times New Roman"/>
          <w:sz w:val="24"/>
          <w:szCs w:val="20"/>
          <w:lang w:val="en-GB"/>
        </w:rPr>
        <w:t>Studentská 95, 53210 Pardubice, Czech Republic</w:t>
      </w:r>
    </w:p>
    <w:p w:rsidR="00DE6490" w:rsidRPr="00476198" w:rsidRDefault="00DE6490" w:rsidP="00476198">
      <w:pPr>
        <w:spacing w:after="0" w:line="240" w:lineRule="auto"/>
        <w:rPr>
          <w:rFonts w:ascii="Times New Roman" w:hAnsi="Times New Roman" w:cs="Times New Roman"/>
          <w:sz w:val="24"/>
          <w:szCs w:val="20"/>
          <w:lang w:val="en-GB"/>
        </w:rPr>
      </w:pPr>
      <w:r w:rsidRPr="00476198">
        <w:rPr>
          <w:rFonts w:ascii="Times New Roman" w:hAnsi="Times New Roman" w:cs="Times New Roman"/>
          <w:sz w:val="24"/>
          <w:szCs w:val="20"/>
          <w:lang w:val="en-GB"/>
        </w:rPr>
        <w:t>email: hana.jonasova@upce.cz</w:t>
      </w:r>
    </w:p>
    <w:p w:rsidR="00DE6490" w:rsidRPr="00476198" w:rsidRDefault="00DE6490" w:rsidP="00476198">
      <w:pPr>
        <w:spacing w:after="0" w:line="240" w:lineRule="auto"/>
        <w:rPr>
          <w:rFonts w:ascii="Times New Roman" w:hAnsi="Times New Roman" w:cs="Times New Roman"/>
          <w:sz w:val="24"/>
          <w:szCs w:val="20"/>
          <w:lang w:val="en-US"/>
        </w:rPr>
      </w:pPr>
    </w:p>
    <w:p w:rsidR="00DE6490" w:rsidRPr="00476198" w:rsidRDefault="00DE6490" w:rsidP="00476198">
      <w:pPr>
        <w:spacing w:after="0" w:line="240" w:lineRule="auto"/>
        <w:rPr>
          <w:rFonts w:ascii="Times New Roman" w:hAnsi="Times New Roman" w:cs="Times New Roman"/>
          <w:b/>
          <w:sz w:val="24"/>
          <w:szCs w:val="20"/>
          <w:lang w:val="en-GB"/>
        </w:rPr>
      </w:pPr>
      <w:r w:rsidRPr="00476198">
        <w:rPr>
          <w:rFonts w:ascii="Times New Roman" w:hAnsi="Times New Roman" w:cs="Times New Roman"/>
          <w:b/>
          <w:sz w:val="24"/>
          <w:szCs w:val="20"/>
          <w:lang w:val="en-GB"/>
        </w:rPr>
        <w:t>Ing. Jan Panuš, Ph.D.</w:t>
      </w:r>
    </w:p>
    <w:p w:rsidR="00B42451" w:rsidRPr="00476198" w:rsidRDefault="00DE6490" w:rsidP="00B42451">
      <w:pPr>
        <w:spacing w:after="0" w:line="240" w:lineRule="auto"/>
        <w:rPr>
          <w:rFonts w:ascii="Times New Roman" w:hAnsi="Times New Roman" w:cs="Times New Roman"/>
          <w:sz w:val="24"/>
          <w:szCs w:val="20"/>
          <w:lang w:val="en-GB"/>
        </w:rPr>
      </w:pPr>
      <w:r w:rsidRPr="00476198">
        <w:rPr>
          <w:rFonts w:ascii="Times New Roman" w:hAnsi="Times New Roman" w:cs="Times New Roman"/>
          <w:sz w:val="24"/>
          <w:szCs w:val="20"/>
          <w:lang w:val="en-GB"/>
        </w:rPr>
        <w:t>University of Pardubice</w:t>
      </w:r>
      <w:r w:rsidR="00476198">
        <w:rPr>
          <w:rFonts w:ascii="Times New Roman" w:hAnsi="Times New Roman" w:cs="Times New Roman"/>
          <w:sz w:val="24"/>
          <w:szCs w:val="20"/>
          <w:lang w:val="en-GB"/>
        </w:rPr>
        <w:t xml:space="preserve">, </w:t>
      </w:r>
      <w:r w:rsidRPr="00476198">
        <w:rPr>
          <w:rFonts w:ascii="Times New Roman" w:hAnsi="Times New Roman" w:cs="Times New Roman"/>
          <w:sz w:val="24"/>
          <w:szCs w:val="20"/>
          <w:lang w:val="en-GB"/>
        </w:rPr>
        <w:t>Faculty of economics and administration</w:t>
      </w:r>
      <w:r w:rsidR="00476198">
        <w:rPr>
          <w:rFonts w:ascii="Times New Roman" w:hAnsi="Times New Roman" w:cs="Times New Roman"/>
          <w:sz w:val="24"/>
          <w:szCs w:val="20"/>
          <w:lang w:val="en-GB"/>
        </w:rPr>
        <w:t xml:space="preserve">, </w:t>
      </w:r>
      <w:r w:rsidRPr="00476198">
        <w:rPr>
          <w:rFonts w:ascii="Times New Roman" w:hAnsi="Times New Roman" w:cs="Times New Roman"/>
          <w:sz w:val="24"/>
          <w:szCs w:val="20"/>
          <w:lang w:val="en-GB"/>
        </w:rPr>
        <w:t>Institute of System Engineering and Informatics</w:t>
      </w:r>
      <w:r w:rsidR="00B42451">
        <w:rPr>
          <w:rFonts w:ascii="Times New Roman" w:hAnsi="Times New Roman" w:cs="Times New Roman"/>
          <w:sz w:val="24"/>
          <w:szCs w:val="20"/>
          <w:lang w:val="en-GB"/>
        </w:rPr>
        <w:t>,</w:t>
      </w:r>
      <w:r w:rsidRPr="00476198">
        <w:rPr>
          <w:rFonts w:ascii="Times New Roman" w:hAnsi="Times New Roman" w:cs="Times New Roman"/>
          <w:sz w:val="24"/>
          <w:szCs w:val="20"/>
          <w:lang w:val="en-GB"/>
        </w:rPr>
        <w:t xml:space="preserve"> </w:t>
      </w:r>
      <w:r w:rsidR="00B42451" w:rsidRPr="00476198">
        <w:rPr>
          <w:rFonts w:ascii="Times New Roman" w:hAnsi="Times New Roman" w:cs="Times New Roman"/>
          <w:sz w:val="24"/>
          <w:szCs w:val="20"/>
          <w:lang w:val="en-GB"/>
        </w:rPr>
        <w:t>Studentská 95, 53210 Pardubice, Czech Republic</w:t>
      </w:r>
    </w:p>
    <w:p w:rsidR="00DE6490" w:rsidRPr="00476198" w:rsidRDefault="00DE6490" w:rsidP="00476198">
      <w:pPr>
        <w:spacing w:after="0" w:line="240" w:lineRule="auto"/>
        <w:rPr>
          <w:rFonts w:ascii="Times New Roman" w:hAnsi="Times New Roman" w:cs="Times New Roman"/>
          <w:sz w:val="24"/>
          <w:szCs w:val="20"/>
          <w:lang w:val="en-GB"/>
        </w:rPr>
      </w:pPr>
      <w:r w:rsidRPr="00476198">
        <w:rPr>
          <w:rFonts w:ascii="Times New Roman" w:hAnsi="Times New Roman" w:cs="Times New Roman"/>
          <w:sz w:val="24"/>
          <w:szCs w:val="20"/>
          <w:lang w:val="en-GB"/>
        </w:rPr>
        <w:t>email: jan.panus@upce.cz</w:t>
      </w:r>
    </w:p>
    <w:p w:rsidR="00DE6490" w:rsidRPr="00650AE6" w:rsidRDefault="00DE6490" w:rsidP="00DE6490">
      <w:pPr>
        <w:spacing w:after="0" w:line="240" w:lineRule="auto"/>
        <w:jc w:val="right"/>
        <w:rPr>
          <w:rFonts w:ascii="Times New Roman" w:hAnsi="Times New Roman" w:cs="Times New Roman"/>
          <w:sz w:val="20"/>
          <w:szCs w:val="20"/>
          <w:lang w:val="en-GB"/>
        </w:rPr>
      </w:pPr>
    </w:p>
    <w:sectPr w:rsidR="00DE6490" w:rsidRPr="00650AE6" w:rsidSect="00DE6490">
      <w:footerReference w:type="default" r:id="rId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0AE6" w:rsidRDefault="00650AE6">
    <w:pPr>
      <w:pStyle w:val="Zpat"/>
      <w:jc w:val="right"/>
    </w:pPr>
  </w:p>
  <w:p w:rsidR="00650AE6" w:rsidRDefault="00650AE6">
    <w:pPr>
      <w:pStyle w:val="Zpat"/>
    </w:pPr>
  </w:p>
</w:ft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372223"/>
    <w:multiLevelType w:val="hybridMultilevel"/>
    <w:tmpl w:val="99024F26"/>
    <w:lvl w:ilvl="0" w:tplc="04050001">
      <w:start w:val="1"/>
      <w:numFmt w:val="bullet"/>
      <w:lvlText w:val=""/>
      <w:lvlJc w:val="left"/>
      <w:pPr>
        <w:ind w:left="1032" w:hanging="360"/>
      </w:pPr>
      <w:rPr>
        <w:rFonts w:ascii="Symbol" w:hAnsi="Symbol" w:hint="default"/>
      </w:rPr>
    </w:lvl>
    <w:lvl w:ilvl="1" w:tplc="04050003" w:tentative="1">
      <w:start w:val="1"/>
      <w:numFmt w:val="bullet"/>
      <w:lvlText w:val="o"/>
      <w:lvlJc w:val="left"/>
      <w:pPr>
        <w:ind w:left="1752" w:hanging="360"/>
      </w:pPr>
      <w:rPr>
        <w:rFonts w:ascii="Courier New" w:hAnsi="Courier New" w:cs="Courier New" w:hint="default"/>
      </w:rPr>
    </w:lvl>
    <w:lvl w:ilvl="2" w:tplc="04050005" w:tentative="1">
      <w:start w:val="1"/>
      <w:numFmt w:val="bullet"/>
      <w:lvlText w:val=""/>
      <w:lvlJc w:val="left"/>
      <w:pPr>
        <w:ind w:left="2472" w:hanging="360"/>
      </w:pPr>
      <w:rPr>
        <w:rFonts w:ascii="Wingdings" w:hAnsi="Wingdings" w:hint="default"/>
      </w:rPr>
    </w:lvl>
    <w:lvl w:ilvl="3" w:tplc="04050001" w:tentative="1">
      <w:start w:val="1"/>
      <w:numFmt w:val="bullet"/>
      <w:lvlText w:val=""/>
      <w:lvlJc w:val="left"/>
      <w:pPr>
        <w:ind w:left="3192" w:hanging="360"/>
      </w:pPr>
      <w:rPr>
        <w:rFonts w:ascii="Symbol" w:hAnsi="Symbol" w:hint="default"/>
      </w:rPr>
    </w:lvl>
    <w:lvl w:ilvl="4" w:tplc="04050003" w:tentative="1">
      <w:start w:val="1"/>
      <w:numFmt w:val="bullet"/>
      <w:lvlText w:val="o"/>
      <w:lvlJc w:val="left"/>
      <w:pPr>
        <w:ind w:left="3912" w:hanging="360"/>
      </w:pPr>
      <w:rPr>
        <w:rFonts w:ascii="Courier New" w:hAnsi="Courier New" w:cs="Courier New" w:hint="default"/>
      </w:rPr>
    </w:lvl>
    <w:lvl w:ilvl="5" w:tplc="04050005" w:tentative="1">
      <w:start w:val="1"/>
      <w:numFmt w:val="bullet"/>
      <w:lvlText w:val=""/>
      <w:lvlJc w:val="left"/>
      <w:pPr>
        <w:ind w:left="4632" w:hanging="360"/>
      </w:pPr>
      <w:rPr>
        <w:rFonts w:ascii="Wingdings" w:hAnsi="Wingdings" w:hint="default"/>
      </w:rPr>
    </w:lvl>
    <w:lvl w:ilvl="6" w:tplc="04050001" w:tentative="1">
      <w:start w:val="1"/>
      <w:numFmt w:val="bullet"/>
      <w:lvlText w:val=""/>
      <w:lvlJc w:val="left"/>
      <w:pPr>
        <w:ind w:left="5352" w:hanging="360"/>
      </w:pPr>
      <w:rPr>
        <w:rFonts w:ascii="Symbol" w:hAnsi="Symbol" w:hint="default"/>
      </w:rPr>
    </w:lvl>
    <w:lvl w:ilvl="7" w:tplc="04050003" w:tentative="1">
      <w:start w:val="1"/>
      <w:numFmt w:val="bullet"/>
      <w:lvlText w:val="o"/>
      <w:lvlJc w:val="left"/>
      <w:pPr>
        <w:ind w:left="6072" w:hanging="360"/>
      </w:pPr>
      <w:rPr>
        <w:rFonts w:ascii="Courier New" w:hAnsi="Courier New" w:cs="Courier New" w:hint="default"/>
      </w:rPr>
    </w:lvl>
    <w:lvl w:ilvl="8" w:tplc="04050005" w:tentative="1">
      <w:start w:val="1"/>
      <w:numFmt w:val="bullet"/>
      <w:lvlText w:val=""/>
      <w:lvlJc w:val="left"/>
      <w:pPr>
        <w:ind w:left="6792" w:hanging="360"/>
      </w:pPr>
      <w:rPr>
        <w:rFonts w:ascii="Wingdings" w:hAnsi="Wingdings" w:hint="default"/>
      </w:rPr>
    </w:lvl>
  </w:abstractNum>
  <w:abstractNum w:abstractNumId="1" w15:restartNumberingAfterBreak="0">
    <w:nsid w:val="19DD7BF0"/>
    <w:multiLevelType w:val="hybridMultilevel"/>
    <w:tmpl w:val="E7762BC8"/>
    <w:lvl w:ilvl="0" w:tplc="FEE419EE">
      <w:start w:val="1"/>
      <w:numFmt w:val="decimal"/>
      <w:pStyle w:val="EndNoteBibliography"/>
      <w:lvlText w:val="[%1]"/>
      <w:lvlJc w:val="center"/>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1F0B2494"/>
    <w:multiLevelType w:val="hybridMultilevel"/>
    <w:tmpl w:val="EF121772"/>
    <w:lvl w:ilvl="0" w:tplc="04050001">
      <w:start w:val="1"/>
      <w:numFmt w:val="bullet"/>
      <w:lvlText w:val=""/>
      <w:lvlJc w:val="left"/>
      <w:pPr>
        <w:ind w:left="1032" w:hanging="360"/>
      </w:pPr>
      <w:rPr>
        <w:rFonts w:ascii="Symbol" w:hAnsi="Symbol" w:hint="default"/>
      </w:rPr>
    </w:lvl>
    <w:lvl w:ilvl="1" w:tplc="04050003" w:tentative="1">
      <w:start w:val="1"/>
      <w:numFmt w:val="bullet"/>
      <w:lvlText w:val="o"/>
      <w:lvlJc w:val="left"/>
      <w:pPr>
        <w:ind w:left="1752" w:hanging="360"/>
      </w:pPr>
      <w:rPr>
        <w:rFonts w:ascii="Courier New" w:hAnsi="Courier New" w:cs="Courier New" w:hint="default"/>
      </w:rPr>
    </w:lvl>
    <w:lvl w:ilvl="2" w:tplc="04050005" w:tentative="1">
      <w:start w:val="1"/>
      <w:numFmt w:val="bullet"/>
      <w:lvlText w:val=""/>
      <w:lvlJc w:val="left"/>
      <w:pPr>
        <w:ind w:left="2472" w:hanging="360"/>
      </w:pPr>
      <w:rPr>
        <w:rFonts w:ascii="Wingdings" w:hAnsi="Wingdings" w:hint="default"/>
      </w:rPr>
    </w:lvl>
    <w:lvl w:ilvl="3" w:tplc="04050001" w:tentative="1">
      <w:start w:val="1"/>
      <w:numFmt w:val="bullet"/>
      <w:lvlText w:val=""/>
      <w:lvlJc w:val="left"/>
      <w:pPr>
        <w:ind w:left="3192" w:hanging="360"/>
      </w:pPr>
      <w:rPr>
        <w:rFonts w:ascii="Symbol" w:hAnsi="Symbol" w:hint="default"/>
      </w:rPr>
    </w:lvl>
    <w:lvl w:ilvl="4" w:tplc="04050003" w:tentative="1">
      <w:start w:val="1"/>
      <w:numFmt w:val="bullet"/>
      <w:lvlText w:val="o"/>
      <w:lvlJc w:val="left"/>
      <w:pPr>
        <w:ind w:left="3912" w:hanging="360"/>
      </w:pPr>
      <w:rPr>
        <w:rFonts w:ascii="Courier New" w:hAnsi="Courier New" w:cs="Courier New" w:hint="default"/>
      </w:rPr>
    </w:lvl>
    <w:lvl w:ilvl="5" w:tplc="04050005" w:tentative="1">
      <w:start w:val="1"/>
      <w:numFmt w:val="bullet"/>
      <w:lvlText w:val=""/>
      <w:lvlJc w:val="left"/>
      <w:pPr>
        <w:ind w:left="4632" w:hanging="360"/>
      </w:pPr>
      <w:rPr>
        <w:rFonts w:ascii="Wingdings" w:hAnsi="Wingdings" w:hint="default"/>
      </w:rPr>
    </w:lvl>
    <w:lvl w:ilvl="6" w:tplc="04050001" w:tentative="1">
      <w:start w:val="1"/>
      <w:numFmt w:val="bullet"/>
      <w:lvlText w:val=""/>
      <w:lvlJc w:val="left"/>
      <w:pPr>
        <w:ind w:left="5352" w:hanging="360"/>
      </w:pPr>
      <w:rPr>
        <w:rFonts w:ascii="Symbol" w:hAnsi="Symbol" w:hint="default"/>
      </w:rPr>
    </w:lvl>
    <w:lvl w:ilvl="7" w:tplc="04050003" w:tentative="1">
      <w:start w:val="1"/>
      <w:numFmt w:val="bullet"/>
      <w:lvlText w:val="o"/>
      <w:lvlJc w:val="left"/>
      <w:pPr>
        <w:ind w:left="6072" w:hanging="360"/>
      </w:pPr>
      <w:rPr>
        <w:rFonts w:ascii="Courier New" w:hAnsi="Courier New" w:cs="Courier New" w:hint="default"/>
      </w:rPr>
    </w:lvl>
    <w:lvl w:ilvl="8" w:tplc="04050005" w:tentative="1">
      <w:start w:val="1"/>
      <w:numFmt w:val="bullet"/>
      <w:lvlText w:val=""/>
      <w:lvlJc w:val="left"/>
      <w:pPr>
        <w:ind w:left="6792" w:hanging="360"/>
      </w:pPr>
      <w:rPr>
        <w:rFonts w:ascii="Wingdings" w:hAnsi="Wingdings" w:hint="default"/>
      </w:rPr>
    </w:lvl>
  </w:abstractNum>
  <w:abstractNum w:abstractNumId="3" w15:restartNumberingAfterBreak="0">
    <w:nsid w:val="21B95D55"/>
    <w:multiLevelType w:val="hybridMultilevel"/>
    <w:tmpl w:val="59F8E444"/>
    <w:lvl w:ilvl="0" w:tplc="462EB7C4">
      <w:start w:val="1"/>
      <w:numFmt w:val="bullet"/>
      <w:pStyle w:val="odrky"/>
      <w:lvlText w:val=""/>
      <w:lvlJc w:val="left"/>
      <w:pPr>
        <w:ind w:left="1032" w:hanging="360"/>
      </w:pPr>
      <w:rPr>
        <w:rFonts w:ascii="Symbol" w:hAnsi="Symbol" w:hint="default"/>
      </w:rPr>
    </w:lvl>
    <w:lvl w:ilvl="1" w:tplc="04050003" w:tentative="1">
      <w:start w:val="1"/>
      <w:numFmt w:val="bullet"/>
      <w:lvlText w:val="o"/>
      <w:lvlJc w:val="left"/>
      <w:pPr>
        <w:ind w:left="1752" w:hanging="360"/>
      </w:pPr>
      <w:rPr>
        <w:rFonts w:ascii="Courier New" w:hAnsi="Courier New" w:cs="Courier New" w:hint="default"/>
      </w:rPr>
    </w:lvl>
    <w:lvl w:ilvl="2" w:tplc="04050005" w:tentative="1">
      <w:start w:val="1"/>
      <w:numFmt w:val="bullet"/>
      <w:lvlText w:val=""/>
      <w:lvlJc w:val="left"/>
      <w:pPr>
        <w:ind w:left="2472" w:hanging="360"/>
      </w:pPr>
      <w:rPr>
        <w:rFonts w:ascii="Wingdings" w:hAnsi="Wingdings" w:hint="default"/>
      </w:rPr>
    </w:lvl>
    <w:lvl w:ilvl="3" w:tplc="04050001" w:tentative="1">
      <w:start w:val="1"/>
      <w:numFmt w:val="bullet"/>
      <w:lvlText w:val=""/>
      <w:lvlJc w:val="left"/>
      <w:pPr>
        <w:ind w:left="3192" w:hanging="360"/>
      </w:pPr>
      <w:rPr>
        <w:rFonts w:ascii="Symbol" w:hAnsi="Symbol" w:hint="default"/>
      </w:rPr>
    </w:lvl>
    <w:lvl w:ilvl="4" w:tplc="04050003" w:tentative="1">
      <w:start w:val="1"/>
      <w:numFmt w:val="bullet"/>
      <w:lvlText w:val="o"/>
      <w:lvlJc w:val="left"/>
      <w:pPr>
        <w:ind w:left="3912" w:hanging="360"/>
      </w:pPr>
      <w:rPr>
        <w:rFonts w:ascii="Courier New" w:hAnsi="Courier New" w:cs="Courier New" w:hint="default"/>
      </w:rPr>
    </w:lvl>
    <w:lvl w:ilvl="5" w:tplc="04050005" w:tentative="1">
      <w:start w:val="1"/>
      <w:numFmt w:val="bullet"/>
      <w:lvlText w:val=""/>
      <w:lvlJc w:val="left"/>
      <w:pPr>
        <w:ind w:left="4632" w:hanging="360"/>
      </w:pPr>
      <w:rPr>
        <w:rFonts w:ascii="Wingdings" w:hAnsi="Wingdings" w:hint="default"/>
      </w:rPr>
    </w:lvl>
    <w:lvl w:ilvl="6" w:tplc="04050001" w:tentative="1">
      <w:start w:val="1"/>
      <w:numFmt w:val="bullet"/>
      <w:lvlText w:val=""/>
      <w:lvlJc w:val="left"/>
      <w:pPr>
        <w:ind w:left="5352" w:hanging="360"/>
      </w:pPr>
      <w:rPr>
        <w:rFonts w:ascii="Symbol" w:hAnsi="Symbol" w:hint="default"/>
      </w:rPr>
    </w:lvl>
    <w:lvl w:ilvl="7" w:tplc="04050003" w:tentative="1">
      <w:start w:val="1"/>
      <w:numFmt w:val="bullet"/>
      <w:lvlText w:val="o"/>
      <w:lvlJc w:val="left"/>
      <w:pPr>
        <w:ind w:left="6072" w:hanging="360"/>
      </w:pPr>
      <w:rPr>
        <w:rFonts w:ascii="Courier New" w:hAnsi="Courier New" w:cs="Courier New" w:hint="default"/>
      </w:rPr>
    </w:lvl>
    <w:lvl w:ilvl="8" w:tplc="04050005" w:tentative="1">
      <w:start w:val="1"/>
      <w:numFmt w:val="bullet"/>
      <w:lvlText w:val=""/>
      <w:lvlJc w:val="left"/>
      <w:pPr>
        <w:ind w:left="6792" w:hanging="360"/>
      </w:pPr>
      <w:rPr>
        <w:rFonts w:ascii="Wingdings" w:hAnsi="Wingdings" w:hint="default"/>
      </w:rPr>
    </w:lvl>
  </w:abstractNum>
  <w:abstractNum w:abstractNumId="4" w15:restartNumberingAfterBreak="0">
    <w:nsid w:val="222811D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8410D32"/>
    <w:multiLevelType w:val="hybridMultilevel"/>
    <w:tmpl w:val="FD8C80B2"/>
    <w:lvl w:ilvl="0" w:tplc="A03E1960">
      <w:start w:val="1"/>
      <w:numFmt w:val="decimal"/>
      <w:pStyle w:val="Nadpis1"/>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6" w15:restartNumberingAfterBreak="0">
    <w:nsid w:val="343A632F"/>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4E03030"/>
    <w:multiLevelType w:val="multilevel"/>
    <w:tmpl w:val="A85C490A"/>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5DF5881"/>
    <w:multiLevelType w:val="hybridMultilevel"/>
    <w:tmpl w:val="1ABE4FCE"/>
    <w:lvl w:ilvl="0" w:tplc="04050001">
      <w:start w:val="1"/>
      <w:numFmt w:val="bullet"/>
      <w:lvlText w:val=""/>
      <w:lvlJc w:val="left"/>
      <w:pPr>
        <w:ind w:left="1065" w:hanging="360"/>
      </w:pPr>
      <w:rPr>
        <w:rFonts w:ascii="Symbol" w:hAnsi="Symbol" w:hint="default"/>
      </w:rPr>
    </w:lvl>
    <w:lvl w:ilvl="1" w:tplc="04050003" w:tentative="1">
      <w:start w:val="1"/>
      <w:numFmt w:val="bullet"/>
      <w:lvlText w:val="o"/>
      <w:lvlJc w:val="left"/>
      <w:pPr>
        <w:ind w:left="1785" w:hanging="360"/>
      </w:pPr>
      <w:rPr>
        <w:rFonts w:ascii="Courier New" w:hAnsi="Courier New" w:cs="Courier New" w:hint="default"/>
      </w:rPr>
    </w:lvl>
    <w:lvl w:ilvl="2" w:tplc="04050005" w:tentative="1">
      <w:start w:val="1"/>
      <w:numFmt w:val="bullet"/>
      <w:lvlText w:val=""/>
      <w:lvlJc w:val="left"/>
      <w:pPr>
        <w:ind w:left="2505" w:hanging="360"/>
      </w:pPr>
      <w:rPr>
        <w:rFonts w:ascii="Wingdings" w:hAnsi="Wingdings" w:hint="default"/>
      </w:rPr>
    </w:lvl>
    <w:lvl w:ilvl="3" w:tplc="04050001" w:tentative="1">
      <w:start w:val="1"/>
      <w:numFmt w:val="bullet"/>
      <w:lvlText w:val=""/>
      <w:lvlJc w:val="left"/>
      <w:pPr>
        <w:ind w:left="3225" w:hanging="360"/>
      </w:pPr>
      <w:rPr>
        <w:rFonts w:ascii="Symbol" w:hAnsi="Symbol" w:hint="default"/>
      </w:rPr>
    </w:lvl>
    <w:lvl w:ilvl="4" w:tplc="04050003" w:tentative="1">
      <w:start w:val="1"/>
      <w:numFmt w:val="bullet"/>
      <w:lvlText w:val="o"/>
      <w:lvlJc w:val="left"/>
      <w:pPr>
        <w:ind w:left="3945" w:hanging="360"/>
      </w:pPr>
      <w:rPr>
        <w:rFonts w:ascii="Courier New" w:hAnsi="Courier New" w:cs="Courier New" w:hint="default"/>
      </w:rPr>
    </w:lvl>
    <w:lvl w:ilvl="5" w:tplc="04050005" w:tentative="1">
      <w:start w:val="1"/>
      <w:numFmt w:val="bullet"/>
      <w:lvlText w:val=""/>
      <w:lvlJc w:val="left"/>
      <w:pPr>
        <w:ind w:left="4665" w:hanging="360"/>
      </w:pPr>
      <w:rPr>
        <w:rFonts w:ascii="Wingdings" w:hAnsi="Wingdings" w:hint="default"/>
      </w:rPr>
    </w:lvl>
    <w:lvl w:ilvl="6" w:tplc="04050001" w:tentative="1">
      <w:start w:val="1"/>
      <w:numFmt w:val="bullet"/>
      <w:lvlText w:val=""/>
      <w:lvlJc w:val="left"/>
      <w:pPr>
        <w:ind w:left="5385" w:hanging="360"/>
      </w:pPr>
      <w:rPr>
        <w:rFonts w:ascii="Symbol" w:hAnsi="Symbol" w:hint="default"/>
      </w:rPr>
    </w:lvl>
    <w:lvl w:ilvl="7" w:tplc="04050003" w:tentative="1">
      <w:start w:val="1"/>
      <w:numFmt w:val="bullet"/>
      <w:lvlText w:val="o"/>
      <w:lvlJc w:val="left"/>
      <w:pPr>
        <w:ind w:left="6105" w:hanging="360"/>
      </w:pPr>
      <w:rPr>
        <w:rFonts w:ascii="Courier New" w:hAnsi="Courier New" w:cs="Courier New" w:hint="default"/>
      </w:rPr>
    </w:lvl>
    <w:lvl w:ilvl="8" w:tplc="04050005" w:tentative="1">
      <w:start w:val="1"/>
      <w:numFmt w:val="bullet"/>
      <w:lvlText w:val=""/>
      <w:lvlJc w:val="left"/>
      <w:pPr>
        <w:ind w:left="6825" w:hanging="360"/>
      </w:pPr>
      <w:rPr>
        <w:rFonts w:ascii="Wingdings" w:hAnsi="Wingdings" w:hint="default"/>
      </w:rPr>
    </w:lvl>
  </w:abstractNum>
  <w:abstractNum w:abstractNumId="9" w15:restartNumberingAfterBreak="0">
    <w:nsid w:val="37E800BB"/>
    <w:multiLevelType w:val="hybridMultilevel"/>
    <w:tmpl w:val="4772696A"/>
    <w:lvl w:ilvl="0" w:tplc="04050001">
      <w:start w:val="1"/>
      <w:numFmt w:val="bullet"/>
      <w:lvlText w:val=""/>
      <w:lvlJc w:val="left"/>
      <w:pPr>
        <w:ind w:left="1032" w:hanging="360"/>
      </w:pPr>
      <w:rPr>
        <w:rFonts w:ascii="Symbol" w:hAnsi="Symbol" w:hint="default"/>
      </w:rPr>
    </w:lvl>
    <w:lvl w:ilvl="1" w:tplc="04050003" w:tentative="1">
      <w:start w:val="1"/>
      <w:numFmt w:val="bullet"/>
      <w:lvlText w:val="o"/>
      <w:lvlJc w:val="left"/>
      <w:pPr>
        <w:ind w:left="1752" w:hanging="360"/>
      </w:pPr>
      <w:rPr>
        <w:rFonts w:ascii="Courier New" w:hAnsi="Courier New" w:cs="Courier New" w:hint="default"/>
      </w:rPr>
    </w:lvl>
    <w:lvl w:ilvl="2" w:tplc="04050005" w:tentative="1">
      <w:start w:val="1"/>
      <w:numFmt w:val="bullet"/>
      <w:lvlText w:val=""/>
      <w:lvlJc w:val="left"/>
      <w:pPr>
        <w:ind w:left="2472" w:hanging="360"/>
      </w:pPr>
      <w:rPr>
        <w:rFonts w:ascii="Wingdings" w:hAnsi="Wingdings" w:hint="default"/>
      </w:rPr>
    </w:lvl>
    <w:lvl w:ilvl="3" w:tplc="04050001" w:tentative="1">
      <w:start w:val="1"/>
      <w:numFmt w:val="bullet"/>
      <w:lvlText w:val=""/>
      <w:lvlJc w:val="left"/>
      <w:pPr>
        <w:ind w:left="3192" w:hanging="360"/>
      </w:pPr>
      <w:rPr>
        <w:rFonts w:ascii="Symbol" w:hAnsi="Symbol" w:hint="default"/>
      </w:rPr>
    </w:lvl>
    <w:lvl w:ilvl="4" w:tplc="04050003" w:tentative="1">
      <w:start w:val="1"/>
      <w:numFmt w:val="bullet"/>
      <w:lvlText w:val="o"/>
      <w:lvlJc w:val="left"/>
      <w:pPr>
        <w:ind w:left="3912" w:hanging="360"/>
      </w:pPr>
      <w:rPr>
        <w:rFonts w:ascii="Courier New" w:hAnsi="Courier New" w:cs="Courier New" w:hint="default"/>
      </w:rPr>
    </w:lvl>
    <w:lvl w:ilvl="5" w:tplc="04050005" w:tentative="1">
      <w:start w:val="1"/>
      <w:numFmt w:val="bullet"/>
      <w:lvlText w:val=""/>
      <w:lvlJc w:val="left"/>
      <w:pPr>
        <w:ind w:left="4632" w:hanging="360"/>
      </w:pPr>
      <w:rPr>
        <w:rFonts w:ascii="Wingdings" w:hAnsi="Wingdings" w:hint="default"/>
      </w:rPr>
    </w:lvl>
    <w:lvl w:ilvl="6" w:tplc="04050001" w:tentative="1">
      <w:start w:val="1"/>
      <w:numFmt w:val="bullet"/>
      <w:lvlText w:val=""/>
      <w:lvlJc w:val="left"/>
      <w:pPr>
        <w:ind w:left="5352" w:hanging="360"/>
      </w:pPr>
      <w:rPr>
        <w:rFonts w:ascii="Symbol" w:hAnsi="Symbol" w:hint="default"/>
      </w:rPr>
    </w:lvl>
    <w:lvl w:ilvl="7" w:tplc="04050003" w:tentative="1">
      <w:start w:val="1"/>
      <w:numFmt w:val="bullet"/>
      <w:lvlText w:val="o"/>
      <w:lvlJc w:val="left"/>
      <w:pPr>
        <w:ind w:left="6072" w:hanging="360"/>
      </w:pPr>
      <w:rPr>
        <w:rFonts w:ascii="Courier New" w:hAnsi="Courier New" w:cs="Courier New" w:hint="default"/>
      </w:rPr>
    </w:lvl>
    <w:lvl w:ilvl="8" w:tplc="04050005" w:tentative="1">
      <w:start w:val="1"/>
      <w:numFmt w:val="bullet"/>
      <w:lvlText w:val=""/>
      <w:lvlJc w:val="left"/>
      <w:pPr>
        <w:ind w:left="6792" w:hanging="360"/>
      </w:pPr>
      <w:rPr>
        <w:rFonts w:ascii="Wingdings" w:hAnsi="Wingdings" w:hint="default"/>
      </w:rPr>
    </w:lvl>
  </w:abstractNum>
  <w:abstractNum w:abstractNumId="10" w15:restartNumberingAfterBreak="0">
    <w:nsid w:val="3AA80DE5"/>
    <w:multiLevelType w:val="hybridMultilevel"/>
    <w:tmpl w:val="77C2D152"/>
    <w:lvl w:ilvl="0" w:tplc="D37E0CDA">
      <w:start w:val="1"/>
      <w:numFmt w:val="lowerLetter"/>
      <w:lvlText w:val="(%1)"/>
      <w:lvlJc w:val="left"/>
      <w:pPr>
        <w:ind w:left="944" w:hanging="6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15:restartNumberingAfterBreak="0">
    <w:nsid w:val="3B6D0CEC"/>
    <w:multiLevelType w:val="multilevel"/>
    <w:tmpl w:val="1FE86716"/>
    <w:lvl w:ilvl="0">
      <w:start w:val="1"/>
      <w:numFmt w:val="decimal"/>
      <w:lvlText w:val="%1"/>
      <w:lvlJc w:val="left"/>
      <w:pPr>
        <w:tabs>
          <w:tab w:val="num" w:pos="720"/>
        </w:tabs>
        <w:ind w:left="360" w:hanging="360"/>
      </w:pPr>
      <w:rPr>
        <w:rFonts w:ascii="Times New Roman" w:hAnsi="Times New Roman" w:hint="default"/>
        <w:b/>
        <w:i w:val="0"/>
        <w:sz w:val="32"/>
      </w:rPr>
    </w:lvl>
    <w:lvl w:ilvl="1">
      <w:start w:val="1"/>
      <w:numFmt w:val="decimal"/>
      <w:lvlText w:val="%1.%2"/>
      <w:lvlJc w:val="left"/>
      <w:pPr>
        <w:tabs>
          <w:tab w:val="num" w:pos="1440"/>
        </w:tabs>
        <w:ind w:left="792" w:hanging="432"/>
      </w:pPr>
      <w:rPr>
        <w:rFonts w:ascii="Times New Roman" w:hAnsi="Times New Roman" w:hint="default"/>
        <w:b/>
        <w:i w:val="0"/>
        <w:sz w:val="28"/>
      </w:rPr>
    </w:lvl>
    <w:lvl w:ilvl="2">
      <w:start w:val="1"/>
      <w:numFmt w:val="decimal"/>
      <w:lvlText w:val="%1.%2.%3"/>
      <w:lvlJc w:val="left"/>
      <w:pPr>
        <w:tabs>
          <w:tab w:val="num" w:pos="2160"/>
        </w:tabs>
        <w:ind w:left="1224" w:hanging="504"/>
      </w:pPr>
      <w:rPr>
        <w:rFonts w:ascii="Times New Roman" w:hAnsi="Times New Roman" w:hint="default"/>
        <w:b/>
        <w:i w:val="0"/>
        <w:sz w:val="26"/>
        <w:szCs w:val="26"/>
      </w:rPr>
    </w:lvl>
    <w:lvl w:ilvl="3">
      <w:start w:val="1"/>
      <w:numFmt w:val="decimal"/>
      <w:lvlText w:val="%1.%2.%3.%4."/>
      <w:lvlJc w:val="left"/>
      <w:pPr>
        <w:tabs>
          <w:tab w:val="num" w:pos="2880"/>
        </w:tabs>
        <w:ind w:left="1728" w:hanging="648"/>
      </w:pPr>
      <w:rPr>
        <w:rFonts w:hint="default"/>
      </w:rPr>
    </w:lvl>
    <w:lvl w:ilvl="4">
      <w:start w:val="1"/>
      <w:numFmt w:val="decimal"/>
      <w:lvlText w:val="%1.%2.%3.%4.%5."/>
      <w:lvlJc w:val="left"/>
      <w:pPr>
        <w:tabs>
          <w:tab w:val="num" w:pos="3600"/>
        </w:tabs>
        <w:ind w:left="2232" w:hanging="792"/>
      </w:pPr>
      <w:rPr>
        <w:rFonts w:hint="default"/>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5760"/>
        </w:tabs>
        <w:ind w:left="3744" w:hanging="1224"/>
      </w:pPr>
      <w:rPr>
        <w:rFonts w:hint="default"/>
      </w:rPr>
    </w:lvl>
    <w:lvl w:ilvl="8">
      <w:start w:val="1"/>
      <w:numFmt w:val="decimal"/>
      <w:lvlText w:val="%1.%2.%3.%4.%5.%6.%7.%8.%9."/>
      <w:lvlJc w:val="left"/>
      <w:pPr>
        <w:tabs>
          <w:tab w:val="num" w:pos="6480"/>
        </w:tabs>
        <w:ind w:left="4320" w:hanging="1440"/>
      </w:pPr>
      <w:rPr>
        <w:rFonts w:hint="default"/>
      </w:rPr>
    </w:lvl>
  </w:abstractNum>
  <w:abstractNum w:abstractNumId="12" w15:restartNumberingAfterBreak="0">
    <w:nsid w:val="4427412C"/>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C691294"/>
    <w:multiLevelType w:val="multilevel"/>
    <w:tmpl w:val="040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3093E31"/>
    <w:multiLevelType w:val="hybridMultilevel"/>
    <w:tmpl w:val="3F0068CA"/>
    <w:lvl w:ilvl="0" w:tplc="3010511A">
      <w:start w:val="1"/>
      <w:numFmt w:val="decimal"/>
      <w:pStyle w:val="Nadpis2"/>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563F7F88"/>
    <w:multiLevelType w:val="multilevel"/>
    <w:tmpl w:val="8EA01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1820679"/>
    <w:multiLevelType w:val="hybridMultilevel"/>
    <w:tmpl w:val="5178E358"/>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17" w15:restartNumberingAfterBreak="0">
    <w:nsid w:val="63CC4675"/>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8014CB5"/>
    <w:multiLevelType w:val="hybridMultilevel"/>
    <w:tmpl w:val="E05CE5C2"/>
    <w:lvl w:ilvl="0" w:tplc="1A6C1544">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692F6E28"/>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6AC020FD"/>
    <w:multiLevelType w:val="hybridMultilevel"/>
    <w:tmpl w:val="997C97F6"/>
    <w:lvl w:ilvl="0" w:tplc="1A6C1544">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6FE73F29"/>
    <w:multiLevelType w:val="hybridMultilevel"/>
    <w:tmpl w:val="DDFCB366"/>
    <w:lvl w:ilvl="0" w:tplc="FA3C7DBC">
      <w:start w:val="1"/>
      <w:numFmt w:val="decimal"/>
      <w:lvlText w:val="[%1]"/>
      <w:lvlJc w:val="center"/>
      <w:pPr>
        <w:ind w:left="360" w:hanging="360"/>
      </w:pPr>
      <w:rPr>
        <w:rFonts w:ascii="Times New Roman" w:hAnsi="Times New Roman" w:hint="default"/>
        <w:b w:val="0"/>
        <w:i w:val="0"/>
        <w:color w:val="auto"/>
        <w:sz w:val="22"/>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75510500"/>
    <w:multiLevelType w:val="multilevel"/>
    <w:tmpl w:val="040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56909FF"/>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5" w15:restartNumberingAfterBreak="0">
    <w:nsid w:val="7DAF7783"/>
    <w:multiLevelType w:val="hybridMultilevel"/>
    <w:tmpl w:val="AABEB500"/>
    <w:lvl w:ilvl="0" w:tplc="04050001">
      <w:start w:val="1"/>
      <w:numFmt w:val="bullet"/>
      <w:lvlText w:val=""/>
      <w:lvlJc w:val="left"/>
      <w:pPr>
        <w:ind w:left="1032" w:hanging="360"/>
      </w:pPr>
      <w:rPr>
        <w:rFonts w:ascii="Symbol" w:hAnsi="Symbol" w:hint="default"/>
      </w:rPr>
    </w:lvl>
    <w:lvl w:ilvl="1" w:tplc="04050003" w:tentative="1">
      <w:start w:val="1"/>
      <w:numFmt w:val="bullet"/>
      <w:lvlText w:val="o"/>
      <w:lvlJc w:val="left"/>
      <w:pPr>
        <w:ind w:left="1752" w:hanging="360"/>
      </w:pPr>
      <w:rPr>
        <w:rFonts w:ascii="Courier New" w:hAnsi="Courier New" w:cs="Courier New" w:hint="default"/>
      </w:rPr>
    </w:lvl>
    <w:lvl w:ilvl="2" w:tplc="04050005" w:tentative="1">
      <w:start w:val="1"/>
      <w:numFmt w:val="bullet"/>
      <w:lvlText w:val=""/>
      <w:lvlJc w:val="left"/>
      <w:pPr>
        <w:ind w:left="2472" w:hanging="360"/>
      </w:pPr>
      <w:rPr>
        <w:rFonts w:ascii="Wingdings" w:hAnsi="Wingdings" w:hint="default"/>
      </w:rPr>
    </w:lvl>
    <w:lvl w:ilvl="3" w:tplc="04050001" w:tentative="1">
      <w:start w:val="1"/>
      <w:numFmt w:val="bullet"/>
      <w:lvlText w:val=""/>
      <w:lvlJc w:val="left"/>
      <w:pPr>
        <w:ind w:left="3192" w:hanging="360"/>
      </w:pPr>
      <w:rPr>
        <w:rFonts w:ascii="Symbol" w:hAnsi="Symbol" w:hint="default"/>
      </w:rPr>
    </w:lvl>
    <w:lvl w:ilvl="4" w:tplc="04050003" w:tentative="1">
      <w:start w:val="1"/>
      <w:numFmt w:val="bullet"/>
      <w:lvlText w:val="o"/>
      <w:lvlJc w:val="left"/>
      <w:pPr>
        <w:ind w:left="3912" w:hanging="360"/>
      </w:pPr>
      <w:rPr>
        <w:rFonts w:ascii="Courier New" w:hAnsi="Courier New" w:cs="Courier New" w:hint="default"/>
      </w:rPr>
    </w:lvl>
    <w:lvl w:ilvl="5" w:tplc="04050005" w:tentative="1">
      <w:start w:val="1"/>
      <w:numFmt w:val="bullet"/>
      <w:lvlText w:val=""/>
      <w:lvlJc w:val="left"/>
      <w:pPr>
        <w:ind w:left="4632" w:hanging="360"/>
      </w:pPr>
      <w:rPr>
        <w:rFonts w:ascii="Wingdings" w:hAnsi="Wingdings" w:hint="default"/>
      </w:rPr>
    </w:lvl>
    <w:lvl w:ilvl="6" w:tplc="04050001" w:tentative="1">
      <w:start w:val="1"/>
      <w:numFmt w:val="bullet"/>
      <w:lvlText w:val=""/>
      <w:lvlJc w:val="left"/>
      <w:pPr>
        <w:ind w:left="5352" w:hanging="360"/>
      </w:pPr>
      <w:rPr>
        <w:rFonts w:ascii="Symbol" w:hAnsi="Symbol" w:hint="default"/>
      </w:rPr>
    </w:lvl>
    <w:lvl w:ilvl="7" w:tplc="04050003" w:tentative="1">
      <w:start w:val="1"/>
      <w:numFmt w:val="bullet"/>
      <w:lvlText w:val="o"/>
      <w:lvlJc w:val="left"/>
      <w:pPr>
        <w:ind w:left="6072" w:hanging="360"/>
      </w:pPr>
      <w:rPr>
        <w:rFonts w:ascii="Courier New" w:hAnsi="Courier New" w:cs="Courier New" w:hint="default"/>
      </w:rPr>
    </w:lvl>
    <w:lvl w:ilvl="8" w:tplc="04050005" w:tentative="1">
      <w:start w:val="1"/>
      <w:numFmt w:val="bullet"/>
      <w:lvlText w:val=""/>
      <w:lvlJc w:val="left"/>
      <w:pPr>
        <w:ind w:left="6792" w:hanging="360"/>
      </w:pPr>
      <w:rPr>
        <w:rFonts w:ascii="Wingdings" w:hAnsi="Wingdings" w:hint="default"/>
      </w:rPr>
    </w:lvl>
  </w:abstractNum>
  <w:num w:numId="1">
    <w:abstractNumId w:val="11"/>
  </w:num>
  <w:num w:numId="2">
    <w:abstractNumId w:val="19"/>
  </w:num>
  <w:num w:numId="3">
    <w:abstractNumId w:val="24"/>
  </w:num>
  <w:num w:numId="4">
    <w:abstractNumId w:val="3"/>
  </w:num>
  <w:num w:numId="5">
    <w:abstractNumId w:val="21"/>
  </w:num>
  <w:num w:numId="6">
    <w:abstractNumId w:val="25"/>
  </w:num>
  <w:num w:numId="7">
    <w:abstractNumId w:val="2"/>
  </w:num>
  <w:num w:numId="8">
    <w:abstractNumId w:val="0"/>
  </w:num>
  <w:num w:numId="9">
    <w:abstractNumId w:val="9"/>
  </w:num>
  <w:num w:numId="10">
    <w:abstractNumId w:val="15"/>
  </w:num>
  <w:num w:numId="11">
    <w:abstractNumId w:val="16"/>
  </w:num>
  <w:num w:numId="12">
    <w:abstractNumId w:val="10"/>
  </w:num>
  <w:num w:numId="13">
    <w:abstractNumId w:val="8"/>
  </w:num>
  <w:num w:numId="14">
    <w:abstractNumId w:val="22"/>
  </w:num>
  <w:num w:numId="15">
    <w:abstractNumId w:val="13"/>
  </w:num>
  <w:num w:numId="16">
    <w:abstractNumId w:val="7"/>
  </w:num>
  <w:num w:numId="17">
    <w:abstractNumId w:val="6"/>
  </w:num>
  <w:num w:numId="18">
    <w:abstractNumId w:val="17"/>
  </w:num>
  <w:num w:numId="19">
    <w:abstractNumId w:val="4"/>
  </w:num>
  <w:num w:numId="20">
    <w:abstractNumId w:val="14"/>
  </w:num>
  <w:num w:numId="21">
    <w:abstractNumId w:val="23"/>
  </w:num>
  <w:num w:numId="22">
    <w:abstractNumId w:val="12"/>
  </w:num>
  <w:num w:numId="23">
    <w:abstractNumId w:val="5"/>
  </w:num>
  <w:num w:numId="24">
    <w:abstractNumId w:val="20"/>
  </w:num>
  <w:num w:numId="25">
    <w:abstractNumId w:val="18"/>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 Copy&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05xppf0ee2vdkeepwyp55e6dvzve2p9dssr&quot;&gt;My EndNote Library&lt;record-ids&gt;&lt;item&gt;71&lt;/item&gt;&lt;item&gt;72&lt;/item&gt;&lt;item&gt;73&lt;/item&gt;&lt;item&gt;76&lt;/item&gt;&lt;item&gt;78&lt;/item&gt;&lt;item&gt;79&lt;/item&gt;&lt;item&gt;81&lt;/item&gt;&lt;item&gt;82&lt;/item&gt;&lt;item&gt;86&lt;/item&gt;&lt;item&gt;87&lt;/item&gt;&lt;item&gt;88&lt;/item&gt;&lt;item&gt;89&lt;/item&gt;&lt;item&gt;90&lt;/item&gt;&lt;item&gt;92&lt;/item&gt;&lt;item&gt;94&lt;/item&gt;&lt;item&gt;95&lt;/item&gt;&lt;item&gt;96&lt;/item&gt;&lt;item&gt;97&lt;/item&gt;&lt;item&gt;98&lt;/item&gt;&lt;item&gt;99&lt;/item&gt;&lt;item&gt;100&lt;/item&gt;&lt;item&gt;101&lt;/item&gt;&lt;item&gt;103&lt;/item&gt;&lt;item&gt;106&lt;/item&gt;&lt;item&gt;107&lt;/item&gt;&lt;item&gt;108&lt;/item&gt;&lt;item&gt;109&lt;/item&gt;&lt;item&gt;110&lt;/item&gt;&lt;/record-ids&gt;&lt;/item&gt;&lt;/Libraries&gt;"/>
    <w:docVar w:name="EN.ReferenceGroups" w:val="&lt;reference-groups&gt;&lt;reference-group&gt;&lt;kind&gt;1&lt;/kind&gt;&lt;heading&gt;Primary Sources&lt;/heading&gt;&lt;alignment&gt;-1&lt;/alignment&gt;&lt;records&gt;&lt;/records&gt;&lt;/reference-group&gt;&lt;reference-group&gt;&lt;kind&gt;1&lt;/kind&gt;&lt;heading&gt;Secondary Sources&lt;/heading&gt;&lt;alignment&gt;-1&lt;/alignment&gt;&lt;records&gt;&lt;/records&gt;&lt;/reference-group&gt;&lt;/reference-groups&gt;"/>
  </w:docVars>
  <w:rsids>
    <w:rsidRoot w:val="00DE6490"/>
    <w:rsid w:val="00115CE9"/>
    <w:rsid w:val="002C7351"/>
    <w:rsid w:val="00361341"/>
    <w:rsid w:val="00476198"/>
    <w:rsid w:val="004D0CA0"/>
    <w:rsid w:val="004E3C50"/>
    <w:rsid w:val="005719FE"/>
    <w:rsid w:val="00597E76"/>
    <w:rsid w:val="005B6227"/>
    <w:rsid w:val="006325BE"/>
    <w:rsid w:val="00650AE6"/>
    <w:rsid w:val="00655537"/>
    <w:rsid w:val="006A6DE9"/>
    <w:rsid w:val="007B1E88"/>
    <w:rsid w:val="00893B77"/>
    <w:rsid w:val="008D13DD"/>
    <w:rsid w:val="008E50CB"/>
    <w:rsid w:val="00A12791"/>
    <w:rsid w:val="00B16C41"/>
    <w:rsid w:val="00B42451"/>
    <w:rsid w:val="00C642E4"/>
    <w:rsid w:val="00D41009"/>
    <w:rsid w:val="00DE6490"/>
    <w:rsid w:val="00FB36B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2B98F"/>
  <w15:chartTrackingRefBased/>
  <w15:docId w15:val="{AEB3BC32-E04C-434B-B5D1-3B9BEDC9B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E6490"/>
    <w:pPr>
      <w:spacing w:after="200" w:line="276" w:lineRule="auto"/>
    </w:pPr>
  </w:style>
  <w:style w:type="paragraph" w:styleId="Nadpis1">
    <w:name w:val="heading 1"/>
    <w:basedOn w:val="Normln"/>
    <w:next w:val="Normln"/>
    <w:link w:val="Nadpis1Char"/>
    <w:uiPriority w:val="9"/>
    <w:qFormat/>
    <w:rsid w:val="00597E76"/>
    <w:pPr>
      <w:keepNext/>
      <w:keepLines/>
      <w:numPr>
        <w:numId w:val="23"/>
      </w:numPr>
      <w:spacing w:before="120" w:after="0" w:line="240" w:lineRule="auto"/>
      <w:ind w:left="357" w:hanging="357"/>
      <w:outlineLvl w:val="0"/>
    </w:pPr>
    <w:rPr>
      <w:rFonts w:ascii="Times New Roman" w:eastAsiaTheme="majorEastAsia" w:hAnsi="Times New Roman" w:cstheme="majorBidi"/>
      <w:b/>
      <w:bCs/>
      <w:sz w:val="28"/>
      <w:szCs w:val="28"/>
    </w:rPr>
  </w:style>
  <w:style w:type="paragraph" w:styleId="Nadpis2">
    <w:name w:val="heading 2"/>
    <w:basedOn w:val="Normln"/>
    <w:next w:val="Normln"/>
    <w:link w:val="Nadpis2Char"/>
    <w:uiPriority w:val="9"/>
    <w:unhideWhenUsed/>
    <w:qFormat/>
    <w:rsid w:val="00C642E4"/>
    <w:pPr>
      <w:keepNext/>
      <w:keepLines/>
      <w:numPr>
        <w:numId w:val="20"/>
      </w:numPr>
      <w:spacing w:before="200" w:after="0"/>
      <w:outlineLvl w:val="1"/>
    </w:pPr>
    <w:rPr>
      <w:rFonts w:ascii="Times New Roman" w:eastAsiaTheme="majorEastAsia" w:hAnsi="Times New Roman" w:cstheme="majorBidi"/>
      <w:b/>
      <w:bCs/>
      <w:sz w:val="26"/>
      <w:szCs w:val="26"/>
    </w:rPr>
  </w:style>
  <w:style w:type="paragraph" w:styleId="Nadpis3">
    <w:name w:val="heading 3"/>
    <w:basedOn w:val="Normln"/>
    <w:next w:val="Normln"/>
    <w:link w:val="Nadpis3Char"/>
    <w:uiPriority w:val="9"/>
    <w:unhideWhenUsed/>
    <w:qFormat/>
    <w:rsid w:val="00DE6490"/>
    <w:pPr>
      <w:keepNext/>
      <w:keepLines/>
      <w:spacing w:before="200" w:after="0"/>
      <w:outlineLvl w:val="2"/>
    </w:pPr>
    <w:rPr>
      <w:rFonts w:asciiTheme="majorHAnsi" w:eastAsiaTheme="majorEastAsia" w:hAnsiTheme="majorHAnsi" w:cstheme="majorBidi"/>
      <w:b/>
      <w:bCs/>
      <w:color w:val="5B9BD5" w:themeColor="accent1"/>
    </w:rPr>
  </w:style>
  <w:style w:type="paragraph" w:styleId="Nadpis4">
    <w:name w:val="heading 4"/>
    <w:basedOn w:val="Normln"/>
    <w:next w:val="Normln"/>
    <w:link w:val="Nadpis4Char"/>
    <w:uiPriority w:val="9"/>
    <w:unhideWhenUsed/>
    <w:qFormat/>
    <w:rsid w:val="00DE6490"/>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597E76"/>
    <w:rPr>
      <w:rFonts w:ascii="Times New Roman" w:eastAsiaTheme="majorEastAsia" w:hAnsi="Times New Roman" w:cstheme="majorBidi"/>
      <w:b/>
      <w:bCs/>
      <w:sz w:val="28"/>
      <w:szCs w:val="28"/>
    </w:rPr>
  </w:style>
  <w:style w:type="character" w:customStyle="1" w:styleId="Nadpis2Char">
    <w:name w:val="Nadpis 2 Char"/>
    <w:basedOn w:val="Standardnpsmoodstavce"/>
    <w:link w:val="Nadpis2"/>
    <w:uiPriority w:val="9"/>
    <w:rsid w:val="00C642E4"/>
    <w:rPr>
      <w:rFonts w:ascii="Times New Roman" w:eastAsiaTheme="majorEastAsia" w:hAnsi="Times New Roman" w:cstheme="majorBidi"/>
      <w:b/>
      <w:bCs/>
      <w:sz w:val="26"/>
      <w:szCs w:val="26"/>
    </w:rPr>
  </w:style>
  <w:style w:type="character" w:customStyle="1" w:styleId="Nadpis3Char">
    <w:name w:val="Nadpis 3 Char"/>
    <w:basedOn w:val="Standardnpsmoodstavce"/>
    <w:link w:val="Nadpis3"/>
    <w:uiPriority w:val="9"/>
    <w:rsid w:val="00DE6490"/>
    <w:rPr>
      <w:rFonts w:asciiTheme="majorHAnsi" w:eastAsiaTheme="majorEastAsia" w:hAnsiTheme="majorHAnsi" w:cstheme="majorBidi"/>
      <w:b/>
      <w:bCs/>
      <w:color w:val="5B9BD5" w:themeColor="accent1"/>
    </w:rPr>
  </w:style>
  <w:style w:type="character" w:customStyle="1" w:styleId="Nadpis4Char">
    <w:name w:val="Nadpis 4 Char"/>
    <w:basedOn w:val="Standardnpsmoodstavce"/>
    <w:link w:val="Nadpis4"/>
    <w:uiPriority w:val="9"/>
    <w:rsid w:val="00DE6490"/>
    <w:rPr>
      <w:rFonts w:asciiTheme="majorHAnsi" w:eastAsiaTheme="majorEastAsia" w:hAnsiTheme="majorHAnsi" w:cstheme="majorBidi"/>
      <w:b/>
      <w:bCs/>
      <w:i/>
      <w:iCs/>
      <w:color w:val="5B9BD5" w:themeColor="accent1"/>
    </w:rPr>
  </w:style>
  <w:style w:type="paragraph" w:styleId="Nzev">
    <w:name w:val="Title"/>
    <w:basedOn w:val="Normln"/>
    <w:next w:val="Normln"/>
    <w:link w:val="NzevChar"/>
    <w:autoRedefine/>
    <w:uiPriority w:val="10"/>
    <w:qFormat/>
    <w:rsid w:val="00DE6490"/>
    <w:pPr>
      <w:spacing w:before="240" w:after="60" w:line="240" w:lineRule="auto"/>
      <w:outlineLvl w:val="0"/>
    </w:pPr>
    <w:rPr>
      <w:rFonts w:cs="Arial"/>
      <w:b/>
      <w:bCs/>
      <w:i/>
      <w:kern w:val="28"/>
      <w:sz w:val="28"/>
      <w:szCs w:val="32"/>
    </w:rPr>
  </w:style>
  <w:style w:type="character" w:customStyle="1" w:styleId="NzevChar">
    <w:name w:val="Název Char"/>
    <w:basedOn w:val="Standardnpsmoodstavce"/>
    <w:link w:val="Nzev"/>
    <w:uiPriority w:val="10"/>
    <w:rsid w:val="00DE6490"/>
    <w:rPr>
      <w:rFonts w:cs="Arial"/>
      <w:b/>
      <w:bCs/>
      <w:i/>
      <w:kern w:val="28"/>
      <w:sz w:val="28"/>
      <w:szCs w:val="32"/>
    </w:rPr>
  </w:style>
  <w:style w:type="paragraph" w:customStyle="1" w:styleId="Nad1">
    <w:name w:val="Nad 1"/>
    <w:basedOn w:val="Normln"/>
    <w:next w:val="Normln"/>
    <w:link w:val="Nad1Char"/>
    <w:autoRedefine/>
    <w:uiPriority w:val="99"/>
    <w:qFormat/>
    <w:rsid w:val="00DE6490"/>
    <w:pPr>
      <w:keepNext/>
      <w:tabs>
        <w:tab w:val="num" w:pos="720"/>
        <w:tab w:val="left" w:pos="936"/>
      </w:tabs>
      <w:spacing w:before="240" w:after="120" w:line="360" w:lineRule="auto"/>
      <w:ind w:left="357" w:hanging="357"/>
    </w:pPr>
    <w:rPr>
      <w:b/>
      <w:bCs/>
      <w:iCs/>
      <w:smallCaps/>
      <w:sz w:val="32"/>
      <w:szCs w:val="32"/>
    </w:rPr>
  </w:style>
  <w:style w:type="character" w:customStyle="1" w:styleId="Nad1Char">
    <w:name w:val="Nad 1 Char"/>
    <w:basedOn w:val="Standardnpsmoodstavce"/>
    <w:link w:val="Nad1"/>
    <w:uiPriority w:val="99"/>
    <w:rsid w:val="00DE6490"/>
    <w:rPr>
      <w:b/>
      <w:bCs/>
      <w:iCs/>
      <w:smallCaps/>
      <w:sz w:val="32"/>
      <w:szCs w:val="32"/>
    </w:rPr>
  </w:style>
  <w:style w:type="paragraph" w:styleId="Obsah3">
    <w:name w:val="toc 3"/>
    <w:basedOn w:val="Normln"/>
    <w:next w:val="Normln"/>
    <w:autoRedefine/>
    <w:uiPriority w:val="39"/>
    <w:qFormat/>
    <w:rsid w:val="00DE6490"/>
    <w:pPr>
      <w:spacing w:after="0" w:line="240" w:lineRule="auto"/>
      <w:ind w:left="480"/>
    </w:pPr>
    <w:rPr>
      <w:rFonts w:eastAsia="Times New Roman" w:cs="Times New Roman"/>
      <w:iCs/>
      <w:sz w:val="20"/>
      <w:szCs w:val="20"/>
      <w:lang w:eastAsia="cs-CZ"/>
    </w:rPr>
  </w:style>
  <w:style w:type="paragraph" w:styleId="Titulek">
    <w:name w:val="caption"/>
    <w:basedOn w:val="Normln"/>
    <w:next w:val="Normln"/>
    <w:autoRedefine/>
    <w:uiPriority w:val="99"/>
    <w:qFormat/>
    <w:rsid w:val="008D13DD"/>
    <w:pPr>
      <w:keepNext/>
      <w:spacing w:after="0" w:line="240" w:lineRule="auto"/>
      <w:ind w:firstLine="284"/>
    </w:pPr>
    <w:rPr>
      <w:rFonts w:ascii="Times New Roman" w:eastAsia="Times New Roman" w:hAnsi="Times New Roman" w:cs="Times New Roman"/>
      <w:b/>
      <w:bCs/>
      <w:i/>
      <w:sz w:val="26"/>
      <w:szCs w:val="26"/>
      <w:lang w:val="en-GB" w:eastAsia="cs-CZ"/>
    </w:rPr>
  </w:style>
  <w:style w:type="character" w:customStyle="1" w:styleId="apple-converted-space">
    <w:name w:val="apple-converted-space"/>
    <w:basedOn w:val="Standardnpsmoodstavce"/>
    <w:rsid w:val="00DE6490"/>
  </w:style>
  <w:style w:type="paragraph" w:styleId="Textbubliny">
    <w:name w:val="Balloon Text"/>
    <w:basedOn w:val="Normln"/>
    <w:link w:val="TextbublinyChar"/>
    <w:uiPriority w:val="99"/>
    <w:semiHidden/>
    <w:unhideWhenUsed/>
    <w:rsid w:val="00DE6490"/>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E6490"/>
    <w:rPr>
      <w:rFonts w:ascii="Tahoma" w:hAnsi="Tahoma" w:cs="Tahoma"/>
      <w:sz w:val="16"/>
      <w:szCs w:val="16"/>
    </w:rPr>
  </w:style>
  <w:style w:type="paragraph" w:customStyle="1" w:styleId="textEM">
    <w:name w:val="text E+M"/>
    <w:link w:val="textEMChar"/>
    <w:qFormat/>
    <w:rsid w:val="00650AE6"/>
    <w:pPr>
      <w:spacing w:after="0" w:line="240" w:lineRule="auto"/>
      <w:ind w:firstLine="284"/>
      <w:jc w:val="both"/>
    </w:pPr>
    <w:rPr>
      <w:rFonts w:ascii="Times New Roman" w:hAnsi="Times New Roman" w:cs="Arial"/>
      <w:color w:val="000000"/>
      <w:sz w:val="24"/>
      <w:szCs w:val="20"/>
      <w:shd w:val="clear" w:color="auto" w:fill="FFFFFF"/>
    </w:rPr>
  </w:style>
  <w:style w:type="paragraph" w:styleId="Odstavecseseznamem">
    <w:name w:val="List Paragraph"/>
    <w:basedOn w:val="Normln"/>
    <w:uiPriority w:val="34"/>
    <w:qFormat/>
    <w:rsid w:val="00DE6490"/>
    <w:pPr>
      <w:ind w:left="720"/>
      <w:contextualSpacing/>
    </w:pPr>
  </w:style>
  <w:style w:type="paragraph" w:customStyle="1" w:styleId="heading1">
    <w:name w:val="heading1"/>
    <w:basedOn w:val="Nadpis1"/>
    <w:next w:val="Normln"/>
    <w:rsid w:val="00DE6490"/>
    <w:pPr>
      <w:numPr>
        <w:numId w:val="3"/>
      </w:numPr>
      <w:suppressAutoHyphens/>
      <w:overflowPunct w:val="0"/>
      <w:autoSpaceDE w:val="0"/>
      <w:autoSpaceDN w:val="0"/>
      <w:adjustRightInd w:val="0"/>
      <w:spacing w:before="360" w:after="240" w:line="300" w:lineRule="atLeast"/>
      <w:textAlignment w:val="baseline"/>
    </w:pPr>
    <w:rPr>
      <w:rFonts w:eastAsia="Times New Roman" w:cs="Times New Roman"/>
      <w:szCs w:val="20"/>
      <w:lang w:val="en-US" w:eastAsia="de-DE"/>
    </w:rPr>
  </w:style>
  <w:style w:type="paragraph" w:customStyle="1" w:styleId="heading2">
    <w:name w:val="heading2"/>
    <w:basedOn w:val="Nadpis2"/>
    <w:next w:val="Normln"/>
    <w:rsid w:val="00DE6490"/>
    <w:pPr>
      <w:numPr>
        <w:ilvl w:val="1"/>
        <w:numId w:val="3"/>
      </w:numPr>
      <w:suppressAutoHyphens/>
      <w:overflowPunct w:val="0"/>
      <w:autoSpaceDE w:val="0"/>
      <w:autoSpaceDN w:val="0"/>
      <w:adjustRightInd w:val="0"/>
      <w:spacing w:before="360" w:after="160" w:line="240" w:lineRule="atLeast"/>
      <w:jc w:val="both"/>
      <w:textAlignment w:val="baseline"/>
    </w:pPr>
    <w:rPr>
      <w:rFonts w:eastAsia="Times New Roman" w:cs="Times New Roman"/>
      <w:iCs/>
      <w:sz w:val="20"/>
      <w:szCs w:val="20"/>
      <w:lang w:val="en-US" w:eastAsia="de-DE"/>
    </w:rPr>
  </w:style>
  <w:style w:type="numbering" w:customStyle="1" w:styleId="headings">
    <w:name w:val="headings"/>
    <w:basedOn w:val="Bezseznamu"/>
    <w:rsid w:val="00DE6490"/>
    <w:pPr>
      <w:numPr>
        <w:numId w:val="3"/>
      </w:numPr>
    </w:pPr>
  </w:style>
  <w:style w:type="paragraph" w:customStyle="1" w:styleId="BNTEXTPRCE">
    <w:name w:val="BĚŽNÝ TEXT PRÁCE"/>
    <w:basedOn w:val="Normln"/>
    <w:link w:val="BNTEXTPRCEChar"/>
    <w:qFormat/>
    <w:rsid w:val="00DE6490"/>
    <w:pPr>
      <w:tabs>
        <w:tab w:val="left" w:pos="312"/>
      </w:tabs>
      <w:spacing w:after="120" w:line="360" w:lineRule="auto"/>
      <w:ind w:firstLine="312"/>
      <w:jc w:val="both"/>
    </w:pPr>
    <w:rPr>
      <w:rFonts w:ascii="Times New Roman" w:eastAsia="Times New Roman" w:hAnsi="Times New Roman" w:cs="Times New Roman"/>
      <w:sz w:val="24"/>
      <w:szCs w:val="24"/>
      <w:lang w:eastAsia="cs-CZ"/>
    </w:rPr>
  </w:style>
  <w:style w:type="character" w:customStyle="1" w:styleId="BNTEXTPRCEChar">
    <w:name w:val="BĚŽNÝ TEXT PRÁCE Char"/>
    <w:basedOn w:val="Standardnpsmoodstavce"/>
    <w:link w:val="BNTEXTPRCE"/>
    <w:rsid w:val="00DE6490"/>
    <w:rPr>
      <w:rFonts w:ascii="Times New Roman" w:eastAsia="Times New Roman" w:hAnsi="Times New Roman" w:cs="Times New Roman"/>
      <w:sz w:val="24"/>
      <w:szCs w:val="24"/>
      <w:lang w:eastAsia="cs-CZ"/>
    </w:rPr>
  </w:style>
  <w:style w:type="paragraph" w:customStyle="1" w:styleId="odrky">
    <w:name w:val="odrážky"/>
    <w:basedOn w:val="BNTEXTPRCE"/>
    <w:link w:val="odrkyChar"/>
    <w:qFormat/>
    <w:rsid w:val="00DE6490"/>
    <w:pPr>
      <w:numPr>
        <w:numId w:val="4"/>
      </w:numPr>
      <w:spacing w:before="120" w:line="240" w:lineRule="auto"/>
      <w:ind w:hanging="357"/>
    </w:pPr>
    <w:rPr>
      <w:sz w:val="20"/>
    </w:rPr>
  </w:style>
  <w:style w:type="character" w:customStyle="1" w:styleId="odrkyChar">
    <w:name w:val="odrážky Char"/>
    <w:basedOn w:val="BNTEXTPRCEChar"/>
    <w:link w:val="odrky"/>
    <w:rsid w:val="00DE6490"/>
    <w:rPr>
      <w:rFonts w:ascii="Times New Roman" w:eastAsia="Times New Roman" w:hAnsi="Times New Roman" w:cs="Times New Roman"/>
      <w:sz w:val="20"/>
      <w:szCs w:val="24"/>
      <w:lang w:eastAsia="cs-CZ"/>
    </w:rPr>
  </w:style>
  <w:style w:type="paragraph" w:customStyle="1" w:styleId="literatura">
    <w:name w:val="literatura"/>
    <w:basedOn w:val="Odstavecseseznamem"/>
    <w:link w:val="literaturaChar"/>
    <w:qFormat/>
    <w:rsid w:val="00DE6490"/>
    <w:pPr>
      <w:spacing w:after="120" w:line="360" w:lineRule="auto"/>
      <w:ind w:left="0"/>
      <w:contextualSpacing w:val="0"/>
      <w:jc w:val="both"/>
    </w:pPr>
    <w:rPr>
      <w:rFonts w:ascii="Times New Roman" w:eastAsia="Times New Roman" w:hAnsi="Times New Roman" w:cs="Times New Roman"/>
      <w:sz w:val="24"/>
      <w:szCs w:val="24"/>
      <w:lang w:eastAsia="cs-CZ"/>
    </w:rPr>
  </w:style>
  <w:style w:type="character" w:customStyle="1" w:styleId="literaturaChar">
    <w:name w:val="literatura Char"/>
    <w:basedOn w:val="Standardnpsmoodstavce"/>
    <w:link w:val="literatura"/>
    <w:rsid w:val="00DE6490"/>
    <w:rPr>
      <w:rFonts w:ascii="Times New Roman" w:eastAsia="Times New Roman" w:hAnsi="Times New Roman" w:cs="Times New Roman"/>
      <w:sz w:val="24"/>
      <w:szCs w:val="24"/>
      <w:lang w:eastAsia="cs-CZ"/>
    </w:rPr>
  </w:style>
  <w:style w:type="paragraph" w:customStyle="1" w:styleId="Nad11">
    <w:name w:val="Nad 1.1"/>
    <w:basedOn w:val="Nad1"/>
    <w:next w:val="BNTEXTPRCE"/>
    <w:uiPriority w:val="99"/>
    <w:qFormat/>
    <w:rsid w:val="00DE6490"/>
    <w:pPr>
      <w:tabs>
        <w:tab w:val="clear" w:pos="720"/>
        <w:tab w:val="num" w:pos="1440"/>
      </w:tabs>
      <w:ind w:left="792" w:hanging="432"/>
      <w:jc w:val="both"/>
    </w:pPr>
    <w:rPr>
      <w:rFonts w:ascii="Times New Roman" w:eastAsia="Times New Roman" w:hAnsi="Times New Roman" w:cs="Times New Roman"/>
      <w:smallCaps w:val="0"/>
      <w:sz w:val="28"/>
      <w:lang w:eastAsia="cs-CZ"/>
    </w:rPr>
  </w:style>
  <w:style w:type="paragraph" w:customStyle="1" w:styleId="Nad111">
    <w:name w:val="Nad 1.1.1"/>
    <w:basedOn w:val="Nad11"/>
    <w:next w:val="BNTEXTPRCE"/>
    <w:link w:val="Nad111Char"/>
    <w:uiPriority w:val="99"/>
    <w:qFormat/>
    <w:rsid w:val="00DE6490"/>
    <w:pPr>
      <w:tabs>
        <w:tab w:val="clear" w:pos="1440"/>
        <w:tab w:val="num" w:pos="2149"/>
      </w:tabs>
      <w:ind w:left="1213" w:hanging="504"/>
    </w:pPr>
    <w:rPr>
      <w:sz w:val="26"/>
    </w:rPr>
  </w:style>
  <w:style w:type="character" w:customStyle="1" w:styleId="Nad111Char">
    <w:name w:val="Nad 1.1.1 Char"/>
    <w:basedOn w:val="Standardnpsmoodstavce"/>
    <w:link w:val="Nad111"/>
    <w:uiPriority w:val="99"/>
    <w:rsid w:val="00DE6490"/>
    <w:rPr>
      <w:rFonts w:ascii="Times New Roman" w:eastAsia="Times New Roman" w:hAnsi="Times New Roman" w:cs="Times New Roman"/>
      <w:b/>
      <w:bCs/>
      <w:iCs/>
      <w:sz w:val="26"/>
      <w:szCs w:val="32"/>
      <w:lang w:eastAsia="cs-CZ"/>
    </w:rPr>
  </w:style>
  <w:style w:type="paragraph" w:customStyle="1" w:styleId="Nad1111">
    <w:name w:val="Nad 1.1.1.1"/>
    <w:basedOn w:val="Nad111"/>
    <w:next w:val="Normln"/>
    <w:uiPriority w:val="99"/>
    <w:rsid w:val="00DE6490"/>
    <w:pPr>
      <w:tabs>
        <w:tab w:val="clear" w:pos="2149"/>
      </w:tabs>
      <w:ind w:left="0" w:firstLine="0"/>
    </w:pPr>
    <w:rPr>
      <w:sz w:val="24"/>
      <w:szCs w:val="24"/>
    </w:rPr>
  </w:style>
  <w:style w:type="paragraph" w:customStyle="1" w:styleId="Zdroj">
    <w:name w:val="Zdroj"/>
    <w:next w:val="BNTEXTPRCE"/>
    <w:link w:val="ZdrojChar"/>
    <w:qFormat/>
    <w:rsid w:val="00DE6490"/>
    <w:pPr>
      <w:spacing w:after="240" w:line="360" w:lineRule="auto"/>
      <w:ind w:left="6381" w:firstLine="709"/>
      <w:jc w:val="center"/>
    </w:pPr>
    <w:rPr>
      <w:rFonts w:ascii="Times New Roman" w:eastAsia="Times New Roman" w:hAnsi="Times New Roman" w:cs="Times New Roman"/>
      <w:i/>
      <w:iCs/>
      <w:sz w:val="20"/>
      <w:szCs w:val="20"/>
      <w:lang w:eastAsia="cs-CZ"/>
    </w:rPr>
  </w:style>
  <w:style w:type="character" w:customStyle="1" w:styleId="ZdrojChar">
    <w:name w:val="Zdroj Char"/>
    <w:basedOn w:val="Standardnpsmoodstavce"/>
    <w:link w:val="Zdroj"/>
    <w:rsid w:val="00DE6490"/>
    <w:rPr>
      <w:rFonts w:ascii="Times New Roman" w:eastAsia="Times New Roman" w:hAnsi="Times New Roman" w:cs="Times New Roman"/>
      <w:i/>
      <w:iCs/>
      <w:sz w:val="20"/>
      <w:szCs w:val="20"/>
      <w:lang w:eastAsia="cs-CZ"/>
    </w:rPr>
  </w:style>
  <w:style w:type="character" w:customStyle="1" w:styleId="shorttext">
    <w:name w:val="short_text"/>
    <w:basedOn w:val="Standardnpsmoodstavce"/>
    <w:rsid w:val="00DE6490"/>
  </w:style>
  <w:style w:type="character" w:customStyle="1" w:styleId="hps">
    <w:name w:val="hps"/>
    <w:basedOn w:val="Standardnpsmoodstavce"/>
    <w:rsid w:val="00DE6490"/>
  </w:style>
  <w:style w:type="character" w:styleId="CittHTML">
    <w:name w:val="HTML Cite"/>
    <w:basedOn w:val="Standardnpsmoodstavce"/>
    <w:uiPriority w:val="99"/>
    <w:semiHidden/>
    <w:unhideWhenUsed/>
    <w:rsid w:val="00DE6490"/>
    <w:rPr>
      <w:i/>
      <w:iCs/>
    </w:rPr>
  </w:style>
  <w:style w:type="paragraph" w:styleId="Zhlav">
    <w:name w:val="header"/>
    <w:basedOn w:val="Normln"/>
    <w:link w:val="ZhlavChar"/>
    <w:uiPriority w:val="99"/>
    <w:unhideWhenUsed/>
    <w:rsid w:val="00DE6490"/>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DE6490"/>
  </w:style>
  <w:style w:type="paragraph" w:styleId="Zpat">
    <w:name w:val="footer"/>
    <w:basedOn w:val="Normln"/>
    <w:link w:val="ZpatChar"/>
    <w:uiPriority w:val="99"/>
    <w:unhideWhenUsed/>
    <w:rsid w:val="00DE6490"/>
    <w:pPr>
      <w:tabs>
        <w:tab w:val="center" w:pos="4536"/>
        <w:tab w:val="right" w:pos="9072"/>
      </w:tabs>
      <w:spacing w:after="0" w:line="240" w:lineRule="auto"/>
    </w:pPr>
  </w:style>
  <w:style w:type="character" w:customStyle="1" w:styleId="ZpatChar">
    <w:name w:val="Zápatí Char"/>
    <w:basedOn w:val="Standardnpsmoodstavce"/>
    <w:link w:val="Zpat"/>
    <w:uiPriority w:val="99"/>
    <w:rsid w:val="00DE6490"/>
  </w:style>
  <w:style w:type="character" w:styleId="Hypertextovodkaz">
    <w:name w:val="Hyperlink"/>
    <w:basedOn w:val="Standardnpsmoodstavce"/>
    <w:uiPriority w:val="99"/>
    <w:unhideWhenUsed/>
    <w:rsid w:val="00DE6490"/>
    <w:rPr>
      <w:color w:val="0000FF"/>
      <w:u w:val="single"/>
    </w:rPr>
  </w:style>
  <w:style w:type="character" w:styleId="Odkaznakoment">
    <w:name w:val="annotation reference"/>
    <w:basedOn w:val="Standardnpsmoodstavce"/>
    <w:uiPriority w:val="99"/>
    <w:semiHidden/>
    <w:unhideWhenUsed/>
    <w:rsid w:val="00DE6490"/>
    <w:rPr>
      <w:sz w:val="16"/>
      <w:szCs w:val="16"/>
    </w:rPr>
  </w:style>
  <w:style w:type="paragraph" w:styleId="Textkomente">
    <w:name w:val="annotation text"/>
    <w:basedOn w:val="Normln"/>
    <w:link w:val="TextkomenteChar"/>
    <w:uiPriority w:val="99"/>
    <w:semiHidden/>
    <w:unhideWhenUsed/>
    <w:rsid w:val="00DE6490"/>
    <w:pPr>
      <w:spacing w:line="240" w:lineRule="auto"/>
    </w:pPr>
    <w:rPr>
      <w:sz w:val="20"/>
      <w:szCs w:val="20"/>
    </w:rPr>
  </w:style>
  <w:style w:type="character" w:customStyle="1" w:styleId="TextkomenteChar">
    <w:name w:val="Text komentáře Char"/>
    <w:basedOn w:val="Standardnpsmoodstavce"/>
    <w:link w:val="Textkomente"/>
    <w:uiPriority w:val="99"/>
    <w:semiHidden/>
    <w:rsid w:val="00DE6490"/>
    <w:rPr>
      <w:sz w:val="20"/>
      <w:szCs w:val="20"/>
    </w:rPr>
  </w:style>
  <w:style w:type="paragraph" w:styleId="Pedmtkomente">
    <w:name w:val="annotation subject"/>
    <w:basedOn w:val="Textkomente"/>
    <w:next w:val="Textkomente"/>
    <w:link w:val="PedmtkomenteChar"/>
    <w:uiPriority w:val="99"/>
    <w:semiHidden/>
    <w:unhideWhenUsed/>
    <w:rsid w:val="00DE6490"/>
    <w:rPr>
      <w:b/>
      <w:bCs/>
    </w:rPr>
  </w:style>
  <w:style w:type="character" w:customStyle="1" w:styleId="PedmtkomenteChar">
    <w:name w:val="Předmět komentáře Char"/>
    <w:basedOn w:val="TextkomenteChar"/>
    <w:link w:val="Pedmtkomente"/>
    <w:uiPriority w:val="99"/>
    <w:semiHidden/>
    <w:rsid w:val="00DE6490"/>
    <w:rPr>
      <w:b/>
      <w:bCs/>
      <w:sz w:val="20"/>
      <w:szCs w:val="20"/>
    </w:rPr>
  </w:style>
  <w:style w:type="paragraph" w:styleId="Revize">
    <w:name w:val="Revision"/>
    <w:hidden/>
    <w:uiPriority w:val="99"/>
    <w:semiHidden/>
    <w:rsid w:val="00DE6490"/>
    <w:pPr>
      <w:spacing w:after="0" w:line="240" w:lineRule="auto"/>
    </w:pPr>
  </w:style>
  <w:style w:type="paragraph" w:styleId="Normlnweb">
    <w:name w:val="Normal (Web)"/>
    <w:basedOn w:val="Normln"/>
    <w:uiPriority w:val="99"/>
    <w:semiHidden/>
    <w:unhideWhenUsed/>
    <w:rsid w:val="00DE6490"/>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customStyle="1" w:styleId="translation">
    <w:name w:val="translation"/>
    <w:basedOn w:val="Standardnpsmoodstavce"/>
    <w:rsid w:val="00DE6490"/>
  </w:style>
  <w:style w:type="paragraph" w:customStyle="1" w:styleId="EndNoteBibliographyTitle">
    <w:name w:val="EndNote Bibliography Title"/>
    <w:basedOn w:val="Normln"/>
    <w:link w:val="EndNoteBibliographyTitleChar"/>
    <w:rsid w:val="00DE6490"/>
    <w:pPr>
      <w:spacing w:after="0"/>
      <w:jc w:val="center"/>
    </w:pPr>
    <w:rPr>
      <w:rFonts w:ascii="Times New Roman" w:hAnsi="Times New Roman" w:cs="Times New Roman"/>
      <w:noProof/>
      <w:color w:val="000000"/>
      <w:sz w:val="20"/>
      <w:szCs w:val="20"/>
      <w:lang w:val="en-US"/>
    </w:rPr>
  </w:style>
  <w:style w:type="character" w:customStyle="1" w:styleId="textEMChar">
    <w:name w:val="text E+M Char"/>
    <w:basedOn w:val="Standardnpsmoodstavce"/>
    <w:link w:val="textEM"/>
    <w:rsid w:val="00650AE6"/>
    <w:rPr>
      <w:rFonts w:ascii="Times New Roman" w:hAnsi="Times New Roman" w:cs="Arial"/>
      <w:color w:val="000000"/>
      <w:sz w:val="24"/>
      <w:szCs w:val="20"/>
    </w:rPr>
  </w:style>
  <w:style w:type="character" w:customStyle="1" w:styleId="EndNoteBibliographyTitleChar">
    <w:name w:val="EndNote Bibliography Title Char"/>
    <w:basedOn w:val="textEMChar"/>
    <w:link w:val="EndNoteBibliographyTitle"/>
    <w:rsid w:val="00DE6490"/>
    <w:rPr>
      <w:rFonts w:ascii="Times New Roman" w:hAnsi="Times New Roman" w:cs="Times New Roman"/>
      <w:noProof/>
      <w:color w:val="000000"/>
      <w:sz w:val="20"/>
      <w:szCs w:val="20"/>
      <w:lang w:val="en-US"/>
    </w:rPr>
  </w:style>
  <w:style w:type="paragraph" w:customStyle="1" w:styleId="EndNoteBibliography">
    <w:name w:val="EndNote Bibliography"/>
    <w:basedOn w:val="Normln"/>
    <w:link w:val="EndNoteBibliographyChar"/>
    <w:rsid w:val="00597E76"/>
    <w:pPr>
      <w:numPr>
        <w:numId w:val="26"/>
      </w:numPr>
      <w:spacing w:after="120" w:line="240" w:lineRule="auto"/>
      <w:ind w:left="567" w:firstLine="0"/>
      <w:jc w:val="both"/>
    </w:pPr>
    <w:rPr>
      <w:rFonts w:ascii="Times New Roman" w:hAnsi="Times New Roman" w:cs="Times New Roman"/>
      <w:noProof/>
      <w:color w:val="000000"/>
      <w:sz w:val="24"/>
      <w:szCs w:val="20"/>
      <w:lang w:val="en-US"/>
    </w:rPr>
  </w:style>
  <w:style w:type="character" w:customStyle="1" w:styleId="EndNoteBibliographyChar">
    <w:name w:val="EndNote Bibliography Char"/>
    <w:basedOn w:val="textEMChar"/>
    <w:link w:val="EndNoteBibliography"/>
    <w:rsid w:val="00597E76"/>
    <w:rPr>
      <w:rFonts w:ascii="Times New Roman" w:hAnsi="Times New Roman" w:cs="Times New Roman"/>
      <w:noProof/>
      <w:color w:val="000000"/>
      <w:sz w:val="24"/>
      <w:szCs w:val="20"/>
      <w:lang w:val="en-US"/>
    </w:rPr>
  </w:style>
  <w:style w:type="table" w:styleId="Mkatabulky">
    <w:name w:val="Table Grid"/>
    <w:basedOn w:val="Normlntabulka"/>
    <w:uiPriority w:val="59"/>
    <w:rsid w:val="00DE64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CategoryHeading">
    <w:name w:val="EndNote Category Heading"/>
    <w:basedOn w:val="Normln"/>
    <w:link w:val="EndNoteCategoryHeadingChar"/>
    <w:rsid w:val="006A6DE9"/>
    <w:pPr>
      <w:spacing w:before="120" w:after="120"/>
    </w:pPr>
    <w:rPr>
      <w:b/>
      <w:noProof/>
      <w:lang w:val="en-US"/>
    </w:rPr>
  </w:style>
  <w:style w:type="character" w:customStyle="1" w:styleId="EndNoteCategoryHeadingChar">
    <w:name w:val="EndNote Category Heading Char"/>
    <w:basedOn w:val="textEMChar"/>
    <w:link w:val="EndNoteCategoryHeading"/>
    <w:rsid w:val="006A6DE9"/>
    <w:rPr>
      <w:rFonts w:ascii="Times New Roman" w:hAnsi="Times New Roman" w:cs="Arial"/>
      <w:b/>
      <w:noProof/>
      <w:color w:val="000000"/>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093083">
      <w:bodyDiv w:val="1"/>
      <w:marLeft w:val="0"/>
      <w:marRight w:val="0"/>
      <w:marTop w:val="0"/>
      <w:marBottom w:val="0"/>
      <w:divBdr>
        <w:top w:val="none" w:sz="0" w:space="0" w:color="auto"/>
        <w:left w:val="none" w:sz="0" w:space="0" w:color="auto"/>
        <w:bottom w:val="none" w:sz="0" w:space="0" w:color="auto"/>
        <w:right w:val="none" w:sz="0" w:space="0" w:color="auto"/>
      </w:divBdr>
    </w:div>
    <w:div w:id="1044215305">
      <w:bodyDiv w:val="1"/>
      <w:marLeft w:val="0"/>
      <w:marRight w:val="0"/>
      <w:marTop w:val="0"/>
      <w:marBottom w:val="0"/>
      <w:divBdr>
        <w:top w:val="none" w:sz="0" w:space="0" w:color="auto"/>
        <w:left w:val="none" w:sz="0" w:space="0" w:color="auto"/>
        <w:bottom w:val="none" w:sz="0" w:space="0" w:color="auto"/>
        <w:right w:val="none" w:sz="0" w:space="0" w:color="auto"/>
      </w:divBdr>
    </w:div>
    <w:div w:id="1630209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image" Target="media/image1.gif"/><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D:\Data\hajo0147\Plocha\PI%20FES\texty\&#269;l&#225;nek\cluster%20body%20opraven&#23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cs-CZ" sz="1200" b="1" i="0" u="none" strike="noStrike" baseline="0">
                <a:latin typeface="Arial" panose="020B0604020202020204" pitchFamily="34" charset="0"/>
                <a:cs typeface="Arial" panose="020B0604020202020204" pitchFamily="34" charset="0"/>
              </a:rPr>
              <a:t>Centers of all clusters Type 1</a:t>
            </a:r>
            <a:endParaRPr lang="cs-CZ" sz="1200">
              <a:latin typeface="Arial" panose="020B0604020202020204" pitchFamily="34" charset="0"/>
              <a:cs typeface="Arial" panose="020B0604020202020204" pitchFamily="34" charset="0"/>
            </a:endParaRPr>
          </a:p>
        </c:rich>
      </c:tx>
      <c:overlay val="0"/>
    </c:title>
    <c:autoTitleDeleted val="0"/>
    <c:plotArea>
      <c:layout/>
      <c:lineChart>
        <c:grouping val="standard"/>
        <c:varyColors val="0"/>
        <c:ser>
          <c:idx val="0"/>
          <c:order val="0"/>
          <c:tx>
            <c:strRef>
              <c:f>'BP 1'!$H$26</c:f>
              <c:strCache>
                <c:ptCount val="1"/>
                <c:pt idx="0">
                  <c:v>Cluster 1</c:v>
                </c:pt>
              </c:strCache>
            </c:strRef>
          </c:tx>
          <c:cat>
            <c:strRef>
              <c:f>'BP 1'!$C$27:$C$42</c:f>
              <c:strCache>
                <c:ptCount val="16"/>
                <c:pt idx="0">
                  <c:v>certainty of obtaining work</c:v>
                </c:pt>
                <c:pt idx="1">
                  <c:v>prestige of school</c:v>
                </c:pt>
                <c:pt idx="2">
                  <c:v> financial demands of Studies</c:v>
                </c:pt>
                <c:pt idx="3">
                  <c:v>distance from the residence</c:v>
                </c:pt>
                <c:pt idx="4">
                  <c:v>difficulty of studies</c:v>
                </c:pt>
                <c:pt idx="5">
                  <c:v>difficulty of entrance exam</c:v>
                </c:pt>
                <c:pt idx="6">
                  <c:v>gained experience in the profession</c:v>
                </c:pt>
                <c:pt idx="7">
                  <c:v>school services</c:v>
                </c:pt>
                <c:pt idx="8">
                  <c:v>recommendation of friends</c:v>
                </c:pt>
                <c:pt idx="9">
                  <c:v>possibility of accommodation</c:v>
                </c:pt>
                <c:pt idx="10">
                  <c:v>recommendation of family</c:v>
                </c:pt>
                <c:pt idx="11">
                  <c:v>culture in city</c:v>
                </c:pt>
                <c:pt idx="12">
                  <c:v>quality of accommodation</c:v>
                </c:pt>
                <c:pt idx="13">
                  <c:v>possibility of studying abroad</c:v>
                </c:pt>
                <c:pt idx="14">
                  <c:v>sports background</c:v>
                </c:pt>
                <c:pt idx="15">
                  <c:v>quality of meal</c:v>
                </c:pt>
              </c:strCache>
            </c:strRef>
          </c:cat>
          <c:val>
            <c:numRef>
              <c:f>'BP 1'!$H$27:$H$42</c:f>
              <c:numCache>
                <c:formatCode>0.00</c:formatCode>
                <c:ptCount val="16"/>
                <c:pt idx="0">
                  <c:v>1.3727272727272728</c:v>
                </c:pt>
                <c:pt idx="1">
                  <c:v>1.3</c:v>
                </c:pt>
                <c:pt idx="2">
                  <c:v>1.0181818181818181</c:v>
                </c:pt>
                <c:pt idx="3">
                  <c:v>0.88181818181818183</c:v>
                </c:pt>
                <c:pt idx="4">
                  <c:v>0.98181818181818181</c:v>
                </c:pt>
                <c:pt idx="5">
                  <c:v>0.8</c:v>
                </c:pt>
                <c:pt idx="6">
                  <c:v>1.3272727272727274</c:v>
                </c:pt>
                <c:pt idx="7">
                  <c:v>1.290909090909091</c:v>
                </c:pt>
                <c:pt idx="8">
                  <c:v>0.78181818181818186</c:v>
                </c:pt>
                <c:pt idx="9">
                  <c:v>1.1272727272727272</c:v>
                </c:pt>
                <c:pt idx="10">
                  <c:v>0.75454545454545452</c:v>
                </c:pt>
                <c:pt idx="11">
                  <c:v>0.96363636363636362</c:v>
                </c:pt>
                <c:pt idx="12">
                  <c:v>0.9363636363636364</c:v>
                </c:pt>
                <c:pt idx="13">
                  <c:v>0.92727272727272725</c:v>
                </c:pt>
                <c:pt idx="14">
                  <c:v>0.80909090909090908</c:v>
                </c:pt>
                <c:pt idx="15">
                  <c:v>0.35454545454545455</c:v>
                </c:pt>
              </c:numCache>
            </c:numRef>
          </c:val>
          <c:smooth val="0"/>
          <c:extLst>
            <c:ext xmlns:c16="http://schemas.microsoft.com/office/drawing/2014/chart" uri="{C3380CC4-5D6E-409C-BE32-E72D297353CC}">
              <c16:uniqueId val="{00000000-E4FF-4DC8-A718-405F5E2ED749}"/>
            </c:ext>
          </c:extLst>
        </c:ser>
        <c:ser>
          <c:idx val="1"/>
          <c:order val="1"/>
          <c:tx>
            <c:strRef>
              <c:f>'BP 1'!$I$26</c:f>
              <c:strCache>
                <c:ptCount val="1"/>
                <c:pt idx="0">
                  <c:v>Cluster 2</c:v>
                </c:pt>
              </c:strCache>
            </c:strRef>
          </c:tx>
          <c:marker>
            <c:symbol val="square"/>
            <c:size val="4"/>
          </c:marker>
          <c:cat>
            <c:strRef>
              <c:f>'BP 1'!$C$27:$C$42</c:f>
              <c:strCache>
                <c:ptCount val="16"/>
                <c:pt idx="0">
                  <c:v>certainty of obtaining work</c:v>
                </c:pt>
                <c:pt idx="1">
                  <c:v>prestige of school</c:v>
                </c:pt>
                <c:pt idx="2">
                  <c:v> financial demands of Studies</c:v>
                </c:pt>
                <c:pt idx="3">
                  <c:v>distance from the residence</c:v>
                </c:pt>
                <c:pt idx="4">
                  <c:v>difficulty of studies</c:v>
                </c:pt>
                <c:pt idx="5">
                  <c:v>difficulty of entrance exam</c:v>
                </c:pt>
                <c:pt idx="6">
                  <c:v>gained experience in the profession</c:v>
                </c:pt>
                <c:pt idx="7">
                  <c:v>school services</c:v>
                </c:pt>
                <c:pt idx="8">
                  <c:v>recommendation of friends</c:v>
                </c:pt>
                <c:pt idx="9">
                  <c:v>possibility of accommodation</c:v>
                </c:pt>
                <c:pt idx="10">
                  <c:v>recommendation of family</c:v>
                </c:pt>
                <c:pt idx="11">
                  <c:v>culture in city</c:v>
                </c:pt>
                <c:pt idx="12">
                  <c:v>quality of accommodation</c:v>
                </c:pt>
                <c:pt idx="13">
                  <c:v>possibility of studying abroad</c:v>
                </c:pt>
                <c:pt idx="14">
                  <c:v>sports background</c:v>
                </c:pt>
                <c:pt idx="15">
                  <c:v>quality of meal</c:v>
                </c:pt>
              </c:strCache>
            </c:strRef>
          </c:cat>
          <c:val>
            <c:numRef>
              <c:f>'BP 1'!$I$27:$I$42</c:f>
              <c:numCache>
                <c:formatCode>0.00</c:formatCode>
                <c:ptCount val="16"/>
                <c:pt idx="0">
                  <c:v>1.0384615384615385</c:v>
                </c:pt>
                <c:pt idx="1">
                  <c:v>0.85897435897435892</c:v>
                </c:pt>
                <c:pt idx="2">
                  <c:v>1.1538461538461537</c:v>
                </c:pt>
                <c:pt idx="3">
                  <c:v>1.4102564102564104</c:v>
                </c:pt>
                <c:pt idx="4">
                  <c:v>0.96794871794871795</c:v>
                </c:pt>
                <c:pt idx="5">
                  <c:v>0.91025641025641024</c:v>
                </c:pt>
                <c:pt idx="6">
                  <c:v>0.57692307692307687</c:v>
                </c:pt>
                <c:pt idx="7">
                  <c:v>0.58974358974358976</c:v>
                </c:pt>
                <c:pt idx="8">
                  <c:v>0.84615384615384615</c:v>
                </c:pt>
                <c:pt idx="9">
                  <c:v>8.9743589743589744E-2</c:v>
                </c:pt>
                <c:pt idx="10">
                  <c:v>0.64743589743589747</c:v>
                </c:pt>
                <c:pt idx="11">
                  <c:v>0.28846153846153844</c:v>
                </c:pt>
                <c:pt idx="12">
                  <c:v>3.8461538461538464E-2</c:v>
                </c:pt>
                <c:pt idx="13">
                  <c:v>0.17948717948717949</c:v>
                </c:pt>
                <c:pt idx="14">
                  <c:v>9.6153846153846159E-2</c:v>
                </c:pt>
                <c:pt idx="15">
                  <c:v>4.4871794871794872E-2</c:v>
                </c:pt>
              </c:numCache>
            </c:numRef>
          </c:val>
          <c:smooth val="0"/>
          <c:extLst>
            <c:ext xmlns:c16="http://schemas.microsoft.com/office/drawing/2014/chart" uri="{C3380CC4-5D6E-409C-BE32-E72D297353CC}">
              <c16:uniqueId val="{00000001-E4FF-4DC8-A718-405F5E2ED749}"/>
            </c:ext>
          </c:extLst>
        </c:ser>
        <c:ser>
          <c:idx val="2"/>
          <c:order val="2"/>
          <c:tx>
            <c:strRef>
              <c:f>'BP 1'!$J$26</c:f>
              <c:strCache>
                <c:ptCount val="1"/>
                <c:pt idx="0">
                  <c:v>Cluster 3</c:v>
                </c:pt>
              </c:strCache>
            </c:strRef>
          </c:tx>
          <c:marker>
            <c:symbol val="triangle"/>
            <c:size val="5"/>
          </c:marker>
          <c:cat>
            <c:strRef>
              <c:f>'BP 1'!$C$27:$C$42</c:f>
              <c:strCache>
                <c:ptCount val="16"/>
                <c:pt idx="0">
                  <c:v>certainty of obtaining work</c:v>
                </c:pt>
                <c:pt idx="1">
                  <c:v>prestige of school</c:v>
                </c:pt>
                <c:pt idx="2">
                  <c:v> financial demands of Studies</c:v>
                </c:pt>
                <c:pt idx="3">
                  <c:v>distance from the residence</c:v>
                </c:pt>
                <c:pt idx="4">
                  <c:v>difficulty of studies</c:v>
                </c:pt>
                <c:pt idx="5">
                  <c:v>difficulty of entrance exam</c:v>
                </c:pt>
                <c:pt idx="6">
                  <c:v>gained experience in the profession</c:v>
                </c:pt>
                <c:pt idx="7">
                  <c:v>school services</c:v>
                </c:pt>
                <c:pt idx="8">
                  <c:v>recommendation of friends</c:v>
                </c:pt>
                <c:pt idx="9">
                  <c:v>possibility of accommodation</c:v>
                </c:pt>
                <c:pt idx="10">
                  <c:v>recommendation of family</c:v>
                </c:pt>
                <c:pt idx="11">
                  <c:v>culture in city</c:v>
                </c:pt>
                <c:pt idx="12">
                  <c:v>quality of accommodation</c:v>
                </c:pt>
                <c:pt idx="13">
                  <c:v>possibility of studying abroad</c:v>
                </c:pt>
                <c:pt idx="14">
                  <c:v>sports background</c:v>
                </c:pt>
                <c:pt idx="15">
                  <c:v>quality of meal</c:v>
                </c:pt>
              </c:strCache>
            </c:strRef>
          </c:cat>
          <c:val>
            <c:numRef>
              <c:f>'BP 1'!$J$27:$J$42</c:f>
              <c:numCache>
                <c:formatCode>0.00</c:formatCode>
                <c:ptCount val="16"/>
                <c:pt idx="0">
                  <c:v>0.99242424242424243</c:v>
                </c:pt>
                <c:pt idx="1">
                  <c:v>0.95454545454545459</c:v>
                </c:pt>
                <c:pt idx="2">
                  <c:v>0.4621212121212121</c:v>
                </c:pt>
                <c:pt idx="3">
                  <c:v>0.40151515151515149</c:v>
                </c:pt>
                <c:pt idx="4">
                  <c:v>0.48484848484848486</c:v>
                </c:pt>
                <c:pt idx="5">
                  <c:v>0.48484848484848486</c:v>
                </c:pt>
                <c:pt idx="6">
                  <c:v>0.66666666666666663</c:v>
                </c:pt>
                <c:pt idx="7">
                  <c:v>0.2878787878787879</c:v>
                </c:pt>
                <c:pt idx="8">
                  <c:v>0.51515151515151514</c:v>
                </c:pt>
                <c:pt idx="9">
                  <c:v>0.34848484848484851</c:v>
                </c:pt>
                <c:pt idx="10">
                  <c:v>0.41666666666666669</c:v>
                </c:pt>
                <c:pt idx="11">
                  <c:v>0.2878787878787879</c:v>
                </c:pt>
                <c:pt idx="12">
                  <c:v>0.10606060606060606</c:v>
                </c:pt>
                <c:pt idx="13">
                  <c:v>0.34090909090909088</c:v>
                </c:pt>
                <c:pt idx="14">
                  <c:v>0.14393939393939395</c:v>
                </c:pt>
                <c:pt idx="15">
                  <c:v>0</c:v>
                </c:pt>
              </c:numCache>
            </c:numRef>
          </c:val>
          <c:smooth val="0"/>
          <c:extLst>
            <c:ext xmlns:c16="http://schemas.microsoft.com/office/drawing/2014/chart" uri="{C3380CC4-5D6E-409C-BE32-E72D297353CC}">
              <c16:uniqueId val="{00000002-E4FF-4DC8-A718-405F5E2ED749}"/>
            </c:ext>
          </c:extLst>
        </c:ser>
        <c:ser>
          <c:idx val="3"/>
          <c:order val="3"/>
          <c:tx>
            <c:strRef>
              <c:f>'BP 1'!$K$26</c:f>
              <c:strCache>
                <c:ptCount val="1"/>
                <c:pt idx="0">
                  <c:v>Cluster 4</c:v>
                </c:pt>
              </c:strCache>
            </c:strRef>
          </c:tx>
          <c:cat>
            <c:strRef>
              <c:f>'BP 1'!$C$27:$C$42</c:f>
              <c:strCache>
                <c:ptCount val="16"/>
                <c:pt idx="0">
                  <c:v>certainty of obtaining work</c:v>
                </c:pt>
                <c:pt idx="1">
                  <c:v>prestige of school</c:v>
                </c:pt>
                <c:pt idx="2">
                  <c:v> financial demands of Studies</c:v>
                </c:pt>
                <c:pt idx="3">
                  <c:v>distance from the residence</c:v>
                </c:pt>
                <c:pt idx="4">
                  <c:v>difficulty of studies</c:v>
                </c:pt>
                <c:pt idx="5">
                  <c:v>difficulty of entrance exam</c:v>
                </c:pt>
                <c:pt idx="6">
                  <c:v>gained experience in the profession</c:v>
                </c:pt>
                <c:pt idx="7">
                  <c:v>school services</c:v>
                </c:pt>
                <c:pt idx="8">
                  <c:v>recommendation of friends</c:v>
                </c:pt>
                <c:pt idx="9">
                  <c:v>possibility of accommodation</c:v>
                </c:pt>
                <c:pt idx="10">
                  <c:v>recommendation of family</c:v>
                </c:pt>
                <c:pt idx="11">
                  <c:v>culture in city</c:v>
                </c:pt>
                <c:pt idx="12">
                  <c:v>quality of accommodation</c:v>
                </c:pt>
                <c:pt idx="13">
                  <c:v>possibility of studying abroad</c:v>
                </c:pt>
                <c:pt idx="14">
                  <c:v>sports background</c:v>
                </c:pt>
                <c:pt idx="15">
                  <c:v>quality of meal</c:v>
                </c:pt>
              </c:strCache>
            </c:strRef>
          </c:cat>
          <c:val>
            <c:numRef>
              <c:f>'BP 1'!$K$27:$K$42</c:f>
              <c:numCache>
                <c:formatCode>0.00</c:formatCode>
                <c:ptCount val="16"/>
                <c:pt idx="0">
                  <c:v>1.0333333333333334</c:v>
                </c:pt>
                <c:pt idx="1">
                  <c:v>0.8</c:v>
                </c:pt>
                <c:pt idx="2">
                  <c:v>1.0666666666666667</c:v>
                </c:pt>
                <c:pt idx="3">
                  <c:v>0.85833333333333328</c:v>
                </c:pt>
                <c:pt idx="4">
                  <c:v>1.075</c:v>
                </c:pt>
                <c:pt idx="5">
                  <c:v>1.0916666666666666</c:v>
                </c:pt>
                <c:pt idx="6">
                  <c:v>0.75</c:v>
                </c:pt>
                <c:pt idx="7">
                  <c:v>1.0333333333333334</c:v>
                </c:pt>
                <c:pt idx="8">
                  <c:v>0.7416666666666667</c:v>
                </c:pt>
                <c:pt idx="9">
                  <c:v>1.2666666666666666</c:v>
                </c:pt>
                <c:pt idx="10">
                  <c:v>0.45833333333333331</c:v>
                </c:pt>
                <c:pt idx="11">
                  <c:v>0.52500000000000002</c:v>
                </c:pt>
                <c:pt idx="12">
                  <c:v>0.90833333333333333</c:v>
                </c:pt>
                <c:pt idx="13">
                  <c:v>0.33333333333333331</c:v>
                </c:pt>
                <c:pt idx="14">
                  <c:v>0.42499999999999999</c:v>
                </c:pt>
                <c:pt idx="15">
                  <c:v>6.6666666666666666E-2</c:v>
                </c:pt>
              </c:numCache>
            </c:numRef>
          </c:val>
          <c:smooth val="0"/>
          <c:extLst>
            <c:ext xmlns:c16="http://schemas.microsoft.com/office/drawing/2014/chart" uri="{C3380CC4-5D6E-409C-BE32-E72D297353CC}">
              <c16:uniqueId val="{00000003-E4FF-4DC8-A718-405F5E2ED749}"/>
            </c:ext>
          </c:extLst>
        </c:ser>
        <c:dLbls>
          <c:showLegendKey val="0"/>
          <c:showVal val="0"/>
          <c:showCatName val="0"/>
          <c:showSerName val="0"/>
          <c:showPercent val="0"/>
          <c:showBubbleSize val="0"/>
        </c:dLbls>
        <c:marker val="1"/>
        <c:smooth val="0"/>
        <c:axId val="61331712"/>
        <c:axId val="24646016"/>
      </c:lineChart>
      <c:catAx>
        <c:axId val="61331712"/>
        <c:scaling>
          <c:orientation val="minMax"/>
        </c:scaling>
        <c:delete val="0"/>
        <c:axPos val="b"/>
        <c:title>
          <c:tx>
            <c:rich>
              <a:bodyPr/>
              <a:lstStyle/>
              <a:p>
                <a:pPr>
                  <a:defRPr>
                    <a:latin typeface="Arial" panose="020B0604020202020204" pitchFamily="34" charset="0"/>
                    <a:cs typeface="Arial" panose="020B0604020202020204" pitchFamily="34" charset="0"/>
                  </a:defRPr>
                </a:pPr>
                <a:r>
                  <a:rPr lang="cs-CZ">
                    <a:latin typeface="Arial" panose="020B0604020202020204" pitchFamily="34" charset="0"/>
                    <a:cs typeface="Arial" panose="020B0604020202020204" pitchFamily="34" charset="0"/>
                  </a:rPr>
                  <a:t>criterion</a:t>
                </a:r>
                <a:endParaRPr lang="en-US">
                  <a:latin typeface="Arial" panose="020B0604020202020204" pitchFamily="34" charset="0"/>
                  <a:cs typeface="Arial" panose="020B0604020202020204" pitchFamily="34" charset="0"/>
                </a:endParaRPr>
              </a:p>
            </c:rich>
          </c:tx>
          <c:layout>
            <c:manualLayout>
              <c:xMode val="edge"/>
              <c:yMode val="edge"/>
              <c:x val="0.79404787931084886"/>
              <c:y val="0.72678423461530117"/>
            </c:manualLayout>
          </c:layout>
          <c:overlay val="0"/>
        </c:title>
        <c:numFmt formatCode="General" sourceLinked="0"/>
        <c:majorTickMark val="out"/>
        <c:minorTickMark val="none"/>
        <c:tickLblPos val="nextTo"/>
        <c:txPr>
          <a:bodyPr/>
          <a:lstStyle/>
          <a:p>
            <a:pPr>
              <a:defRPr sz="800" baseline="0">
                <a:latin typeface="Arial" panose="020B0604020202020204" pitchFamily="34" charset="0"/>
                <a:cs typeface="Arial" panose="020B0604020202020204" pitchFamily="34" charset="0"/>
              </a:defRPr>
            </a:pPr>
            <a:endParaRPr lang="cs-CZ"/>
          </a:p>
        </c:txPr>
        <c:crossAx val="24646016"/>
        <c:crosses val="autoZero"/>
        <c:auto val="1"/>
        <c:lblAlgn val="ctr"/>
        <c:lblOffset val="100"/>
        <c:noMultiLvlLbl val="0"/>
      </c:catAx>
      <c:valAx>
        <c:axId val="24646016"/>
        <c:scaling>
          <c:orientation val="minMax"/>
          <c:max val="1.6"/>
        </c:scaling>
        <c:delete val="0"/>
        <c:axPos val="l"/>
        <c:majorGridlines/>
        <c:title>
          <c:tx>
            <c:rich>
              <a:bodyPr rot="-5400000" vert="horz"/>
              <a:lstStyle/>
              <a:p>
                <a:pPr>
                  <a:defRPr kern="0" baseline="0">
                    <a:latin typeface="Arial" panose="020B0604020202020204" pitchFamily="34" charset="0"/>
                    <a:cs typeface="Arial" panose="020B0604020202020204" pitchFamily="34" charset="0"/>
                  </a:defRPr>
                </a:pPr>
                <a:r>
                  <a:rPr lang="en-US" kern="0" baseline="0">
                    <a:latin typeface="Arial" panose="020B0604020202020204" pitchFamily="34" charset="0"/>
                    <a:cs typeface="Arial" panose="020B0604020202020204" pitchFamily="34" charset="0"/>
                  </a:rPr>
                  <a:t>values</a:t>
                </a:r>
              </a:p>
            </c:rich>
          </c:tx>
          <c:layout>
            <c:manualLayout>
              <c:xMode val="edge"/>
              <c:yMode val="edge"/>
              <c:x val="2.531022041752036E-2"/>
              <c:y val="0.23444466135947883"/>
            </c:manualLayout>
          </c:layout>
          <c:overlay val="0"/>
        </c:title>
        <c:numFmt formatCode="0.00" sourceLinked="1"/>
        <c:majorTickMark val="out"/>
        <c:minorTickMark val="none"/>
        <c:tickLblPos val="nextTo"/>
        <c:txPr>
          <a:bodyPr rot="0"/>
          <a:lstStyle/>
          <a:p>
            <a:pPr>
              <a:defRPr sz="900">
                <a:latin typeface="Arial" panose="020B0604020202020204" pitchFamily="34" charset="0"/>
                <a:cs typeface="Arial" panose="020B0604020202020204" pitchFamily="34" charset="0"/>
              </a:defRPr>
            </a:pPr>
            <a:endParaRPr lang="cs-CZ"/>
          </a:p>
        </c:txPr>
        <c:crossAx val="61331712"/>
        <c:crosses val="autoZero"/>
        <c:crossBetween val="between"/>
      </c:valAx>
    </c:plotArea>
    <c:legend>
      <c:legendPos val="r"/>
      <c:layout>
        <c:manualLayout>
          <c:xMode val="edge"/>
          <c:yMode val="edge"/>
          <c:x val="0.83481005846491407"/>
          <c:y val="0.25482022546052957"/>
          <c:w val="0.14534867169381605"/>
          <c:h val="0.24741458369525257"/>
        </c:manualLayout>
      </c:layout>
      <c:overlay val="0"/>
      <c:txPr>
        <a:bodyPr/>
        <a:lstStyle/>
        <a:p>
          <a:pPr>
            <a:defRPr sz="900">
              <a:latin typeface="Arial" panose="020B0604020202020204" pitchFamily="34" charset="0"/>
              <a:cs typeface="Arial" panose="020B0604020202020204" pitchFamily="34" charset="0"/>
            </a:defRPr>
          </a:pPr>
          <a:endParaRPr lang="cs-CZ"/>
        </a:p>
      </c:txPr>
    </c:legend>
    <c:plotVisOnly val="1"/>
    <c:dispBlanksAs val="gap"/>
    <c:showDLblsOverMax val="0"/>
  </c:chart>
  <c:externalData r:id="rId1">
    <c:autoUpdate val="0"/>
  </c:externalData>
</c:chartSpace>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TotalTime>
  <Pages>12</Pages>
  <Words>7965</Words>
  <Characters>46997</Characters>
  <Application>Microsoft Office Word</Application>
  <DocSecurity>0</DocSecurity>
  <Lines>391</Lines>
  <Paragraphs>109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54853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 Panuš</dc:creator>
  <cp:keywords/>
  <dc:description/>
  <cp:lastModifiedBy>Jan Panuš</cp:lastModifiedBy>
  <cp:revision>4</cp:revision>
  <dcterms:created xsi:type="dcterms:W3CDTF">2018-04-26T07:14:00Z</dcterms:created>
  <dcterms:modified xsi:type="dcterms:W3CDTF">2018-04-26T09:34:00Z</dcterms:modified>
</cp:coreProperties>
</file>