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7564" w:rsidRDefault="00927564" w:rsidP="00927564">
      <w:pPr>
        <w:ind w:left="-851" w:hanging="142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Univerzita Pardubice – Fakulta filozofická – </w:t>
      </w:r>
      <w:r>
        <w:rPr>
          <w:sz w:val="22"/>
          <w:szCs w:val="22"/>
        </w:rPr>
        <w:t>Ústav historických věd</w:t>
      </w:r>
    </w:p>
    <w:p w:rsidR="00927564" w:rsidRDefault="00927564" w:rsidP="00927564"/>
    <w:p w:rsidR="00927564" w:rsidRDefault="00927564" w:rsidP="00927564">
      <w:pPr>
        <w:snapToGrid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Posudek </w:t>
      </w:r>
      <w:r>
        <w:rPr>
          <w:b/>
          <w:bCs/>
          <w:sz w:val="22"/>
          <w:szCs w:val="22"/>
        </w:rPr>
        <w:t>vedoucího diplomové práce</w:t>
      </w:r>
      <w:r>
        <w:rPr>
          <w:b/>
          <w:bCs/>
          <w:sz w:val="22"/>
          <w:szCs w:val="22"/>
        </w:rPr>
        <w:t>– akademický rok 20</w:t>
      </w:r>
      <w:r>
        <w:rPr>
          <w:b/>
          <w:bCs/>
          <w:sz w:val="22"/>
          <w:szCs w:val="22"/>
        </w:rPr>
        <w:t>21/2022</w:t>
      </w:r>
    </w:p>
    <w:p w:rsidR="00927564" w:rsidRDefault="00927564" w:rsidP="00927564"/>
    <w:p w:rsidR="00927564" w:rsidRDefault="00927564" w:rsidP="00927564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</w:t>
      </w:r>
      <w:r>
        <w:rPr>
          <w:sz w:val="22"/>
          <w:szCs w:val="22"/>
        </w:rPr>
        <w:t>Bc. Vladislav Zlinský</w:t>
      </w:r>
    </w:p>
    <w:p w:rsidR="00927564" w:rsidRDefault="00927564" w:rsidP="0092756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 w:rsidRPr="00927564">
        <w:rPr>
          <w:sz w:val="22"/>
          <w:szCs w:val="22"/>
        </w:rPr>
        <w:t>Veřejné prostory a jejich reglementace ze strany městských rad v pozdně středověkých českých městech</w:t>
      </w:r>
    </w:p>
    <w:p w:rsidR="00927564" w:rsidRDefault="00927564" w:rsidP="0092756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Vedoucí práce: </w:t>
      </w:r>
      <w:r>
        <w:rPr>
          <w:sz w:val="22"/>
          <w:szCs w:val="22"/>
        </w:rPr>
        <w:t>d</w:t>
      </w:r>
      <w:r>
        <w:rPr>
          <w:sz w:val="22"/>
          <w:szCs w:val="22"/>
        </w:rPr>
        <w:t>oc. Mgr. Martin Čapský, Ph.D.</w:t>
      </w:r>
    </w:p>
    <w:p w:rsidR="00927564" w:rsidRDefault="00927564" w:rsidP="00927564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Oponent práce: </w:t>
      </w:r>
      <w:r>
        <w:rPr>
          <w:sz w:val="22"/>
          <w:szCs w:val="22"/>
        </w:rPr>
        <w:t>Mgr. Kateřina Ptáčková, Ph.D.</w:t>
      </w:r>
    </w:p>
    <w:p w:rsidR="00927564" w:rsidRDefault="00927564" w:rsidP="00927564">
      <w:pPr>
        <w:rPr>
          <w:sz w:val="22"/>
          <w:szCs w:val="22"/>
        </w:rPr>
      </w:pPr>
    </w:p>
    <w:p w:rsidR="00927564" w:rsidRDefault="00927564" w:rsidP="00927564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:rsidR="00927564" w:rsidRDefault="00927564" w:rsidP="00927564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:rsidR="00927564" w:rsidRDefault="00927564" w:rsidP="00927564">
      <w:pPr>
        <w:rPr>
          <w:sz w:val="22"/>
          <w:szCs w:val="22"/>
        </w:rPr>
      </w:pPr>
    </w:p>
    <w:p w:rsidR="00B66EEC" w:rsidRDefault="00927564" w:rsidP="00B66EEC">
      <w:pPr>
        <w:tabs>
          <w:tab w:val="left" w:pos="10928"/>
        </w:tabs>
        <w:ind w:left="-211" w:firstLine="211"/>
        <w:jc w:val="both"/>
        <w:rPr>
          <w:sz w:val="22"/>
          <w:szCs w:val="22"/>
        </w:rPr>
      </w:pPr>
      <w:r>
        <w:rPr>
          <w:sz w:val="22"/>
          <w:szCs w:val="22"/>
        </w:rPr>
        <w:t>Vladislav Zlinský se ve své diplomové práci zabýval reglementací veřejného prostoru středověkých měst</w:t>
      </w:r>
      <w:r w:rsidR="00D57DD4">
        <w:rPr>
          <w:sz w:val="22"/>
          <w:szCs w:val="22"/>
        </w:rPr>
        <w:t xml:space="preserve">, přičemž jako své </w:t>
      </w:r>
      <w:r>
        <w:rPr>
          <w:sz w:val="22"/>
          <w:szCs w:val="22"/>
        </w:rPr>
        <w:t>metodologické východisko zvolil pojetí prostoru jako sociální kategorie. Toto rozliš</w:t>
      </w:r>
      <w:r w:rsidR="00B66EEC">
        <w:rPr>
          <w:sz w:val="22"/>
          <w:szCs w:val="22"/>
        </w:rPr>
        <w:t>ová</w:t>
      </w:r>
      <w:r>
        <w:rPr>
          <w:sz w:val="22"/>
          <w:szCs w:val="22"/>
        </w:rPr>
        <w:t xml:space="preserve">ní „prostoru“ a „místa“ odpovídá </w:t>
      </w:r>
      <w:r w:rsidR="00D57DD4">
        <w:rPr>
          <w:sz w:val="22"/>
          <w:szCs w:val="22"/>
        </w:rPr>
        <w:t>terminologii užívané</w:t>
      </w:r>
      <w:r w:rsidR="00192125">
        <w:rPr>
          <w:sz w:val="22"/>
          <w:szCs w:val="22"/>
        </w:rPr>
        <w:t xml:space="preserve"> </w:t>
      </w:r>
      <w:r w:rsidR="00D57DD4">
        <w:rPr>
          <w:sz w:val="22"/>
          <w:szCs w:val="22"/>
        </w:rPr>
        <w:t>současným</w:t>
      </w:r>
      <w:r w:rsidR="00192125">
        <w:rPr>
          <w:sz w:val="22"/>
          <w:szCs w:val="22"/>
        </w:rPr>
        <w:t xml:space="preserve"> bádání</w:t>
      </w:r>
      <w:r w:rsidR="00D57DD4">
        <w:rPr>
          <w:sz w:val="22"/>
          <w:szCs w:val="22"/>
        </w:rPr>
        <w:t>m</w:t>
      </w:r>
      <w:r w:rsidR="00192125">
        <w:rPr>
          <w:sz w:val="22"/>
          <w:szCs w:val="22"/>
        </w:rPr>
        <w:t>,</w:t>
      </w:r>
      <w:r>
        <w:rPr>
          <w:sz w:val="22"/>
          <w:szCs w:val="22"/>
        </w:rPr>
        <w:t xml:space="preserve"> jenž zhruba v devadesátých letech minulého století prošlo tzv. „prostorovým obratem“. </w:t>
      </w:r>
      <w:r w:rsidR="00B66EEC">
        <w:rPr>
          <w:sz w:val="22"/>
          <w:szCs w:val="22"/>
        </w:rPr>
        <w:t xml:space="preserve">V teoretickém úvodu práce diplomant </w:t>
      </w:r>
      <w:r w:rsidR="00D57DD4">
        <w:rPr>
          <w:sz w:val="22"/>
          <w:szCs w:val="22"/>
        </w:rPr>
        <w:t>představil</w:t>
      </w:r>
      <w:r w:rsidR="00B66EEC">
        <w:rPr>
          <w:sz w:val="22"/>
          <w:szCs w:val="22"/>
        </w:rPr>
        <w:t xml:space="preserve"> </w:t>
      </w:r>
      <w:r w:rsidR="00D57DD4">
        <w:rPr>
          <w:sz w:val="22"/>
          <w:szCs w:val="22"/>
        </w:rPr>
        <w:t xml:space="preserve">způsob, jak s kategorií „prostoru“ zacházeli </w:t>
      </w:r>
      <w:r>
        <w:rPr>
          <w:sz w:val="22"/>
          <w:szCs w:val="22"/>
        </w:rPr>
        <w:t xml:space="preserve">Michel </w:t>
      </w:r>
      <w:proofErr w:type="spellStart"/>
      <w:r>
        <w:rPr>
          <w:sz w:val="22"/>
          <w:szCs w:val="22"/>
        </w:rPr>
        <w:t>Fouc</w:t>
      </w:r>
      <w:r w:rsidR="00D57DD4">
        <w:rPr>
          <w:sz w:val="22"/>
          <w:szCs w:val="22"/>
        </w:rPr>
        <w:t>a</w:t>
      </w:r>
      <w:r>
        <w:rPr>
          <w:sz w:val="22"/>
          <w:szCs w:val="22"/>
        </w:rPr>
        <w:t>ult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Pierr</w:t>
      </w:r>
      <w:r w:rsidR="00D57DD4">
        <w:rPr>
          <w:sz w:val="22"/>
          <w:szCs w:val="22"/>
        </w:rPr>
        <w:t>e</w:t>
      </w:r>
      <w:proofErr w:type="spellEnd"/>
      <w:r>
        <w:rPr>
          <w:sz w:val="22"/>
          <w:szCs w:val="22"/>
        </w:rPr>
        <w:t xml:space="preserve"> Nor</w:t>
      </w:r>
      <w:r w:rsidR="00D57DD4">
        <w:rPr>
          <w:sz w:val="22"/>
          <w:szCs w:val="22"/>
        </w:rPr>
        <w:t>a</w:t>
      </w:r>
      <w:r w:rsidR="00902B9B">
        <w:rPr>
          <w:sz w:val="22"/>
          <w:szCs w:val="22"/>
        </w:rPr>
        <w:t xml:space="preserve"> a další auto</w:t>
      </w:r>
      <w:r w:rsidR="00D57DD4">
        <w:rPr>
          <w:sz w:val="22"/>
          <w:szCs w:val="22"/>
        </w:rPr>
        <w:t>ři. V navazujících subkapitolách</w:t>
      </w:r>
      <w:r w:rsidR="00902B9B">
        <w:rPr>
          <w:sz w:val="22"/>
          <w:szCs w:val="22"/>
        </w:rPr>
        <w:t xml:space="preserve"> </w:t>
      </w:r>
      <w:r w:rsidR="00D57DD4">
        <w:rPr>
          <w:sz w:val="22"/>
          <w:szCs w:val="22"/>
        </w:rPr>
        <w:t xml:space="preserve">pak </w:t>
      </w:r>
      <w:r w:rsidR="00902B9B">
        <w:rPr>
          <w:sz w:val="22"/>
          <w:szCs w:val="22"/>
        </w:rPr>
        <w:t xml:space="preserve">Vladislav Zlinský </w:t>
      </w:r>
      <w:r w:rsidR="00192125">
        <w:rPr>
          <w:sz w:val="22"/>
          <w:szCs w:val="22"/>
        </w:rPr>
        <w:t>představ</w:t>
      </w:r>
      <w:r w:rsidR="00D57DD4">
        <w:rPr>
          <w:sz w:val="22"/>
          <w:szCs w:val="22"/>
        </w:rPr>
        <w:t>il</w:t>
      </w:r>
      <w:r w:rsidR="00192125">
        <w:rPr>
          <w:sz w:val="22"/>
          <w:szCs w:val="22"/>
        </w:rPr>
        <w:t> několi</w:t>
      </w:r>
      <w:r w:rsidR="00B66EEC">
        <w:rPr>
          <w:sz w:val="22"/>
          <w:szCs w:val="22"/>
        </w:rPr>
        <w:t>k</w:t>
      </w:r>
      <w:r w:rsidR="00192125">
        <w:rPr>
          <w:sz w:val="22"/>
          <w:szCs w:val="22"/>
        </w:rPr>
        <w:t xml:space="preserve"> příkladů </w:t>
      </w:r>
      <w:proofErr w:type="spellStart"/>
      <w:r w:rsidR="00B66EEC">
        <w:rPr>
          <w:sz w:val="22"/>
          <w:szCs w:val="22"/>
        </w:rPr>
        <w:t>medievistického</w:t>
      </w:r>
      <w:proofErr w:type="spellEnd"/>
      <w:r w:rsidR="00B66EEC">
        <w:rPr>
          <w:sz w:val="22"/>
          <w:szCs w:val="22"/>
        </w:rPr>
        <w:t xml:space="preserve"> bádání, které se </w:t>
      </w:r>
      <w:r w:rsidR="00D57DD4">
        <w:rPr>
          <w:sz w:val="22"/>
          <w:szCs w:val="22"/>
        </w:rPr>
        <w:t>těmito přístupy</w:t>
      </w:r>
      <w:r w:rsidR="00B66EEC">
        <w:rPr>
          <w:sz w:val="22"/>
          <w:szCs w:val="22"/>
        </w:rPr>
        <w:t xml:space="preserve"> inspirovalo</w:t>
      </w:r>
      <w:r w:rsidR="00902B9B">
        <w:rPr>
          <w:sz w:val="22"/>
          <w:szCs w:val="22"/>
        </w:rPr>
        <w:t xml:space="preserve">. Bohužel už neprozrazuje, proč zvolil právě badatelské </w:t>
      </w:r>
      <w:r w:rsidR="00C845EF">
        <w:rPr>
          <w:sz w:val="22"/>
          <w:szCs w:val="22"/>
        </w:rPr>
        <w:t>příklady</w:t>
      </w:r>
      <w:r w:rsidR="00902B9B">
        <w:rPr>
          <w:sz w:val="22"/>
          <w:szCs w:val="22"/>
        </w:rPr>
        <w:t xml:space="preserve"> zahrnující Paříž, města flandersko-brabantské oblasti a </w:t>
      </w:r>
      <w:proofErr w:type="spellStart"/>
      <w:r w:rsidR="00902B9B">
        <w:rPr>
          <w:sz w:val="22"/>
          <w:szCs w:val="22"/>
        </w:rPr>
        <w:t>Chester</w:t>
      </w:r>
      <w:proofErr w:type="spellEnd"/>
      <w:r w:rsidR="00902B9B">
        <w:rPr>
          <w:sz w:val="22"/>
          <w:szCs w:val="22"/>
        </w:rPr>
        <w:t xml:space="preserve">. Bylo tomu proto, že </w:t>
      </w:r>
      <w:r w:rsidR="00192125">
        <w:rPr>
          <w:sz w:val="22"/>
          <w:szCs w:val="22"/>
        </w:rPr>
        <w:t xml:space="preserve">autoři </w:t>
      </w:r>
      <w:r w:rsidR="00B66EEC">
        <w:rPr>
          <w:sz w:val="22"/>
          <w:szCs w:val="22"/>
        </w:rPr>
        <w:t>příslušný</w:t>
      </w:r>
      <w:r w:rsidR="00C845EF">
        <w:rPr>
          <w:sz w:val="22"/>
          <w:szCs w:val="22"/>
        </w:rPr>
        <w:t>ch</w:t>
      </w:r>
      <w:r w:rsidR="00B66EEC">
        <w:rPr>
          <w:sz w:val="22"/>
          <w:szCs w:val="22"/>
        </w:rPr>
        <w:t xml:space="preserve"> monografií </w:t>
      </w:r>
      <w:r w:rsidR="00192125">
        <w:rPr>
          <w:sz w:val="22"/>
          <w:szCs w:val="22"/>
        </w:rPr>
        <w:t xml:space="preserve">důsledněji pracovali se zvolenými teoretickými přístupy? Proč </w:t>
      </w:r>
      <w:r w:rsidR="00C845EF">
        <w:rPr>
          <w:sz w:val="22"/>
          <w:szCs w:val="22"/>
        </w:rPr>
        <w:t xml:space="preserve">potom </w:t>
      </w:r>
      <w:r w:rsidR="00192125">
        <w:rPr>
          <w:sz w:val="22"/>
          <w:szCs w:val="22"/>
        </w:rPr>
        <w:t xml:space="preserve">nebyly v úvodu </w:t>
      </w:r>
      <w:r w:rsidR="00B66EEC">
        <w:rPr>
          <w:sz w:val="22"/>
          <w:szCs w:val="22"/>
        </w:rPr>
        <w:t>zohledněny</w:t>
      </w:r>
      <w:r w:rsidR="00192125">
        <w:rPr>
          <w:sz w:val="22"/>
          <w:szCs w:val="22"/>
        </w:rPr>
        <w:t xml:space="preserve"> i výsledky analýzy některého </w:t>
      </w:r>
      <w:r w:rsidR="00C845EF">
        <w:rPr>
          <w:sz w:val="22"/>
          <w:szCs w:val="22"/>
        </w:rPr>
        <w:t xml:space="preserve">města </w:t>
      </w:r>
      <w:r w:rsidR="00192125">
        <w:rPr>
          <w:sz w:val="22"/>
          <w:szCs w:val="22"/>
        </w:rPr>
        <w:t xml:space="preserve">geograficky a kulturně bližšího českým zemím? </w:t>
      </w:r>
      <w:r w:rsidR="00C845EF">
        <w:rPr>
          <w:sz w:val="22"/>
          <w:szCs w:val="22"/>
        </w:rPr>
        <w:t>Současně se nabízí</w:t>
      </w:r>
      <w:r w:rsidR="00192125">
        <w:rPr>
          <w:sz w:val="22"/>
          <w:szCs w:val="22"/>
        </w:rPr>
        <w:t xml:space="preserve"> otázka, nakolik jsou zvolené příklady reprezentativní pro současné bádání zabývající se urbánním prostorem.</w:t>
      </w:r>
      <w:r w:rsidR="00C845EF">
        <w:rPr>
          <w:sz w:val="22"/>
          <w:szCs w:val="22"/>
        </w:rPr>
        <w:t xml:space="preserve"> </w:t>
      </w:r>
      <w:r w:rsidR="002506B0">
        <w:rPr>
          <w:sz w:val="22"/>
          <w:szCs w:val="22"/>
        </w:rPr>
        <w:t xml:space="preserve">V druhé části teoretického úvodu, ve které se pozornost autora přesunula k tzv. veřejným prostorům, totiž s příklady čerpanými z výše uvedených měst </w:t>
      </w:r>
      <w:r w:rsidR="00023F5D">
        <w:rPr>
          <w:sz w:val="22"/>
          <w:szCs w:val="22"/>
        </w:rPr>
        <w:t xml:space="preserve">příliš </w:t>
      </w:r>
      <w:r w:rsidR="002506B0">
        <w:rPr>
          <w:sz w:val="22"/>
          <w:szCs w:val="22"/>
        </w:rPr>
        <w:t xml:space="preserve">nepracuje a více zohledňuje tradici </w:t>
      </w:r>
      <w:r w:rsidR="00C845EF">
        <w:rPr>
          <w:sz w:val="22"/>
          <w:szCs w:val="22"/>
        </w:rPr>
        <w:t xml:space="preserve">německo-jazyčného </w:t>
      </w:r>
      <w:r w:rsidR="002506B0">
        <w:rPr>
          <w:sz w:val="22"/>
          <w:szCs w:val="22"/>
        </w:rPr>
        <w:t xml:space="preserve">bádání opírající se především o říšská města. </w:t>
      </w:r>
      <w:r w:rsidR="00023F5D">
        <w:rPr>
          <w:sz w:val="22"/>
          <w:szCs w:val="22"/>
        </w:rPr>
        <w:t xml:space="preserve"> </w:t>
      </w:r>
    </w:p>
    <w:p w:rsidR="00927564" w:rsidRDefault="00927564" w:rsidP="00927564">
      <w:pPr>
        <w:rPr>
          <w:sz w:val="22"/>
          <w:szCs w:val="22"/>
        </w:rPr>
      </w:pPr>
    </w:p>
    <w:p w:rsidR="00927564" w:rsidRDefault="00927564" w:rsidP="00927564">
      <w:pPr>
        <w:rPr>
          <w:b/>
          <w:bCs/>
          <w:sz w:val="22"/>
          <w:szCs w:val="22"/>
        </w:rPr>
      </w:pPr>
    </w:p>
    <w:p w:rsidR="00927564" w:rsidRDefault="00927564" w:rsidP="00927564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:rsidR="00927564" w:rsidRDefault="00927564" w:rsidP="00927564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927564" w:rsidRDefault="00927564" w:rsidP="00927564">
      <w:pPr>
        <w:rPr>
          <w:sz w:val="22"/>
          <w:szCs w:val="22"/>
        </w:rPr>
      </w:pPr>
    </w:p>
    <w:p w:rsidR="00927564" w:rsidRDefault="00927564" w:rsidP="00927564">
      <w:pPr>
        <w:rPr>
          <w:sz w:val="22"/>
          <w:szCs w:val="22"/>
        </w:rPr>
      </w:pPr>
    </w:p>
    <w:p w:rsidR="00927564" w:rsidRDefault="00B66EEC" w:rsidP="0085788E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druhé části své diplomové práce Vladislav Zlinský představil sondy </w:t>
      </w:r>
      <w:r w:rsidR="00023F5D">
        <w:rPr>
          <w:sz w:val="22"/>
          <w:szCs w:val="22"/>
        </w:rPr>
        <w:t>využívající prameny</w:t>
      </w:r>
      <w:r>
        <w:rPr>
          <w:sz w:val="22"/>
          <w:szCs w:val="22"/>
        </w:rPr>
        <w:t xml:space="preserve"> tří zeměpanských měst – Jihlavy, Prahy a Plzně. </w:t>
      </w:r>
      <w:r w:rsidR="002506B0">
        <w:rPr>
          <w:sz w:val="22"/>
          <w:szCs w:val="22"/>
        </w:rPr>
        <w:t xml:space="preserve">Všechny </w:t>
      </w:r>
      <w:r w:rsidR="008A644B">
        <w:rPr>
          <w:sz w:val="22"/>
          <w:szCs w:val="22"/>
        </w:rPr>
        <w:t xml:space="preserve">tyto </w:t>
      </w:r>
      <w:r w:rsidR="002506B0">
        <w:rPr>
          <w:sz w:val="22"/>
          <w:szCs w:val="22"/>
        </w:rPr>
        <w:t>subkapitoly jsou koncipované na základě stejného schématu. Autor nejprve shrn</w:t>
      </w:r>
      <w:r w:rsidR="008A644B">
        <w:rPr>
          <w:sz w:val="22"/>
          <w:szCs w:val="22"/>
        </w:rPr>
        <w:t>ul</w:t>
      </w:r>
      <w:r w:rsidR="002506B0">
        <w:rPr>
          <w:sz w:val="22"/>
          <w:szCs w:val="22"/>
        </w:rPr>
        <w:t xml:space="preserve"> hlavní rysy vývoje dotyčného městského celku (případně hlavní pramen, o který se bude opírat)</w:t>
      </w:r>
      <w:r w:rsidR="008A644B">
        <w:rPr>
          <w:sz w:val="22"/>
          <w:szCs w:val="22"/>
        </w:rPr>
        <w:t xml:space="preserve"> a následně se věnoval </w:t>
      </w:r>
      <w:r w:rsidR="002506B0">
        <w:rPr>
          <w:sz w:val="22"/>
          <w:szCs w:val="22"/>
        </w:rPr>
        <w:t>představení klíčové události, která mu poslo</w:t>
      </w:r>
      <w:r w:rsidR="008A644B">
        <w:rPr>
          <w:sz w:val="22"/>
          <w:szCs w:val="22"/>
        </w:rPr>
        <w:t>užila</w:t>
      </w:r>
      <w:r w:rsidR="002506B0">
        <w:rPr>
          <w:sz w:val="22"/>
          <w:szCs w:val="22"/>
        </w:rPr>
        <w:t xml:space="preserve"> jako </w:t>
      </w:r>
      <w:r w:rsidR="008A644B">
        <w:rPr>
          <w:sz w:val="22"/>
          <w:szCs w:val="22"/>
        </w:rPr>
        <w:t>odrazový můstek k dalším</w:t>
      </w:r>
      <w:r w:rsidR="002506B0">
        <w:rPr>
          <w:sz w:val="22"/>
          <w:szCs w:val="22"/>
        </w:rPr>
        <w:t xml:space="preserve"> úvah</w:t>
      </w:r>
      <w:r w:rsidR="008A644B">
        <w:rPr>
          <w:sz w:val="22"/>
          <w:szCs w:val="22"/>
        </w:rPr>
        <w:t>ám</w:t>
      </w:r>
      <w:r w:rsidR="002506B0">
        <w:rPr>
          <w:sz w:val="22"/>
          <w:szCs w:val="22"/>
        </w:rPr>
        <w:t xml:space="preserve"> o městském prostoru</w:t>
      </w:r>
      <w:r w:rsidR="00FE6963">
        <w:rPr>
          <w:sz w:val="22"/>
          <w:szCs w:val="22"/>
        </w:rPr>
        <w:t xml:space="preserve">. Úvodní pasáže </w:t>
      </w:r>
      <w:r w:rsidR="0085788E">
        <w:rPr>
          <w:sz w:val="22"/>
          <w:szCs w:val="22"/>
        </w:rPr>
        <w:t>jsou ale</w:t>
      </w:r>
      <w:r w:rsidR="00FE6963">
        <w:rPr>
          <w:sz w:val="22"/>
          <w:szCs w:val="22"/>
        </w:rPr>
        <w:t xml:space="preserve"> naddimenzované a podobně jako </w:t>
      </w:r>
      <w:r w:rsidR="0085788E">
        <w:rPr>
          <w:sz w:val="22"/>
          <w:szCs w:val="22"/>
        </w:rPr>
        <w:t xml:space="preserve">některé úvodní subkapitoly (např. o městské správě nebo genezi měst) odvádějí pozornost od hlavního cíle diplomové práce. </w:t>
      </w:r>
      <w:r w:rsidR="008A644B">
        <w:rPr>
          <w:sz w:val="22"/>
          <w:szCs w:val="22"/>
        </w:rPr>
        <w:t xml:space="preserve">Aplikaci avizovaných teoretických přístupů je nakonec věnován překvapivě malý prostor. </w:t>
      </w:r>
      <w:r w:rsidR="0085788E">
        <w:rPr>
          <w:sz w:val="22"/>
          <w:szCs w:val="22"/>
        </w:rPr>
        <w:t xml:space="preserve">V kapitole věnované Plzni pak Vladislav Zlinský </w:t>
      </w:r>
      <w:r w:rsidR="008A644B">
        <w:rPr>
          <w:sz w:val="22"/>
          <w:szCs w:val="22"/>
        </w:rPr>
        <w:t xml:space="preserve">následně </w:t>
      </w:r>
      <w:r w:rsidR="0085788E">
        <w:rPr>
          <w:sz w:val="22"/>
          <w:szCs w:val="22"/>
        </w:rPr>
        <w:t xml:space="preserve">připojuje příklady „pořádků“, které vyhlašovala plzeňská městská rada, aniž by </w:t>
      </w:r>
      <w:r w:rsidR="008A644B">
        <w:rPr>
          <w:sz w:val="22"/>
          <w:szCs w:val="22"/>
        </w:rPr>
        <w:t>obdobným</w:t>
      </w:r>
      <w:r w:rsidR="0085788E">
        <w:rPr>
          <w:sz w:val="22"/>
          <w:szCs w:val="22"/>
        </w:rPr>
        <w:t xml:space="preserve"> způsobem využil třeba jihlavské nebo pražské městské knihy. Nemluvě už o pramenech z dalších měst (např. Kutné Hory apod.), které jsou navzdory obtížné badatelské situaci způsobené omezeným provozem archívů přístupné on-line.</w:t>
      </w:r>
    </w:p>
    <w:p w:rsidR="00927564" w:rsidRDefault="00927564" w:rsidP="00927564">
      <w:pPr>
        <w:rPr>
          <w:sz w:val="22"/>
          <w:szCs w:val="22"/>
        </w:rPr>
      </w:pPr>
    </w:p>
    <w:p w:rsidR="00927564" w:rsidRDefault="00927564" w:rsidP="00927564">
      <w:pPr>
        <w:rPr>
          <w:sz w:val="22"/>
          <w:szCs w:val="22"/>
        </w:rPr>
      </w:pPr>
    </w:p>
    <w:p w:rsidR="00927564" w:rsidRDefault="00927564" w:rsidP="00927564">
      <w:pPr>
        <w:rPr>
          <w:sz w:val="22"/>
          <w:szCs w:val="22"/>
        </w:rPr>
      </w:pPr>
    </w:p>
    <w:p w:rsidR="00C144E8" w:rsidRDefault="00C144E8" w:rsidP="00927564"/>
    <w:p w:rsidR="00927564" w:rsidRDefault="00927564" w:rsidP="00927564">
      <w:pPr>
        <w:ind w:left="-720"/>
        <w:rPr>
          <w:sz w:val="22"/>
          <w:szCs w:val="22"/>
        </w:rPr>
      </w:pPr>
    </w:p>
    <w:p w:rsidR="00927564" w:rsidRDefault="00927564" w:rsidP="00927564">
      <w:pPr>
        <w:rPr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:rsidR="00927564" w:rsidRDefault="00927564" w:rsidP="00927564">
      <w:pPr>
        <w:rPr>
          <w:sz w:val="22"/>
          <w:szCs w:val="22"/>
        </w:rPr>
      </w:pPr>
    </w:p>
    <w:p w:rsidR="00927564" w:rsidRDefault="008A644B" w:rsidP="0013605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Diplomová práce má </w:t>
      </w:r>
      <w:r w:rsidR="00136056">
        <w:rPr>
          <w:sz w:val="22"/>
          <w:szCs w:val="22"/>
        </w:rPr>
        <w:t>promyšlenou strukturu a využívá relevantní domácí literaturu. V obecnějších kapitolách ale autor zůstává příliš závislý na syntéze Františka Hoffmanna a nezohledňuje nejnovější stav bádání. Také úvodem avizované teoretické přístupy zůstaly aplikovány pouze v omezené míře.</w:t>
      </w:r>
    </w:p>
    <w:p w:rsidR="00927564" w:rsidRDefault="00927564" w:rsidP="00927564">
      <w:pPr>
        <w:rPr>
          <w:sz w:val="22"/>
          <w:szCs w:val="22"/>
        </w:rPr>
      </w:pPr>
    </w:p>
    <w:p w:rsidR="00927564" w:rsidRDefault="00927564" w:rsidP="00927564">
      <w:pPr>
        <w:rPr>
          <w:sz w:val="22"/>
          <w:szCs w:val="22"/>
        </w:rPr>
      </w:pPr>
    </w:p>
    <w:p w:rsidR="00927564" w:rsidRDefault="00927564" w:rsidP="00927564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:rsidR="00927564" w:rsidRDefault="00927564" w:rsidP="00927564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927564" w:rsidRDefault="00927564" w:rsidP="00927564">
      <w:pPr>
        <w:rPr>
          <w:sz w:val="22"/>
          <w:szCs w:val="22"/>
        </w:rPr>
      </w:pPr>
    </w:p>
    <w:p w:rsidR="00927564" w:rsidRDefault="00927564" w:rsidP="00927564">
      <w:pPr>
        <w:rPr>
          <w:sz w:val="22"/>
          <w:szCs w:val="22"/>
        </w:rPr>
      </w:pPr>
    </w:p>
    <w:p w:rsidR="00927564" w:rsidRDefault="00136056" w:rsidP="00927564">
      <w:pPr>
        <w:rPr>
          <w:sz w:val="22"/>
          <w:szCs w:val="22"/>
        </w:rPr>
      </w:pPr>
      <w:r>
        <w:rPr>
          <w:sz w:val="22"/>
          <w:szCs w:val="22"/>
        </w:rPr>
        <w:t>Stylistická úroveň je na odpovídající úrovni, autor se ale nevyvaroval občasných gramatických chyb. Větší pozornost by si zasloužilo citování archivních pramenů.</w:t>
      </w:r>
    </w:p>
    <w:p w:rsidR="00927564" w:rsidRDefault="00927564" w:rsidP="00927564">
      <w:pPr>
        <w:rPr>
          <w:sz w:val="22"/>
          <w:szCs w:val="22"/>
        </w:rPr>
      </w:pPr>
    </w:p>
    <w:p w:rsidR="00927564" w:rsidRDefault="00927564" w:rsidP="00927564"/>
    <w:p w:rsidR="00927564" w:rsidRDefault="00927564" w:rsidP="00927564">
      <w:pPr>
        <w:rPr>
          <w:b/>
          <w:bCs/>
          <w:sz w:val="22"/>
          <w:szCs w:val="22"/>
        </w:rPr>
      </w:pPr>
    </w:p>
    <w:p w:rsidR="00927564" w:rsidRDefault="00927564" w:rsidP="00927564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:rsidR="00927564" w:rsidRDefault="00927564" w:rsidP="00927564">
      <w:pPr>
        <w:rPr>
          <w:sz w:val="22"/>
          <w:szCs w:val="22"/>
        </w:rPr>
      </w:pPr>
    </w:p>
    <w:p w:rsidR="00927564" w:rsidRDefault="00C144E8" w:rsidP="00927564">
      <w:pPr>
        <w:rPr>
          <w:sz w:val="22"/>
          <w:szCs w:val="22"/>
        </w:rPr>
      </w:pPr>
      <w:r>
        <w:rPr>
          <w:sz w:val="22"/>
          <w:szCs w:val="22"/>
        </w:rPr>
        <w:t>Uveďte okolnosti, za kterých se „veřejný prostor“ mohl stát prostorem zakázaným.</w:t>
      </w:r>
    </w:p>
    <w:p w:rsidR="00927564" w:rsidRDefault="00927564" w:rsidP="00927564">
      <w:pPr>
        <w:rPr>
          <w:sz w:val="22"/>
          <w:szCs w:val="22"/>
        </w:rPr>
      </w:pPr>
    </w:p>
    <w:p w:rsidR="00927564" w:rsidRDefault="00927564" w:rsidP="00927564">
      <w:pPr>
        <w:rPr>
          <w:sz w:val="22"/>
          <w:szCs w:val="22"/>
        </w:rPr>
      </w:pPr>
    </w:p>
    <w:p w:rsidR="00927564" w:rsidRDefault="00927564" w:rsidP="00927564">
      <w:pPr>
        <w:rPr>
          <w:sz w:val="22"/>
          <w:szCs w:val="22"/>
        </w:rPr>
      </w:pPr>
    </w:p>
    <w:p w:rsidR="00927564" w:rsidRDefault="00927564" w:rsidP="00927564">
      <w:pPr>
        <w:rPr>
          <w:sz w:val="22"/>
          <w:szCs w:val="22"/>
        </w:rPr>
      </w:pPr>
    </w:p>
    <w:p w:rsidR="00927564" w:rsidRDefault="00927564" w:rsidP="00927564">
      <w:pPr>
        <w:rPr>
          <w:sz w:val="22"/>
          <w:szCs w:val="22"/>
        </w:rPr>
      </w:pPr>
    </w:p>
    <w:p w:rsidR="00927564" w:rsidRDefault="00927564" w:rsidP="00927564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:rsidR="00927564" w:rsidRDefault="00927564" w:rsidP="00927564">
      <w:pPr>
        <w:rPr>
          <w:sz w:val="22"/>
          <w:szCs w:val="22"/>
        </w:rPr>
      </w:pPr>
    </w:p>
    <w:p w:rsidR="00927564" w:rsidRDefault="00C144E8" w:rsidP="00927564">
      <w:pPr>
        <w:rPr>
          <w:sz w:val="22"/>
          <w:szCs w:val="22"/>
        </w:rPr>
      </w:pPr>
      <w:r>
        <w:rPr>
          <w:sz w:val="22"/>
          <w:szCs w:val="22"/>
        </w:rPr>
        <w:t>Diplomovou práci doporučuji k obhajobě.</w:t>
      </w:r>
    </w:p>
    <w:p w:rsidR="00927564" w:rsidRDefault="00927564" w:rsidP="00927564">
      <w:pPr>
        <w:rPr>
          <w:sz w:val="22"/>
          <w:szCs w:val="22"/>
        </w:rPr>
      </w:pPr>
    </w:p>
    <w:p w:rsidR="00927564" w:rsidRDefault="00927564" w:rsidP="00927564">
      <w:pPr>
        <w:rPr>
          <w:sz w:val="22"/>
          <w:szCs w:val="22"/>
        </w:rPr>
      </w:pPr>
    </w:p>
    <w:p w:rsidR="00927564" w:rsidRDefault="00927564" w:rsidP="00927564">
      <w:pPr>
        <w:rPr>
          <w:b/>
          <w:bCs/>
          <w:sz w:val="22"/>
          <w:szCs w:val="22"/>
        </w:rPr>
      </w:pPr>
    </w:p>
    <w:p w:rsidR="00927564" w:rsidRDefault="00927564" w:rsidP="00927564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:rsidR="00C144E8" w:rsidRDefault="00C144E8" w:rsidP="00927564">
      <w:pPr>
        <w:rPr>
          <w:sz w:val="22"/>
          <w:szCs w:val="22"/>
        </w:rPr>
      </w:pPr>
      <w:r>
        <w:rPr>
          <w:sz w:val="22"/>
          <w:szCs w:val="22"/>
        </w:rPr>
        <w:t>B</w:t>
      </w:r>
    </w:p>
    <w:p w:rsidR="00927564" w:rsidRDefault="00927564" w:rsidP="00927564">
      <w:pPr>
        <w:rPr>
          <w:sz w:val="22"/>
          <w:szCs w:val="22"/>
        </w:rPr>
      </w:pPr>
    </w:p>
    <w:p w:rsidR="00927564" w:rsidRDefault="00927564" w:rsidP="00927564">
      <w:pPr>
        <w:rPr>
          <w:sz w:val="22"/>
          <w:szCs w:val="22"/>
        </w:rPr>
      </w:pPr>
    </w:p>
    <w:p w:rsidR="00927564" w:rsidRDefault="00927564" w:rsidP="00927564">
      <w:pPr>
        <w:rPr>
          <w:sz w:val="22"/>
          <w:szCs w:val="22"/>
        </w:rPr>
      </w:pPr>
    </w:p>
    <w:p w:rsidR="00927564" w:rsidRDefault="00927564" w:rsidP="00927564">
      <w:pPr>
        <w:rPr>
          <w:sz w:val="22"/>
          <w:szCs w:val="22"/>
        </w:rPr>
      </w:pPr>
      <w:r>
        <w:rPr>
          <w:sz w:val="22"/>
          <w:szCs w:val="22"/>
        </w:rPr>
        <w:t>datum:</w:t>
      </w:r>
      <w:r w:rsidR="00C144E8">
        <w:rPr>
          <w:sz w:val="22"/>
          <w:szCs w:val="22"/>
        </w:rPr>
        <w:t xml:space="preserve"> 10.1. 2022</w:t>
      </w:r>
    </w:p>
    <w:p w:rsidR="00C144E8" w:rsidRDefault="00C144E8" w:rsidP="00927564">
      <w:pPr>
        <w:rPr>
          <w:sz w:val="22"/>
          <w:szCs w:val="22"/>
        </w:rPr>
      </w:pPr>
    </w:p>
    <w:p w:rsidR="00C144E8" w:rsidRDefault="00C144E8" w:rsidP="00927564">
      <w:pPr>
        <w:rPr>
          <w:sz w:val="22"/>
          <w:szCs w:val="22"/>
        </w:rPr>
      </w:pPr>
    </w:p>
    <w:p w:rsidR="00927564" w:rsidRDefault="00927564" w:rsidP="00927564">
      <w:pPr>
        <w:rPr>
          <w:sz w:val="22"/>
          <w:szCs w:val="22"/>
        </w:rPr>
      </w:pPr>
    </w:p>
    <w:p w:rsidR="00927564" w:rsidRDefault="00927564" w:rsidP="00927564">
      <w:pPr>
        <w:rPr>
          <w:sz w:val="22"/>
          <w:szCs w:val="22"/>
        </w:rPr>
      </w:pPr>
      <w:r>
        <w:rPr>
          <w:sz w:val="22"/>
          <w:szCs w:val="22"/>
        </w:rPr>
        <w:t>podpis:</w:t>
      </w:r>
      <w:r w:rsidR="00D53DA1">
        <w:rPr>
          <w:sz w:val="22"/>
          <w:szCs w:val="22"/>
        </w:rPr>
        <w:t xml:space="preserve"> </w:t>
      </w:r>
      <w:r w:rsidR="00D53DA1">
        <w:rPr>
          <w:noProof/>
          <w:lang w:eastAsia="cs-CZ"/>
        </w:rPr>
        <w:drawing>
          <wp:inline distT="0" distB="0" distL="0" distR="0" wp14:anchorId="6B71EDF0" wp14:editId="0CC1FBA3">
            <wp:extent cx="1589888" cy="923925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2670" cy="9313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927564" w:rsidRDefault="00927564" w:rsidP="00927564">
      <w:pPr>
        <w:rPr>
          <w:sz w:val="22"/>
          <w:szCs w:val="22"/>
        </w:rPr>
      </w:pPr>
    </w:p>
    <w:p w:rsidR="00AA7604" w:rsidRDefault="00AA7604"/>
    <w:sectPr w:rsidR="00AA76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7CBD" w:rsidRDefault="00DF7CBD" w:rsidP="00927564">
      <w:r>
        <w:separator/>
      </w:r>
    </w:p>
  </w:endnote>
  <w:endnote w:type="continuationSeparator" w:id="0">
    <w:p w:rsidR="00DF7CBD" w:rsidRDefault="00DF7CBD" w:rsidP="00927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7CBD" w:rsidRDefault="00DF7CBD" w:rsidP="00927564">
      <w:r>
        <w:separator/>
      </w:r>
    </w:p>
  </w:footnote>
  <w:footnote w:type="continuationSeparator" w:id="0">
    <w:p w:rsidR="00DF7CBD" w:rsidRDefault="00DF7CBD" w:rsidP="0092756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7564"/>
    <w:rsid w:val="00023F5D"/>
    <w:rsid w:val="00136056"/>
    <w:rsid w:val="00192125"/>
    <w:rsid w:val="002506B0"/>
    <w:rsid w:val="005D1385"/>
    <w:rsid w:val="0085788E"/>
    <w:rsid w:val="008A644B"/>
    <w:rsid w:val="00902B9B"/>
    <w:rsid w:val="00927564"/>
    <w:rsid w:val="00AA7604"/>
    <w:rsid w:val="00B66EEC"/>
    <w:rsid w:val="00C144E8"/>
    <w:rsid w:val="00C845EF"/>
    <w:rsid w:val="00D53DA1"/>
    <w:rsid w:val="00D57DD4"/>
    <w:rsid w:val="00DF7CBD"/>
    <w:rsid w:val="00FE6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1BC3AC"/>
  <w15:chartTrackingRefBased/>
  <w15:docId w15:val="{0A62A9BC-F1B7-4FF4-8452-7EECA0471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927564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927564"/>
  </w:style>
  <w:style w:type="character" w:customStyle="1" w:styleId="Znakapoznpodarou1">
    <w:name w:val="Značka pozn. pod čarou1"/>
    <w:rsid w:val="00927564"/>
    <w:rPr>
      <w:vertAlign w:val="superscript"/>
    </w:rPr>
  </w:style>
  <w:style w:type="paragraph" w:customStyle="1" w:styleId="Obsahtabulky">
    <w:name w:val="Obsah tabulky"/>
    <w:basedOn w:val="Normln"/>
    <w:rsid w:val="00927564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927564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927564"/>
    <w:rPr>
      <w:rFonts w:ascii="Times New Roman" w:eastAsia="Arial Unicode MS" w:hAnsi="Times New Roman" w:cs="Times New Roman"/>
      <w:kern w:val="1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</TotalTime>
  <Pages>2</Pages>
  <Words>605</Words>
  <Characters>3576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Čapský</dc:creator>
  <cp:keywords/>
  <dc:description/>
  <cp:lastModifiedBy>Martin Čapský</cp:lastModifiedBy>
  <cp:revision>2</cp:revision>
  <dcterms:created xsi:type="dcterms:W3CDTF">2022-01-16T14:10:00Z</dcterms:created>
  <dcterms:modified xsi:type="dcterms:W3CDTF">2022-01-16T17:41:00Z</dcterms:modified>
</cp:coreProperties>
</file>