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490116" w14:textId="3D877208" w:rsidR="00E96D9F" w:rsidRPr="00F957F9" w:rsidRDefault="00E96D9F" w:rsidP="000F0423">
      <w:pPr>
        <w:rPr>
          <w:b/>
          <w:bCs/>
          <w:snapToGrid w:val="0"/>
          <w:sz w:val="28"/>
          <w:szCs w:val="28"/>
        </w:rPr>
      </w:pPr>
      <w:r w:rsidRPr="00F957F9">
        <w:rPr>
          <w:b/>
          <w:bCs/>
          <w:snapToGrid w:val="0"/>
          <w:sz w:val="28"/>
          <w:szCs w:val="28"/>
        </w:rPr>
        <w:t>Václav Bojanovský: Branná příprava v Československu v meziválečném období.</w:t>
      </w:r>
    </w:p>
    <w:p w14:paraId="6C8452EC" w14:textId="5DCFD72D" w:rsidR="001A7C8F" w:rsidRPr="00E96D9F" w:rsidRDefault="001A7C8F" w:rsidP="000F0423">
      <w:pPr>
        <w:rPr>
          <w:snapToGrid w:val="0"/>
          <w:sz w:val="28"/>
          <w:szCs w:val="28"/>
        </w:rPr>
      </w:pPr>
      <w:r w:rsidRPr="00E96D9F">
        <w:rPr>
          <w:snapToGrid w:val="0"/>
          <w:sz w:val="28"/>
          <w:szCs w:val="28"/>
        </w:rPr>
        <w:t xml:space="preserve">Diplomová práce. </w:t>
      </w:r>
      <w:r w:rsidR="003F36EE" w:rsidRPr="00E96D9F">
        <w:rPr>
          <w:snapToGrid w:val="0"/>
          <w:sz w:val="28"/>
          <w:szCs w:val="28"/>
        </w:rPr>
        <w:t>Ústav</w:t>
      </w:r>
      <w:r w:rsidRPr="00E96D9F">
        <w:rPr>
          <w:snapToGrid w:val="0"/>
          <w:sz w:val="28"/>
          <w:szCs w:val="28"/>
        </w:rPr>
        <w:t xml:space="preserve"> historických věd </w:t>
      </w:r>
      <w:r w:rsidR="00464E35" w:rsidRPr="00E96D9F">
        <w:rPr>
          <w:snapToGrid w:val="0"/>
          <w:sz w:val="28"/>
          <w:szCs w:val="28"/>
        </w:rPr>
        <w:t>F</w:t>
      </w:r>
      <w:r w:rsidR="00A86B39">
        <w:rPr>
          <w:snapToGrid w:val="0"/>
          <w:sz w:val="28"/>
          <w:szCs w:val="28"/>
        </w:rPr>
        <w:t xml:space="preserve">akulty </w:t>
      </w:r>
      <w:proofErr w:type="gramStart"/>
      <w:r w:rsidR="00464E35" w:rsidRPr="00E96D9F">
        <w:rPr>
          <w:snapToGrid w:val="0"/>
          <w:sz w:val="28"/>
          <w:szCs w:val="28"/>
        </w:rPr>
        <w:t>f</w:t>
      </w:r>
      <w:r w:rsidR="00A86B39">
        <w:rPr>
          <w:snapToGrid w:val="0"/>
          <w:sz w:val="28"/>
          <w:szCs w:val="28"/>
        </w:rPr>
        <w:t>ilosofické</w:t>
      </w:r>
      <w:proofErr w:type="gramEnd"/>
      <w:r w:rsidRPr="00E96D9F">
        <w:rPr>
          <w:snapToGrid w:val="0"/>
          <w:sz w:val="28"/>
          <w:szCs w:val="28"/>
        </w:rPr>
        <w:t xml:space="preserve"> University Pardubice, Pardubice 20</w:t>
      </w:r>
      <w:r w:rsidR="00F54094" w:rsidRPr="00E96D9F">
        <w:rPr>
          <w:snapToGrid w:val="0"/>
          <w:sz w:val="28"/>
          <w:szCs w:val="28"/>
        </w:rPr>
        <w:t>2</w:t>
      </w:r>
      <w:r w:rsidR="00E96D9F">
        <w:rPr>
          <w:snapToGrid w:val="0"/>
          <w:sz w:val="28"/>
          <w:szCs w:val="28"/>
        </w:rPr>
        <w:t>4</w:t>
      </w:r>
      <w:r w:rsidRPr="00E96D9F">
        <w:rPr>
          <w:snapToGrid w:val="0"/>
          <w:sz w:val="28"/>
          <w:szCs w:val="28"/>
        </w:rPr>
        <w:t>.</w:t>
      </w:r>
    </w:p>
    <w:p w14:paraId="2B6E174E" w14:textId="65055A43" w:rsidR="001A7C8F" w:rsidRPr="00E96D9F" w:rsidRDefault="001A7C8F" w:rsidP="000F0423">
      <w:pPr>
        <w:rPr>
          <w:snapToGrid w:val="0"/>
          <w:sz w:val="28"/>
          <w:szCs w:val="28"/>
        </w:rPr>
      </w:pPr>
      <w:r w:rsidRPr="00E96D9F">
        <w:rPr>
          <w:snapToGrid w:val="0"/>
          <w:sz w:val="28"/>
          <w:szCs w:val="28"/>
        </w:rPr>
        <w:t>Posudek vedoucího práce</w:t>
      </w:r>
    </w:p>
    <w:p w14:paraId="3980D0A5" w14:textId="77777777" w:rsidR="001A7C8F" w:rsidRPr="00E96D9F" w:rsidRDefault="001A7C8F" w:rsidP="000F0423">
      <w:pPr>
        <w:rPr>
          <w:snapToGrid w:val="0"/>
          <w:sz w:val="28"/>
          <w:szCs w:val="28"/>
        </w:rPr>
      </w:pPr>
    </w:p>
    <w:p w14:paraId="449720BA" w14:textId="4DC5BCB6" w:rsidR="00E96D9F" w:rsidRPr="00E96D9F" w:rsidRDefault="00E96D9F" w:rsidP="001E5E3E">
      <w:pPr>
        <w:jc w:val="both"/>
        <w:rPr>
          <w:bCs/>
          <w:snapToGrid w:val="0"/>
          <w:sz w:val="28"/>
          <w:szCs w:val="28"/>
        </w:rPr>
      </w:pPr>
      <w:r w:rsidRPr="00E96D9F">
        <w:rPr>
          <w:bCs/>
          <w:snapToGrid w:val="0"/>
          <w:sz w:val="28"/>
          <w:szCs w:val="28"/>
        </w:rPr>
        <w:tab/>
        <w:t xml:space="preserve">Otázka branné přípravy civilního obyvatelstva </w:t>
      </w:r>
      <w:r>
        <w:rPr>
          <w:bCs/>
          <w:snapToGrid w:val="0"/>
          <w:sz w:val="28"/>
          <w:szCs w:val="28"/>
        </w:rPr>
        <w:t>v meziválečném období, zejména ve 30. letech, kdy rostlo nebezpečí války, není dosud podrobně zpraco</w:t>
      </w:r>
      <w:r w:rsidR="000F0423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vána. </w:t>
      </w:r>
      <w:r w:rsidR="00FA167E">
        <w:rPr>
          <w:bCs/>
          <w:snapToGrid w:val="0"/>
          <w:sz w:val="28"/>
          <w:szCs w:val="28"/>
        </w:rPr>
        <w:t>Nabízí se zdánlivě mnoho zdrojů, které by mohly přinést podstatné po</w:t>
      </w:r>
      <w:r w:rsidR="000F0423">
        <w:rPr>
          <w:bCs/>
          <w:snapToGrid w:val="0"/>
          <w:sz w:val="28"/>
          <w:szCs w:val="28"/>
        </w:rPr>
        <w:softHyphen/>
      </w:r>
      <w:r w:rsidR="00FA167E">
        <w:rPr>
          <w:bCs/>
          <w:snapToGrid w:val="0"/>
          <w:sz w:val="28"/>
          <w:szCs w:val="28"/>
        </w:rPr>
        <w:t>znatky k dané záležitosti</w:t>
      </w:r>
      <w:r w:rsidR="00253AF6">
        <w:rPr>
          <w:bCs/>
          <w:snapToGrid w:val="0"/>
          <w:sz w:val="28"/>
          <w:szCs w:val="28"/>
        </w:rPr>
        <w:t xml:space="preserve">, v každém případě se ale jedná především o základní výzkum, na nějž bude možno v budoucnosti navázat. </w:t>
      </w:r>
    </w:p>
    <w:p w14:paraId="07B0A475" w14:textId="17350A56" w:rsidR="00FA167E" w:rsidRPr="00FA167E" w:rsidRDefault="00FA167E" w:rsidP="001E5E3E">
      <w:pPr>
        <w:jc w:val="both"/>
        <w:rPr>
          <w:bCs/>
          <w:snapToGrid w:val="0"/>
          <w:sz w:val="28"/>
          <w:szCs w:val="28"/>
        </w:rPr>
      </w:pPr>
      <w:r w:rsidRPr="00FA167E">
        <w:rPr>
          <w:bCs/>
          <w:snapToGrid w:val="0"/>
          <w:sz w:val="28"/>
          <w:szCs w:val="28"/>
        </w:rPr>
        <w:tab/>
        <w:t xml:space="preserve">Václav Bojanovský </w:t>
      </w:r>
      <w:r>
        <w:rPr>
          <w:bCs/>
          <w:snapToGrid w:val="0"/>
          <w:sz w:val="28"/>
          <w:szCs w:val="28"/>
        </w:rPr>
        <w:t>se zaměřil na Chrudimsko jako regionální sondu. Pra</w:t>
      </w:r>
      <w:r w:rsidR="000F0423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coval s archivními prameny z fondů spolků a sportovních </w:t>
      </w:r>
      <w:proofErr w:type="gramStart"/>
      <w:r>
        <w:rPr>
          <w:bCs/>
          <w:snapToGrid w:val="0"/>
          <w:sz w:val="28"/>
          <w:szCs w:val="28"/>
        </w:rPr>
        <w:t>organisací</w:t>
      </w:r>
      <w:proofErr w:type="gramEnd"/>
      <w:r>
        <w:rPr>
          <w:bCs/>
          <w:snapToGrid w:val="0"/>
          <w:sz w:val="28"/>
          <w:szCs w:val="28"/>
        </w:rPr>
        <w:t xml:space="preserve">, </w:t>
      </w:r>
      <w:r w:rsidR="00D21B26">
        <w:rPr>
          <w:bCs/>
          <w:snapToGrid w:val="0"/>
          <w:sz w:val="28"/>
          <w:szCs w:val="28"/>
        </w:rPr>
        <w:t>s</w:t>
      </w:r>
      <w:r w:rsidR="00253AF6">
        <w:rPr>
          <w:bCs/>
          <w:snapToGrid w:val="0"/>
          <w:sz w:val="28"/>
          <w:szCs w:val="28"/>
        </w:rPr>
        <w:t> fondy Okresní úřad Chrudim (1855-1945)</w:t>
      </w:r>
      <w:r w:rsidR="00D21B26">
        <w:rPr>
          <w:bCs/>
          <w:snapToGrid w:val="0"/>
          <w:sz w:val="28"/>
          <w:szCs w:val="28"/>
        </w:rPr>
        <w:t>, s</w:t>
      </w:r>
      <w:r w:rsidR="00253AF6">
        <w:rPr>
          <w:bCs/>
          <w:snapToGrid w:val="0"/>
          <w:sz w:val="28"/>
          <w:szCs w:val="28"/>
        </w:rPr>
        <w:t xml:space="preserve">e současným odborným i s </w:t>
      </w:r>
      <w:r w:rsidR="00D21B26">
        <w:rPr>
          <w:bCs/>
          <w:snapToGrid w:val="0"/>
          <w:sz w:val="28"/>
          <w:szCs w:val="28"/>
        </w:rPr>
        <w:t>dobovým tis</w:t>
      </w:r>
      <w:r w:rsidR="000F0423">
        <w:rPr>
          <w:bCs/>
          <w:snapToGrid w:val="0"/>
          <w:sz w:val="28"/>
          <w:szCs w:val="28"/>
        </w:rPr>
        <w:softHyphen/>
      </w:r>
      <w:r w:rsidR="00D21B26">
        <w:rPr>
          <w:bCs/>
          <w:snapToGrid w:val="0"/>
          <w:sz w:val="28"/>
          <w:szCs w:val="28"/>
        </w:rPr>
        <w:t xml:space="preserve">kem a brožurami vydávanými pro daný účel. </w:t>
      </w:r>
    </w:p>
    <w:p w14:paraId="53838EE4" w14:textId="18B6AF1F" w:rsidR="000D568F" w:rsidRDefault="00253AF6" w:rsidP="001E5E3E">
      <w:pPr>
        <w:jc w:val="both"/>
        <w:rPr>
          <w:bCs/>
          <w:snapToGrid w:val="0"/>
          <w:sz w:val="28"/>
          <w:szCs w:val="28"/>
        </w:rPr>
      </w:pPr>
      <w:r w:rsidRPr="00253AF6">
        <w:rPr>
          <w:bCs/>
          <w:snapToGrid w:val="0"/>
          <w:sz w:val="28"/>
          <w:szCs w:val="28"/>
        </w:rPr>
        <w:tab/>
        <w:t>V úvodu autor stanovil cíl práce, podal stručný přehled zdrojů</w:t>
      </w:r>
      <w:r>
        <w:rPr>
          <w:bCs/>
          <w:snapToGrid w:val="0"/>
          <w:sz w:val="28"/>
          <w:szCs w:val="28"/>
        </w:rPr>
        <w:t xml:space="preserve"> a stanovil základní otázky, na něž chtěl nalézt odpovědi. První kapitola je věnována mezi</w:t>
      </w:r>
      <w:r w:rsidR="000F0423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>válečnému Československu, jeho vztahům se sousedy a hledání spojenců</w:t>
      </w:r>
      <w:r w:rsidR="001F5AE8">
        <w:rPr>
          <w:bCs/>
          <w:snapToGrid w:val="0"/>
          <w:sz w:val="28"/>
          <w:szCs w:val="28"/>
        </w:rPr>
        <w:t>, autor zde využil stávající odborné literatury. Druhá je zaměřena na legislativu týkající se brannosti v Československu. Zde autor podrobně rozebral přístup státních or</w:t>
      </w:r>
      <w:r w:rsidR="000F0423">
        <w:rPr>
          <w:bCs/>
          <w:snapToGrid w:val="0"/>
          <w:sz w:val="28"/>
          <w:szCs w:val="28"/>
        </w:rPr>
        <w:softHyphen/>
      </w:r>
      <w:r w:rsidR="001F5AE8">
        <w:rPr>
          <w:bCs/>
          <w:snapToGrid w:val="0"/>
          <w:sz w:val="28"/>
          <w:szCs w:val="28"/>
        </w:rPr>
        <w:t>gánů k otázce brannosti a bezpečnosti, náhledy na brannou moc jako takovou (branný zákon č. 193/1920 Sb. z. a n.) a další normy, které přibývaly zejména ve 30. letech. Ta to legislativa je zde podrobně rozebrána a zhodnocena. Využity byly nejen texty zákonů a nařízení, ale také odborná literatura. Může se zdát, že autor místy zabíhá příliš do podrobností, ale k pochopení poměrů a přístupu státu je to důležité. Kapitola třetí je nazvána „Brannost národa“. S určitou retro</w:t>
      </w:r>
      <w:r w:rsidR="000F0423">
        <w:rPr>
          <w:bCs/>
          <w:snapToGrid w:val="0"/>
          <w:sz w:val="28"/>
          <w:szCs w:val="28"/>
        </w:rPr>
        <w:softHyphen/>
      </w:r>
      <w:r w:rsidR="001F5AE8">
        <w:rPr>
          <w:bCs/>
          <w:snapToGrid w:val="0"/>
          <w:sz w:val="28"/>
          <w:szCs w:val="28"/>
        </w:rPr>
        <w:t>spektivou sahající do doby Rakouska – Uherska, což je jistě namístě, je hlavní pozornost věnována meziválečnému období. Tato kapitola je ovšem nepřimě</w:t>
      </w:r>
      <w:r w:rsidR="000F0423">
        <w:rPr>
          <w:bCs/>
          <w:snapToGrid w:val="0"/>
          <w:sz w:val="28"/>
          <w:szCs w:val="28"/>
        </w:rPr>
        <w:softHyphen/>
      </w:r>
      <w:r w:rsidR="001F5AE8">
        <w:rPr>
          <w:bCs/>
          <w:snapToGrid w:val="0"/>
          <w:sz w:val="28"/>
          <w:szCs w:val="28"/>
        </w:rPr>
        <w:t>řeně krátká ve srovnání s ostatními, možná by bylo vhodnější včlenit ji do kapi</w:t>
      </w:r>
      <w:r w:rsidR="000F0423">
        <w:rPr>
          <w:bCs/>
          <w:snapToGrid w:val="0"/>
          <w:sz w:val="28"/>
          <w:szCs w:val="28"/>
        </w:rPr>
        <w:softHyphen/>
      </w:r>
      <w:r w:rsidR="001F5AE8">
        <w:rPr>
          <w:bCs/>
          <w:snapToGrid w:val="0"/>
          <w:sz w:val="28"/>
          <w:szCs w:val="28"/>
        </w:rPr>
        <w:t xml:space="preserve">toly následující. </w:t>
      </w:r>
    </w:p>
    <w:p w14:paraId="41FBB3D7" w14:textId="20D21E27" w:rsidR="00253AF6" w:rsidRDefault="0080546E" w:rsidP="001E5E3E">
      <w:pPr>
        <w:ind w:firstLine="720"/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>Ta nese titul „Snahy a činnosti v zájmu obrany státu“ a představuje jádro práce. Je zde hodnocena úloha armády, obcí – zde zejména Chrudimi, jež byla ohniskem výzkumu. Autor zaznamenal různé akce, jež měly vytvářet kladný vztah obyvatelstva k armádě, například letecká cvičení, dny brannosti za účasti civilistů a různých spolků, a odkázal též na pokyny ústředních orgánů v podobě oběžníků a instrukcí, jimiž se měly místní úřady řídit například při přípravě to</w:t>
      </w:r>
      <w:r w:rsidR="000F0423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>váren na obranu. Velký význam měla pravidla pro protileteckou obranu. Není pominuta velká úloha, již měly hrát spolky a v české společnosti hrály tradičně dosti významnou úlohu</w:t>
      </w:r>
      <w:r w:rsidR="0051073B">
        <w:rPr>
          <w:bCs/>
          <w:snapToGrid w:val="0"/>
          <w:sz w:val="28"/>
          <w:szCs w:val="28"/>
        </w:rPr>
        <w:t>, zde je uvedena zejména Masarykova letecká liga, So</w:t>
      </w:r>
      <w:r w:rsidR="000F0423">
        <w:rPr>
          <w:bCs/>
          <w:snapToGrid w:val="0"/>
          <w:sz w:val="28"/>
          <w:szCs w:val="28"/>
        </w:rPr>
        <w:softHyphen/>
      </w:r>
      <w:r w:rsidR="0051073B">
        <w:rPr>
          <w:bCs/>
          <w:snapToGrid w:val="0"/>
          <w:sz w:val="28"/>
          <w:szCs w:val="28"/>
        </w:rPr>
        <w:t xml:space="preserve">kol, hasiče a skauty, ale také </w:t>
      </w:r>
      <w:proofErr w:type="gramStart"/>
      <w:r w:rsidR="0051073B">
        <w:rPr>
          <w:bCs/>
          <w:snapToGrid w:val="0"/>
          <w:sz w:val="28"/>
          <w:szCs w:val="28"/>
        </w:rPr>
        <w:t>organisace</w:t>
      </w:r>
      <w:proofErr w:type="gramEnd"/>
      <w:r w:rsidR="0051073B">
        <w:rPr>
          <w:bCs/>
          <w:snapToGrid w:val="0"/>
          <w:sz w:val="28"/>
          <w:szCs w:val="28"/>
        </w:rPr>
        <w:t xml:space="preserve"> střelců, motoristů a zdravotníků, kteří všichni v případě vojenského napadení státu mohli nabídnout svoji odbornost. Zvláštní podkapitola hodnotí dobovou literaturu s brannou tematikou. Zde autor ukazuje, že branná příprava byla opravdu záležitostí mnohovrstevnatou – obsa</w:t>
      </w:r>
      <w:r w:rsidR="000F0423">
        <w:rPr>
          <w:bCs/>
          <w:snapToGrid w:val="0"/>
          <w:sz w:val="28"/>
          <w:szCs w:val="28"/>
        </w:rPr>
        <w:softHyphen/>
      </w:r>
      <w:r w:rsidR="0051073B">
        <w:rPr>
          <w:bCs/>
          <w:snapToGrid w:val="0"/>
          <w:sz w:val="28"/>
          <w:szCs w:val="28"/>
        </w:rPr>
        <w:t xml:space="preserve">hovala údaje </w:t>
      </w:r>
      <w:r w:rsidR="0051073B">
        <w:rPr>
          <w:bCs/>
          <w:snapToGrid w:val="0"/>
          <w:sz w:val="28"/>
          <w:szCs w:val="28"/>
        </w:rPr>
        <w:lastRenderedPageBreak/>
        <w:t xml:space="preserve">o protiletecké obraně, </w:t>
      </w:r>
      <w:r w:rsidR="000D568F">
        <w:rPr>
          <w:bCs/>
          <w:snapToGrid w:val="0"/>
          <w:sz w:val="28"/>
          <w:szCs w:val="28"/>
        </w:rPr>
        <w:t xml:space="preserve">krytech, evakuacích, </w:t>
      </w:r>
      <w:r w:rsidR="0051073B">
        <w:rPr>
          <w:bCs/>
          <w:snapToGrid w:val="0"/>
          <w:sz w:val="28"/>
          <w:szCs w:val="28"/>
        </w:rPr>
        <w:t>zdravotnictví, otrav</w:t>
      </w:r>
      <w:r w:rsidR="000F0423">
        <w:rPr>
          <w:bCs/>
          <w:snapToGrid w:val="0"/>
          <w:sz w:val="28"/>
          <w:szCs w:val="28"/>
        </w:rPr>
        <w:softHyphen/>
      </w:r>
      <w:r w:rsidR="0051073B">
        <w:rPr>
          <w:bCs/>
          <w:snapToGrid w:val="0"/>
          <w:sz w:val="28"/>
          <w:szCs w:val="28"/>
        </w:rPr>
        <w:t>ných látkách, ale také například o válce (des)informační. Tyto brožury byly vy</w:t>
      </w:r>
      <w:r w:rsidR="000F0423">
        <w:rPr>
          <w:bCs/>
          <w:snapToGrid w:val="0"/>
          <w:sz w:val="28"/>
          <w:szCs w:val="28"/>
        </w:rPr>
        <w:softHyphen/>
      </w:r>
      <w:r w:rsidR="0051073B">
        <w:rPr>
          <w:bCs/>
          <w:snapToGrid w:val="0"/>
          <w:sz w:val="28"/>
          <w:szCs w:val="28"/>
        </w:rPr>
        <w:t xml:space="preserve">dávány na celostátní i místní úrovni. </w:t>
      </w:r>
      <w:r w:rsidR="000D568F">
        <w:rPr>
          <w:bCs/>
          <w:snapToGrid w:val="0"/>
          <w:sz w:val="28"/>
          <w:szCs w:val="28"/>
        </w:rPr>
        <w:t>Význam měla také literatura připravující mladé muže k vojenské službě. Autor zde zaznamenal zajímavé prvky týkající se dějin literatury, zachytil totiž tiskoviny určené nejmladší generaci, jejichž cí</w:t>
      </w:r>
      <w:r w:rsidR="000F0423">
        <w:rPr>
          <w:bCs/>
          <w:snapToGrid w:val="0"/>
          <w:sz w:val="28"/>
          <w:szCs w:val="28"/>
        </w:rPr>
        <w:softHyphen/>
      </w:r>
      <w:r w:rsidR="000D568F">
        <w:rPr>
          <w:bCs/>
          <w:snapToGrid w:val="0"/>
          <w:sz w:val="28"/>
          <w:szCs w:val="28"/>
        </w:rPr>
        <w:t xml:space="preserve">lem bylo ukázat dětem, že vlastní armáda je </w:t>
      </w:r>
      <w:r w:rsidR="001E5E3E">
        <w:rPr>
          <w:bCs/>
          <w:snapToGrid w:val="0"/>
          <w:sz w:val="28"/>
          <w:szCs w:val="28"/>
        </w:rPr>
        <w:t>útvarem</w:t>
      </w:r>
      <w:r w:rsidR="000D568F">
        <w:rPr>
          <w:bCs/>
          <w:snapToGrid w:val="0"/>
          <w:sz w:val="28"/>
          <w:szCs w:val="28"/>
        </w:rPr>
        <w:t xml:space="preserve"> sloužícím k jejich </w:t>
      </w:r>
      <w:proofErr w:type="gramStart"/>
      <w:r w:rsidR="000D568F">
        <w:rPr>
          <w:bCs/>
          <w:snapToGrid w:val="0"/>
          <w:sz w:val="28"/>
          <w:szCs w:val="28"/>
        </w:rPr>
        <w:t xml:space="preserve">ochraně </w:t>
      </w:r>
      <w:r w:rsidR="000B38EB">
        <w:rPr>
          <w:bCs/>
          <w:snapToGrid w:val="0"/>
          <w:sz w:val="28"/>
          <w:szCs w:val="28"/>
        </w:rPr>
        <w:t xml:space="preserve"> </w:t>
      </w:r>
      <w:r w:rsidR="000D568F">
        <w:rPr>
          <w:bCs/>
          <w:snapToGrid w:val="0"/>
          <w:sz w:val="28"/>
          <w:szCs w:val="28"/>
        </w:rPr>
        <w:t>a</w:t>
      </w:r>
      <w:proofErr w:type="gramEnd"/>
      <w:r w:rsidR="000D568F">
        <w:rPr>
          <w:bCs/>
          <w:snapToGrid w:val="0"/>
          <w:sz w:val="28"/>
          <w:szCs w:val="28"/>
        </w:rPr>
        <w:t xml:space="preserve"> přibližující fungování jednotlivých složek vojska. </w:t>
      </w:r>
    </w:p>
    <w:p w14:paraId="2A89DEEC" w14:textId="2EB55AB5" w:rsidR="00D21B26" w:rsidRDefault="000D568F" w:rsidP="001E5E3E">
      <w:pPr>
        <w:ind w:firstLine="720"/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 xml:space="preserve">Cenným zdrojem se stal dobový regionální tisk a také tisk odborný, jenž se podílel na rozšiřování důležitých informací a také podával zprávy o akcích, jež byly ve prospěch brannosti pořádány. Řada těchto údajů je unikátní v tom smyslu, že v archivních fondech se zprávy o nich nenacházejí. Podobnou úlohu hrál v dané době rozhlas. Autorovi se podařilo objevit dochované nahrávky, včetně instruktážní scénky pro školy pro případ leteckého ohrožení. </w:t>
      </w:r>
    </w:p>
    <w:p w14:paraId="796E76B6" w14:textId="77777777" w:rsidR="000B38EB" w:rsidRPr="000F0423" w:rsidRDefault="000B38EB" w:rsidP="001E5E3E">
      <w:pPr>
        <w:ind w:firstLine="720"/>
        <w:jc w:val="both"/>
        <w:rPr>
          <w:bCs/>
          <w:snapToGrid w:val="0"/>
          <w:sz w:val="28"/>
          <w:szCs w:val="28"/>
        </w:rPr>
      </w:pPr>
    </w:p>
    <w:p w14:paraId="6E967834" w14:textId="37DB9430" w:rsidR="00253AF6" w:rsidRPr="00253AF6" w:rsidRDefault="000F0423" w:rsidP="001E5E3E">
      <w:pPr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ab/>
        <w:t>Práce Václava Bojanovského přináší nové poznatky, na něž bude možno navázat dalším studiem. Je vystavěna logicky, kapitoly na sebe na</w:t>
      </w:r>
      <w:r>
        <w:rPr>
          <w:bCs/>
          <w:snapToGrid w:val="0"/>
          <w:sz w:val="28"/>
          <w:szCs w:val="28"/>
        </w:rPr>
        <w:softHyphen/>
        <w:t xml:space="preserve">vzájem dobře navazují, výhradu si </w:t>
      </w:r>
      <w:proofErr w:type="gramStart"/>
      <w:r>
        <w:rPr>
          <w:bCs/>
          <w:snapToGrid w:val="0"/>
          <w:sz w:val="28"/>
          <w:szCs w:val="28"/>
        </w:rPr>
        <w:t>zaslouží</w:t>
      </w:r>
      <w:proofErr w:type="gramEnd"/>
      <w:r>
        <w:rPr>
          <w:bCs/>
          <w:snapToGrid w:val="0"/>
          <w:sz w:val="28"/>
          <w:szCs w:val="28"/>
        </w:rPr>
        <w:t xml:space="preserve"> asi jen jejich rozsahová nevyváže</w:t>
      </w:r>
      <w:r>
        <w:rPr>
          <w:bCs/>
          <w:snapToGrid w:val="0"/>
          <w:sz w:val="28"/>
          <w:szCs w:val="28"/>
        </w:rPr>
        <w:softHyphen/>
        <w:t>nost. Tu ale na-</w:t>
      </w:r>
      <w:proofErr w:type="spellStart"/>
      <w:r>
        <w:rPr>
          <w:bCs/>
          <w:snapToGrid w:val="0"/>
          <w:sz w:val="28"/>
          <w:szCs w:val="28"/>
        </w:rPr>
        <w:t>hrazuje</w:t>
      </w:r>
      <w:proofErr w:type="spellEnd"/>
      <w:r>
        <w:rPr>
          <w:bCs/>
          <w:snapToGrid w:val="0"/>
          <w:sz w:val="28"/>
          <w:szCs w:val="28"/>
        </w:rPr>
        <w:t xml:space="preserve"> vnitřní členění. Každá kapitola je uzavřena autorovým zhodnocením sledovaného jevu. Všechny své poznatky autor shrnul v obsáhlém závěru, v němž se také pokusil odpovědět na otázky položené v úvodu práce. </w:t>
      </w:r>
      <w:r w:rsidR="00253AF6" w:rsidRPr="00253AF6">
        <w:rPr>
          <w:bCs/>
          <w:snapToGrid w:val="0"/>
          <w:sz w:val="28"/>
          <w:szCs w:val="28"/>
        </w:rPr>
        <w:t>Zajímav</w:t>
      </w:r>
      <w:r>
        <w:rPr>
          <w:bCs/>
          <w:snapToGrid w:val="0"/>
          <w:sz w:val="28"/>
          <w:szCs w:val="28"/>
        </w:rPr>
        <w:t>ý</w:t>
      </w:r>
      <w:r w:rsidR="00253AF6" w:rsidRPr="00253AF6">
        <w:rPr>
          <w:bCs/>
          <w:snapToGrid w:val="0"/>
          <w:sz w:val="28"/>
          <w:szCs w:val="28"/>
        </w:rPr>
        <w:t xml:space="preserve"> je </w:t>
      </w:r>
      <w:r>
        <w:rPr>
          <w:bCs/>
          <w:snapToGrid w:val="0"/>
          <w:sz w:val="28"/>
          <w:szCs w:val="28"/>
        </w:rPr>
        <w:t>velký rozsah branné přípravy v ČSR ve 30. letech, její mnohotvár</w:t>
      </w:r>
      <w:r>
        <w:rPr>
          <w:bCs/>
          <w:snapToGrid w:val="0"/>
          <w:sz w:val="28"/>
          <w:szCs w:val="28"/>
        </w:rPr>
        <w:softHyphen/>
        <w:t xml:space="preserve">nost. Za pozornost stojí mimo jiné </w:t>
      </w:r>
      <w:r w:rsidR="00253AF6" w:rsidRPr="00253AF6">
        <w:rPr>
          <w:bCs/>
          <w:snapToGrid w:val="0"/>
          <w:sz w:val="28"/>
          <w:szCs w:val="28"/>
        </w:rPr>
        <w:t xml:space="preserve">zjištění, že </w:t>
      </w:r>
      <w:r w:rsidR="00253AF6">
        <w:rPr>
          <w:bCs/>
          <w:snapToGrid w:val="0"/>
          <w:sz w:val="28"/>
          <w:szCs w:val="28"/>
        </w:rPr>
        <w:t>zejména v regionálních fondech se nenachází mnoho pramenů k branné výchově ve 30. letech. Autor to logicky vy</w:t>
      </w:r>
      <w:r>
        <w:rPr>
          <w:bCs/>
          <w:snapToGrid w:val="0"/>
          <w:sz w:val="28"/>
          <w:szCs w:val="28"/>
        </w:rPr>
        <w:softHyphen/>
      </w:r>
      <w:r w:rsidR="00253AF6">
        <w:rPr>
          <w:bCs/>
          <w:snapToGrid w:val="0"/>
          <w:sz w:val="28"/>
          <w:szCs w:val="28"/>
        </w:rPr>
        <w:t xml:space="preserve">světluje tím, že v době okupace byly tyto prameny zničeny, aby osoby v nich uvedené nemohly být okupačním režimem stíhány. </w:t>
      </w:r>
    </w:p>
    <w:p w14:paraId="1C0697F9" w14:textId="3C7C9CAB" w:rsidR="00253AF6" w:rsidRPr="000F0423" w:rsidRDefault="0080782A" w:rsidP="001E5E3E">
      <w:pPr>
        <w:ind w:firstLine="720"/>
        <w:jc w:val="both"/>
        <w:rPr>
          <w:bCs/>
          <w:snapToGrid w:val="0"/>
          <w:sz w:val="28"/>
          <w:szCs w:val="28"/>
        </w:rPr>
      </w:pPr>
      <w:r w:rsidRPr="000F0423">
        <w:rPr>
          <w:bCs/>
          <w:snapToGrid w:val="0"/>
          <w:sz w:val="28"/>
          <w:szCs w:val="28"/>
        </w:rPr>
        <w:t>Formální náležitosti práce</w:t>
      </w:r>
      <w:r w:rsidR="000F0423" w:rsidRPr="000F0423">
        <w:rPr>
          <w:bCs/>
          <w:snapToGrid w:val="0"/>
          <w:sz w:val="28"/>
          <w:szCs w:val="28"/>
        </w:rPr>
        <w:t xml:space="preserve"> vykazují drobné nedostatky. Na jedné straně jsou v</w:t>
      </w:r>
      <w:r w:rsidR="00253AF6" w:rsidRPr="000F0423">
        <w:rPr>
          <w:bCs/>
          <w:snapToGrid w:val="0"/>
          <w:sz w:val="28"/>
          <w:szCs w:val="28"/>
        </w:rPr>
        <w:t xml:space="preserve">šechny údaje pečlivě citovány, </w:t>
      </w:r>
      <w:r w:rsidR="000F0423" w:rsidRPr="000F0423">
        <w:rPr>
          <w:bCs/>
          <w:snapToGrid w:val="0"/>
          <w:sz w:val="28"/>
          <w:szCs w:val="28"/>
        </w:rPr>
        <w:t>ale</w:t>
      </w:r>
      <w:r w:rsidR="00253AF6" w:rsidRPr="000F0423">
        <w:rPr>
          <w:bCs/>
          <w:snapToGrid w:val="0"/>
          <w:sz w:val="28"/>
          <w:szCs w:val="28"/>
        </w:rPr>
        <w:t xml:space="preserve"> autorovi utekla správná</w:t>
      </w:r>
      <w:r w:rsidR="0051073B" w:rsidRPr="000F0423">
        <w:rPr>
          <w:bCs/>
          <w:snapToGrid w:val="0"/>
          <w:sz w:val="28"/>
          <w:szCs w:val="28"/>
        </w:rPr>
        <w:t>, přesněji řečeno jednotná úprava</w:t>
      </w:r>
      <w:r w:rsidR="00253AF6" w:rsidRPr="000F0423">
        <w:rPr>
          <w:bCs/>
          <w:snapToGrid w:val="0"/>
          <w:sz w:val="28"/>
          <w:szCs w:val="28"/>
        </w:rPr>
        <w:t xml:space="preserve"> citací (např. pozn. 17</w:t>
      </w:r>
      <w:r w:rsidR="0080546E" w:rsidRPr="000F0423">
        <w:rPr>
          <w:bCs/>
          <w:snapToGrid w:val="0"/>
          <w:sz w:val="28"/>
          <w:szCs w:val="28"/>
        </w:rPr>
        <w:t xml:space="preserve">, 69 aj. – zejména užívání </w:t>
      </w:r>
      <w:proofErr w:type="spellStart"/>
      <w:r w:rsidR="0080546E" w:rsidRPr="000F0423">
        <w:rPr>
          <w:bCs/>
          <w:snapToGrid w:val="0"/>
          <w:sz w:val="28"/>
          <w:szCs w:val="28"/>
        </w:rPr>
        <w:t>kursivy</w:t>
      </w:r>
      <w:proofErr w:type="spellEnd"/>
      <w:r w:rsidR="0080546E" w:rsidRPr="000F0423">
        <w:rPr>
          <w:bCs/>
          <w:snapToGrid w:val="0"/>
          <w:sz w:val="28"/>
          <w:szCs w:val="28"/>
        </w:rPr>
        <w:t xml:space="preserve"> apod.</w:t>
      </w:r>
      <w:r w:rsidR="00253AF6" w:rsidRPr="000F0423">
        <w:rPr>
          <w:bCs/>
          <w:snapToGrid w:val="0"/>
          <w:sz w:val="28"/>
          <w:szCs w:val="28"/>
        </w:rPr>
        <w:t xml:space="preserve">). </w:t>
      </w:r>
      <w:r w:rsidR="000F0423" w:rsidRPr="000F0423">
        <w:rPr>
          <w:bCs/>
          <w:snapToGrid w:val="0"/>
          <w:sz w:val="28"/>
          <w:szCs w:val="28"/>
        </w:rPr>
        <w:t>Místy jsou patrné určité grafické zmatky (</w:t>
      </w:r>
      <w:r w:rsidR="000B38EB">
        <w:rPr>
          <w:bCs/>
          <w:snapToGrid w:val="0"/>
          <w:sz w:val="28"/>
          <w:szCs w:val="28"/>
        </w:rPr>
        <w:t xml:space="preserve">fonty, </w:t>
      </w:r>
      <w:r w:rsidR="000F0423" w:rsidRPr="000F0423">
        <w:rPr>
          <w:bCs/>
          <w:snapToGrid w:val="0"/>
          <w:sz w:val="28"/>
          <w:szCs w:val="28"/>
        </w:rPr>
        <w:t>řádkování, odstavce – hlavně v zá</w:t>
      </w:r>
      <w:r w:rsidR="000F0423">
        <w:rPr>
          <w:bCs/>
          <w:snapToGrid w:val="0"/>
          <w:sz w:val="28"/>
          <w:szCs w:val="28"/>
        </w:rPr>
        <w:softHyphen/>
      </w:r>
      <w:r w:rsidR="000F0423" w:rsidRPr="000F0423">
        <w:rPr>
          <w:bCs/>
          <w:snapToGrid w:val="0"/>
          <w:sz w:val="28"/>
          <w:szCs w:val="28"/>
        </w:rPr>
        <w:t xml:space="preserve">věru). </w:t>
      </w:r>
    </w:p>
    <w:p w14:paraId="339D1536" w14:textId="392055DE" w:rsidR="0051073B" w:rsidRDefault="001A7C8F" w:rsidP="001E5E3E">
      <w:pPr>
        <w:ind w:firstLine="720"/>
        <w:jc w:val="both"/>
        <w:rPr>
          <w:bCs/>
          <w:snapToGrid w:val="0"/>
          <w:sz w:val="28"/>
          <w:szCs w:val="28"/>
        </w:rPr>
      </w:pPr>
      <w:r w:rsidRPr="000F0423">
        <w:rPr>
          <w:bCs/>
          <w:snapToGrid w:val="0"/>
          <w:sz w:val="28"/>
          <w:szCs w:val="28"/>
        </w:rPr>
        <w:t xml:space="preserve">Písemný projev </w:t>
      </w:r>
      <w:r w:rsidR="0051073B" w:rsidRPr="000F0423">
        <w:rPr>
          <w:bCs/>
          <w:snapToGrid w:val="0"/>
          <w:sz w:val="28"/>
          <w:szCs w:val="28"/>
        </w:rPr>
        <w:t xml:space="preserve">je na slušné úrovni, pravopisné chyby jsou spíše ojedinělé (např. s. 62), místy </w:t>
      </w:r>
      <w:r w:rsidR="000F0423" w:rsidRPr="000F0423">
        <w:rPr>
          <w:bCs/>
          <w:snapToGrid w:val="0"/>
          <w:sz w:val="28"/>
          <w:szCs w:val="28"/>
        </w:rPr>
        <w:t xml:space="preserve">se vyskytují </w:t>
      </w:r>
      <w:r w:rsidR="0051073B" w:rsidRPr="000F0423">
        <w:rPr>
          <w:bCs/>
          <w:snapToGrid w:val="0"/>
          <w:sz w:val="28"/>
          <w:szCs w:val="28"/>
        </w:rPr>
        <w:t xml:space="preserve">nedostatky v interpunkci nebo psaní velkých písmen. </w:t>
      </w:r>
    </w:p>
    <w:p w14:paraId="02751A7A" w14:textId="77777777" w:rsidR="000F0423" w:rsidRPr="000F0423" w:rsidRDefault="000F0423" w:rsidP="001E5E3E">
      <w:pPr>
        <w:ind w:firstLine="720"/>
        <w:jc w:val="both"/>
        <w:rPr>
          <w:bCs/>
          <w:snapToGrid w:val="0"/>
          <w:sz w:val="28"/>
          <w:szCs w:val="28"/>
        </w:rPr>
      </w:pPr>
    </w:p>
    <w:p w14:paraId="0E438E33" w14:textId="780FED6A" w:rsidR="00780D95" w:rsidRDefault="000F0423" w:rsidP="001E5E3E">
      <w:pPr>
        <w:jc w:val="both"/>
        <w:rPr>
          <w:b/>
          <w:snapToGrid w:val="0"/>
          <w:sz w:val="28"/>
          <w:szCs w:val="28"/>
        </w:rPr>
      </w:pPr>
      <w:r w:rsidRPr="000F0423">
        <w:rPr>
          <w:bCs/>
          <w:snapToGrid w:val="0"/>
          <w:sz w:val="28"/>
          <w:szCs w:val="28"/>
        </w:rPr>
        <w:tab/>
        <w:t>Domnívám se, že diplomová práce Václava Bojanovského odpovídá po</w:t>
      </w:r>
      <w:r>
        <w:rPr>
          <w:bCs/>
          <w:snapToGrid w:val="0"/>
          <w:sz w:val="28"/>
          <w:szCs w:val="28"/>
        </w:rPr>
        <w:softHyphen/>
      </w:r>
      <w:r w:rsidRPr="000F0423">
        <w:rPr>
          <w:bCs/>
          <w:snapToGrid w:val="0"/>
          <w:sz w:val="28"/>
          <w:szCs w:val="28"/>
        </w:rPr>
        <w:t>žadavkům, doporučuji ji k obhajobě a navrhuji hodnocení</w:t>
      </w:r>
      <w:r>
        <w:rPr>
          <w:b/>
          <w:snapToGrid w:val="0"/>
          <w:sz w:val="28"/>
          <w:szCs w:val="28"/>
        </w:rPr>
        <w:t xml:space="preserve"> B – výborně minus. </w:t>
      </w:r>
    </w:p>
    <w:p w14:paraId="37704D2B" w14:textId="77777777" w:rsidR="000B38EB" w:rsidRPr="00E96D9F" w:rsidRDefault="000B38EB" w:rsidP="000F0423">
      <w:pPr>
        <w:rPr>
          <w:b/>
          <w:snapToGrid w:val="0"/>
          <w:sz w:val="28"/>
          <w:szCs w:val="28"/>
        </w:rPr>
      </w:pPr>
    </w:p>
    <w:p w14:paraId="50B30202" w14:textId="7EA53624" w:rsidR="00780D95" w:rsidRDefault="000F0423" w:rsidP="000F0423">
      <w:pPr>
        <w:rPr>
          <w:b/>
          <w:snapToGrid w:val="0"/>
          <w:sz w:val="28"/>
          <w:szCs w:val="28"/>
        </w:rPr>
      </w:pPr>
      <w:r w:rsidRPr="000F0423">
        <w:rPr>
          <w:bCs/>
          <w:snapToGrid w:val="0"/>
          <w:sz w:val="28"/>
          <w:szCs w:val="28"/>
        </w:rPr>
        <w:t>Pardubice 30. července 2024</w:t>
      </w:r>
      <w:r w:rsidR="00780D95" w:rsidRPr="00E96D9F">
        <w:rPr>
          <w:b/>
          <w:snapToGrid w:val="0"/>
          <w:sz w:val="28"/>
          <w:szCs w:val="28"/>
        </w:rPr>
        <w:t xml:space="preserve">                                                   </w:t>
      </w:r>
    </w:p>
    <w:p w14:paraId="5E3CF432" w14:textId="77777777" w:rsidR="000F0423" w:rsidRDefault="000F0423" w:rsidP="000F0423">
      <w:pPr>
        <w:rPr>
          <w:b/>
          <w:snapToGrid w:val="0"/>
          <w:sz w:val="28"/>
          <w:szCs w:val="28"/>
        </w:rPr>
      </w:pPr>
    </w:p>
    <w:p w14:paraId="01E7D3E0" w14:textId="00C8A958" w:rsidR="000F0423" w:rsidRPr="000F0423" w:rsidRDefault="000F0423" w:rsidP="000F0423">
      <w:pPr>
        <w:ind w:left="4320" w:firstLine="720"/>
        <w:rPr>
          <w:bCs/>
          <w:sz w:val="28"/>
          <w:szCs w:val="28"/>
        </w:rPr>
      </w:pPr>
      <w:r w:rsidRPr="000F0423">
        <w:rPr>
          <w:bCs/>
          <w:snapToGrid w:val="0"/>
          <w:sz w:val="28"/>
          <w:szCs w:val="28"/>
        </w:rPr>
        <w:t>doc. PhDr. Tomáš Jiránek, Ph.D.</w:t>
      </w:r>
    </w:p>
    <w:sectPr w:rsidR="000F0423" w:rsidRPr="000F0423" w:rsidSect="00E96D9F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E35"/>
    <w:rsid w:val="000B38EB"/>
    <w:rsid w:val="000D568F"/>
    <w:rsid w:val="000F0423"/>
    <w:rsid w:val="001A7C8F"/>
    <w:rsid w:val="001E0287"/>
    <w:rsid w:val="001E5E3E"/>
    <w:rsid w:val="001F5AE8"/>
    <w:rsid w:val="00253AF6"/>
    <w:rsid w:val="003F36EE"/>
    <w:rsid w:val="00464E35"/>
    <w:rsid w:val="00497112"/>
    <w:rsid w:val="004C3651"/>
    <w:rsid w:val="0051073B"/>
    <w:rsid w:val="00576743"/>
    <w:rsid w:val="00576DFC"/>
    <w:rsid w:val="005F4A11"/>
    <w:rsid w:val="00780D95"/>
    <w:rsid w:val="007D6E5A"/>
    <w:rsid w:val="0080546E"/>
    <w:rsid w:val="0080782A"/>
    <w:rsid w:val="008123DD"/>
    <w:rsid w:val="009B41C0"/>
    <w:rsid w:val="00A32419"/>
    <w:rsid w:val="00A86B39"/>
    <w:rsid w:val="00AF4456"/>
    <w:rsid w:val="00BA61E6"/>
    <w:rsid w:val="00D21B26"/>
    <w:rsid w:val="00DA33B3"/>
    <w:rsid w:val="00E96D9F"/>
    <w:rsid w:val="00F54094"/>
    <w:rsid w:val="00F957F9"/>
    <w:rsid w:val="00FA1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379977"/>
  <w15:chartTrackingRefBased/>
  <w15:docId w15:val="{EFFBB3DD-C659-4A10-8815-351542CCB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790</Words>
  <Characters>4665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5445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2</cp:revision>
  <cp:lastPrinted>2024-07-30T11:15:00Z</cp:lastPrinted>
  <dcterms:created xsi:type="dcterms:W3CDTF">2024-07-30T11:16:00Z</dcterms:created>
  <dcterms:modified xsi:type="dcterms:W3CDTF">2024-07-30T11:16:00Z</dcterms:modified>
</cp:coreProperties>
</file>