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4FD" w:rsidRDefault="000044FD" w:rsidP="000044FD">
      <w:pPr>
        <w:ind w:left="-851" w:hanging="142"/>
        <w:jc w:val="center"/>
        <w:rPr>
          <w:sz w:val="22"/>
          <w:szCs w:val="22"/>
        </w:rPr>
      </w:pPr>
      <w:r>
        <w:rPr>
          <w:sz w:val="22"/>
          <w:szCs w:val="22"/>
        </w:rPr>
        <w:t>Univerzita Pardubice – Fakulta filozofická – KLKS</w:t>
      </w:r>
    </w:p>
    <w:p w:rsidR="000044FD" w:rsidRDefault="000044FD" w:rsidP="000044FD"/>
    <w:p w:rsidR="000044FD" w:rsidRDefault="000044FD" w:rsidP="000044FD">
      <w:pPr>
        <w:snapToGrid w:val="0"/>
        <w:rPr>
          <w:b/>
          <w:bCs/>
          <w:sz w:val="22"/>
          <w:szCs w:val="22"/>
        </w:rPr>
      </w:pPr>
      <w:r>
        <w:rPr>
          <w:b/>
          <w:bCs/>
          <w:sz w:val="22"/>
          <w:szCs w:val="22"/>
        </w:rPr>
        <w:t>Posudek oponenta bakalářské práce – akademický rok 2015/2016</w:t>
      </w:r>
    </w:p>
    <w:p w:rsidR="000044FD" w:rsidRDefault="000044FD" w:rsidP="000044FD"/>
    <w:p w:rsidR="000044FD" w:rsidRDefault="000044FD" w:rsidP="000044FD">
      <w:pPr>
        <w:snapToGrid w:val="0"/>
        <w:spacing w:line="360" w:lineRule="auto"/>
        <w:rPr>
          <w:sz w:val="22"/>
          <w:szCs w:val="22"/>
        </w:rPr>
      </w:pPr>
      <w:r>
        <w:rPr>
          <w:sz w:val="22"/>
          <w:szCs w:val="22"/>
        </w:rPr>
        <w:t xml:space="preserve">Autor práce: </w:t>
      </w:r>
      <w:r w:rsidR="00AA2A17">
        <w:rPr>
          <w:sz w:val="22"/>
          <w:szCs w:val="22"/>
        </w:rPr>
        <w:t>Renáta Bednářová</w:t>
      </w:r>
    </w:p>
    <w:p w:rsidR="000044FD" w:rsidRDefault="000044FD" w:rsidP="000044FD">
      <w:pPr>
        <w:spacing w:line="360" w:lineRule="auto"/>
        <w:rPr>
          <w:sz w:val="22"/>
          <w:szCs w:val="22"/>
        </w:rPr>
      </w:pPr>
      <w:r>
        <w:rPr>
          <w:sz w:val="22"/>
          <w:szCs w:val="22"/>
        </w:rPr>
        <w:t xml:space="preserve">Studijní obor: </w:t>
      </w:r>
      <w:r w:rsidRPr="003172F4">
        <w:rPr>
          <w:b/>
          <w:sz w:val="22"/>
          <w:szCs w:val="22"/>
        </w:rPr>
        <w:t>Historicko-literární studia</w:t>
      </w:r>
    </w:p>
    <w:p w:rsidR="000044FD" w:rsidRDefault="000044FD" w:rsidP="000044FD">
      <w:pPr>
        <w:spacing w:line="360" w:lineRule="auto"/>
        <w:rPr>
          <w:sz w:val="22"/>
          <w:szCs w:val="22"/>
        </w:rPr>
      </w:pPr>
      <w:r>
        <w:rPr>
          <w:sz w:val="22"/>
          <w:szCs w:val="22"/>
        </w:rPr>
        <w:t xml:space="preserve">Název práce: </w:t>
      </w:r>
      <w:r w:rsidR="00AA2A17">
        <w:rPr>
          <w:sz w:val="22"/>
          <w:szCs w:val="22"/>
        </w:rPr>
        <w:t>Proměny dětského hrdiny ve vybraných prózách české literatury pro dospělé po roce 1989</w:t>
      </w:r>
    </w:p>
    <w:p w:rsidR="000044FD" w:rsidRDefault="000044FD" w:rsidP="000044FD">
      <w:pPr>
        <w:spacing w:line="360" w:lineRule="auto"/>
        <w:rPr>
          <w:sz w:val="22"/>
          <w:szCs w:val="22"/>
        </w:rPr>
      </w:pPr>
      <w:r>
        <w:rPr>
          <w:sz w:val="22"/>
          <w:szCs w:val="22"/>
        </w:rPr>
        <w:t xml:space="preserve">Vedoucí práce: </w:t>
      </w:r>
      <w:r w:rsidR="00AA2A17">
        <w:rPr>
          <w:sz w:val="22"/>
          <w:szCs w:val="22"/>
        </w:rPr>
        <w:t>doc. Mgr. Radek Malý, Ph.D.</w:t>
      </w:r>
    </w:p>
    <w:p w:rsidR="000044FD" w:rsidRDefault="000044FD" w:rsidP="000044FD">
      <w:pPr>
        <w:pBdr>
          <w:bottom w:val="single" w:sz="12" w:space="1" w:color="auto"/>
        </w:pBdr>
        <w:spacing w:line="360" w:lineRule="auto"/>
        <w:rPr>
          <w:sz w:val="22"/>
          <w:szCs w:val="22"/>
        </w:rPr>
      </w:pPr>
    </w:p>
    <w:p w:rsidR="000044FD" w:rsidRDefault="000044FD" w:rsidP="000044FD">
      <w:pPr>
        <w:rPr>
          <w:sz w:val="22"/>
          <w:szCs w:val="22"/>
        </w:rPr>
      </w:pPr>
    </w:p>
    <w:p w:rsidR="000044FD" w:rsidRDefault="000044FD" w:rsidP="000044FD">
      <w:pPr>
        <w:rPr>
          <w:sz w:val="22"/>
          <w:szCs w:val="22"/>
        </w:rPr>
      </w:pPr>
      <w:r>
        <w:rPr>
          <w:b/>
          <w:bCs/>
          <w:sz w:val="22"/>
          <w:szCs w:val="22"/>
        </w:rPr>
        <w:t>I. Formulace cílů práce, metodologie</w:t>
      </w:r>
      <w:r>
        <w:rPr>
          <w:sz w:val="22"/>
          <w:szCs w:val="22"/>
        </w:rPr>
        <w:t xml:space="preserve"> </w:t>
      </w:r>
    </w:p>
    <w:p w:rsidR="000044FD" w:rsidRDefault="000044FD" w:rsidP="000044FD">
      <w:pPr>
        <w:rPr>
          <w:sz w:val="22"/>
          <w:szCs w:val="22"/>
        </w:rPr>
      </w:pPr>
      <w:r>
        <w:rPr>
          <w:sz w:val="22"/>
          <w:szCs w:val="22"/>
        </w:rPr>
        <w:t>(adekvátnost formulace cílů, vymezení tématu odpovídající rozsahu BP, adekvátnost zvolené metodologie)</w:t>
      </w:r>
    </w:p>
    <w:p w:rsidR="000044FD" w:rsidRDefault="000044FD" w:rsidP="000044FD">
      <w:pPr>
        <w:rPr>
          <w:sz w:val="22"/>
          <w:szCs w:val="22"/>
        </w:rPr>
      </w:pPr>
    </w:p>
    <w:p w:rsidR="000044FD" w:rsidRDefault="000A2955" w:rsidP="000044FD">
      <w:pPr>
        <w:tabs>
          <w:tab w:val="left" w:pos="10928"/>
        </w:tabs>
        <w:ind w:left="-211" w:firstLine="211"/>
        <w:jc w:val="both"/>
        <w:rPr>
          <w:sz w:val="22"/>
          <w:szCs w:val="22"/>
        </w:rPr>
      </w:pPr>
      <w:r>
        <w:rPr>
          <w:sz w:val="22"/>
          <w:szCs w:val="22"/>
        </w:rPr>
        <w:t>Vedení práce Renáty Bednářové jsem převzal po doc. Vladimíru Novotném a musím konstatovat, že jsem tomu rád. Téma práce není nezajímavé, cíle jsou formulované adekvátně, i metodologie je zvolená vhodně. Dětští hrdinové se v současné české próze psané ženami skutečně vyskytují poměrně často a je rozhodně zajímavé podívat se na ně so</w:t>
      </w:r>
      <w:r w:rsidR="004672D2">
        <w:rPr>
          <w:sz w:val="22"/>
          <w:szCs w:val="22"/>
        </w:rPr>
        <w:t>u</w:t>
      </w:r>
      <w:r>
        <w:rPr>
          <w:sz w:val="22"/>
          <w:szCs w:val="22"/>
        </w:rPr>
        <w:t>hrnně odborným pohledem.</w:t>
      </w:r>
      <w:r w:rsidR="000044FD">
        <w:rPr>
          <w:sz w:val="22"/>
          <w:szCs w:val="22"/>
        </w:rPr>
        <w:t xml:space="preserve"> </w:t>
      </w:r>
    </w:p>
    <w:p w:rsidR="000044FD" w:rsidRDefault="000044FD" w:rsidP="000044FD">
      <w:pPr>
        <w:rPr>
          <w:sz w:val="22"/>
          <w:szCs w:val="22"/>
        </w:rPr>
      </w:pPr>
    </w:p>
    <w:p w:rsidR="000044FD" w:rsidRDefault="000044FD" w:rsidP="000044FD">
      <w:pPr>
        <w:rPr>
          <w:sz w:val="22"/>
          <w:szCs w:val="22"/>
        </w:rPr>
      </w:pPr>
      <w:r>
        <w:rPr>
          <w:sz w:val="22"/>
          <w:szCs w:val="22"/>
        </w:rPr>
        <w:t>body (0–4)</w:t>
      </w:r>
      <w:r>
        <w:rPr>
          <w:rStyle w:val="Znakapoznpodarou1"/>
          <w:sz w:val="22"/>
          <w:szCs w:val="22"/>
        </w:rPr>
        <w:footnoteReference w:customMarkFollows="1" w:id="1"/>
        <w:t>*</w:t>
      </w:r>
      <w:r>
        <w:rPr>
          <w:sz w:val="22"/>
          <w:szCs w:val="22"/>
        </w:rPr>
        <w:t xml:space="preserve"> </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0044FD" w:rsidTr="00397D64">
        <w:trPr>
          <w:trHeight w:val="276"/>
        </w:trPr>
        <w:tc>
          <w:tcPr>
            <w:tcW w:w="1146" w:type="dxa"/>
            <w:vMerge w:val="restart"/>
            <w:tcBorders>
              <w:top w:val="single" w:sz="2" w:space="0" w:color="000000"/>
              <w:left w:val="single" w:sz="2" w:space="0" w:color="000000"/>
              <w:bottom w:val="single" w:sz="2" w:space="0" w:color="000000"/>
              <w:right w:val="single" w:sz="2" w:space="0" w:color="000000"/>
            </w:tcBorders>
          </w:tcPr>
          <w:p w:rsidR="000044FD" w:rsidRDefault="000A2955" w:rsidP="00397D64">
            <w:pPr>
              <w:pStyle w:val="Obsahtabulky"/>
              <w:snapToGrid w:val="0"/>
              <w:rPr>
                <w:sz w:val="22"/>
                <w:szCs w:val="22"/>
              </w:rPr>
            </w:pPr>
            <w:r>
              <w:rPr>
                <w:sz w:val="22"/>
                <w:szCs w:val="22"/>
              </w:rPr>
              <w:t>4</w:t>
            </w:r>
          </w:p>
        </w:tc>
      </w:tr>
    </w:tbl>
    <w:p w:rsidR="000044FD" w:rsidRDefault="000044FD" w:rsidP="000044FD">
      <w:pPr>
        <w:rPr>
          <w:sz w:val="22"/>
          <w:szCs w:val="22"/>
        </w:rPr>
      </w:pPr>
    </w:p>
    <w:p w:rsidR="000044FD" w:rsidRDefault="000044FD" w:rsidP="000044FD">
      <w:pPr>
        <w:rPr>
          <w:b/>
          <w:bCs/>
          <w:sz w:val="22"/>
          <w:szCs w:val="22"/>
        </w:rPr>
      </w:pPr>
    </w:p>
    <w:p w:rsidR="000044FD" w:rsidRDefault="000044FD" w:rsidP="000044FD">
      <w:pPr>
        <w:rPr>
          <w:sz w:val="22"/>
          <w:szCs w:val="22"/>
        </w:rPr>
      </w:pPr>
      <w:r>
        <w:rPr>
          <w:b/>
          <w:bCs/>
          <w:sz w:val="22"/>
          <w:szCs w:val="22"/>
        </w:rPr>
        <w:t>II. Naplnění stanovených cílů</w:t>
      </w:r>
      <w:r>
        <w:rPr>
          <w:sz w:val="22"/>
          <w:szCs w:val="22"/>
        </w:rPr>
        <w:t xml:space="preserve"> </w:t>
      </w:r>
    </w:p>
    <w:p w:rsidR="000044FD" w:rsidRDefault="000044FD" w:rsidP="000044FD">
      <w:pPr>
        <w:rPr>
          <w:sz w:val="22"/>
          <w:szCs w:val="22"/>
        </w:rPr>
      </w:pPr>
      <w:r>
        <w:rPr>
          <w:sz w:val="22"/>
          <w:szCs w:val="22"/>
        </w:rPr>
        <w:t xml:space="preserve">(odpovídající zpracování a interpretace výsledků, závěry práce, diskuse práce /porovnání výsledků práce s výsledky dosavadních bádání k tématu/, autorský přínos práce) </w:t>
      </w:r>
    </w:p>
    <w:p w:rsidR="000044FD" w:rsidRDefault="000044FD" w:rsidP="000044FD">
      <w:pPr>
        <w:rPr>
          <w:sz w:val="22"/>
          <w:szCs w:val="22"/>
        </w:rPr>
      </w:pPr>
    </w:p>
    <w:p w:rsidR="000044FD" w:rsidRPr="00D127E4" w:rsidRDefault="000A2955" w:rsidP="000044FD">
      <w:pPr>
        <w:jc w:val="both"/>
        <w:rPr>
          <w:sz w:val="22"/>
          <w:szCs w:val="22"/>
        </w:rPr>
      </w:pPr>
      <w:r>
        <w:rPr>
          <w:sz w:val="22"/>
          <w:szCs w:val="22"/>
        </w:rPr>
        <w:t>Dá</w:t>
      </w:r>
      <w:r w:rsidR="004672D2">
        <w:rPr>
          <w:sz w:val="22"/>
          <w:szCs w:val="22"/>
        </w:rPr>
        <w:t xml:space="preserve"> </w:t>
      </w:r>
      <w:r>
        <w:rPr>
          <w:sz w:val="22"/>
          <w:szCs w:val="22"/>
        </w:rPr>
        <w:t xml:space="preserve">se říci, že cíle </w:t>
      </w:r>
      <w:r w:rsidR="00115D3A">
        <w:rPr>
          <w:sz w:val="22"/>
          <w:szCs w:val="22"/>
        </w:rPr>
        <w:t xml:space="preserve">práce </w:t>
      </w:r>
      <w:r>
        <w:rPr>
          <w:sz w:val="22"/>
          <w:szCs w:val="22"/>
        </w:rPr>
        <w:t>byly v zása</w:t>
      </w:r>
      <w:r w:rsidR="004672D2">
        <w:rPr>
          <w:sz w:val="22"/>
          <w:szCs w:val="22"/>
        </w:rPr>
        <w:t>d</w:t>
      </w:r>
      <w:r>
        <w:rPr>
          <w:sz w:val="22"/>
          <w:szCs w:val="22"/>
        </w:rPr>
        <w:t xml:space="preserve">ě naplněny, ale domnívám se, že zdaleka nebyl využit potenciál, který práce měla. Výmluvná je v tomto ohledu předposlední věta celé práce, cit.: „U dětských </w:t>
      </w:r>
      <w:r w:rsidR="00115D3A">
        <w:rPr>
          <w:sz w:val="22"/>
          <w:szCs w:val="22"/>
        </w:rPr>
        <w:t xml:space="preserve">hrdinů </w:t>
      </w:r>
      <w:r>
        <w:rPr>
          <w:sz w:val="22"/>
          <w:szCs w:val="22"/>
        </w:rPr>
        <w:t>se tedy objevily jak stejné, tak odlišné funkce.“</w:t>
      </w:r>
      <w:r w:rsidR="00061879">
        <w:rPr>
          <w:sz w:val="22"/>
          <w:szCs w:val="22"/>
        </w:rPr>
        <w:t xml:space="preserve"> </w:t>
      </w:r>
      <w:r w:rsidR="004672D2">
        <w:rPr>
          <w:sz w:val="22"/>
          <w:szCs w:val="22"/>
        </w:rPr>
        <w:t xml:space="preserve">Myslím, že tady by závěr teprve měl začít, od tohoto bodu se lze odrazit a pokusit se o zevrubnější typologii dětských hrdinů. </w:t>
      </w:r>
      <w:r w:rsidR="00115D3A">
        <w:rPr>
          <w:sz w:val="22"/>
          <w:szCs w:val="22"/>
        </w:rPr>
        <w:t>V tomto ohledu považuji závěr za nejslabší místo celé práce.</w:t>
      </w:r>
    </w:p>
    <w:p w:rsidR="000044FD" w:rsidRDefault="000044FD" w:rsidP="000044FD">
      <w:pPr>
        <w:rPr>
          <w:sz w:val="22"/>
          <w:szCs w:val="22"/>
        </w:rPr>
      </w:pPr>
    </w:p>
    <w:p w:rsidR="000044FD" w:rsidRDefault="000044FD" w:rsidP="000044FD">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0044FD" w:rsidTr="00397D64">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0044FD" w:rsidRDefault="000A2955" w:rsidP="00397D64">
            <w:pPr>
              <w:pStyle w:val="Obsahtabulky"/>
              <w:snapToGrid w:val="0"/>
              <w:rPr>
                <w:sz w:val="22"/>
                <w:szCs w:val="22"/>
              </w:rPr>
            </w:pPr>
            <w:r>
              <w:rPr>
                <w:sz w:val="22"/>
                <w:szCs w:val="22"/>
              </w:rPr>
              <w:t>2</w:t>
            </w:r>
          </w:p>
        </w:tc>
      </w:tr>
    </w:tbl>
    <w:p w:rsidR="000044FD" w:rsidRDefault="000044FD" w:rsidP="000044FD"/>
    <w:p w:rsidR="000044FD" w:rsidRDefault="000044FD" w:rsidP="000044FD">
      <w:pPr>
        <w:ind w:left="-720"/>
        <w:rPr>
          <w:sz w:val="22"/>
          <w:szCs w:val="22"/>
        </w:rPr>
      </w:pPr>
    </w:p>
    <w:p w:rsidR="000044FD" w:rsidRDefault="000044FD" w:rsidP="000044FD">
      <w:pPr>
        <w:rPr>
          <w:sz w:val="22"/>
          <w:szCs w:val="22"/>
        </w:rPr>
      </w:pPr>
      <w:r>
        <w:rPr>
          <w:b/>
          <w:bCs/>
          <w:sz w:val="22"/>
          <w:szCs w:val="22"/>
        </w:rPr>
        <w:t>III. Obsahové zpracování, přístup k řešení, řešení dílčích problémů</w:t>
      </w:r>
      <w:r>
        <w:rPr>
          <w:sz w:val="22"/>
          <w:szCs w:val="22"/>
        </w:rPr>
        <w:t xml:space="preserve"> </w:t>
      </w:r>
    </w:p>
    <w:p w:rsidR="000044FD" w:rsidRDefault="000044FD" w:rsidP="000044FD">
      <w:pPr>
        <w:rPr>
          <w:sz w:val="22"/>
          <w:szCs w:val="22"/>
        </w:rPr>
      </w:pPr>
      <w:r>
        <w:rPr>
          <w:sz w:val="22"/>
          <w:szCs w:val="22"/>
        </w:rPr>
        <w:t xml:space="preserve">(struktura a </w:t>
      </w:r>
      <w:proofErr w:type="spellStart"/>
      <w:r>
        <w:rPr>
          <w:sz w:val="22"/>
          <w:szCs w:val="22"/>
        </w:rPr>
        <w:t>koheznost</w:t>
      </w:r>
      <w:proofErr w:type="spellEnd"/>
      <w:r>
        <w:rPr>
          <w:sz w:val="22"/>
          <w:szCs w:val="22"/>
        </w:rPr>
        <w:t xml:space="preserve"> práce, vhled do problematiky, využití relevantních odborných zdrojů, adekvátní pojmový aparát, praktická aplikace teoretického rámce, samostatnost zpracování)</w:t>
      </w:r>
    </w:p>
    <w:p w:rsidR="000044FD" w:rsidRDefault="000044FD" w:rsidP="000044FD">
      <w:pPr>
        <w:rPr>
          <w:sz w:val="22"/>
          <w:szCs w:val="22"/>
        </w:rPr>
      </w:pPr>
    </w:p>
    <w:p w:rsidR="000044FD" w:rsidRDefault="004672D2" w:rsidP="00676992">
      <w:pPr>
        <w:jc w:val="both"/>
        <w:rPr>
          <w:sz w:val="22"/>
          <w:szCs w:val="22"/>
        </w:rPr>
      </w:pPr>
      <w:r>
        <w:rPr>
          <w:sz w:val="22"/>
          <w:szCs w:val="22"/>
        </w:rPr>
        <w:t>Přes poměrně mechanický postup v průběhu práce autorka dospěla k </w:t>
      </w:r>
      <w:r w:rsidR="00115D3A">
        <w:rPr>
          <w:sz w:val="22"/>
          <w:szCs w:val="22"/>
        </w:rPr>
        <w:t>relativně</w:t>
      </w:r>
      <w:r>
        <w:rPr>
          <w:sz w:val="22"/>
          <w:szCs w:val="22"/>
        </w:rPr>
        <w:t xml:space="preserve"> zajímavým dílčím výsledkům.</w:t>
      </w:r>
      <w:r w:rsidR="00486CB0">
        <w:rPr>
          <w:sz w:val="22"/>
          <w:szCs w:val="22"/>
        </w:rPr>
        <w:t xml:space="preserve"> Pojmový aparát je adekvátní, jen u oddílu věnovanému narativním způsobům ve vypravování a fikčnímu světu postav jsem měl dojem, že je do práce vsazen spíše účelově a uměle; potenciál těchto teoretických postulátů není plně využit. Je ovšem škoda, že autorka práce v samotné finální části pracovala narychlo: v práci tak zůstali zbytečné chyby, na něž jsem upozorňoval, např. na </w:t>
      </w:r>
      <w:r w:rsidR="00486CB0">
        <w:rPr>
          <w:sz w:val="22"/>
          <w:szCs w:val="22"/>
        </w:rPr>
        <w:lastRenderedPageBreak/>
        <w:t xml:space="preserve">s. 23, kde se v souvislosti s Douskové </w:t>
      </w:r>
      <w:r w:rsidR="00676992">
        <w:rPr>
          <w:sz w:val="22"/>
          <w:szCs w:val="22"/>
        </w:rPr>
        <w:t>debutem mluví o pražské imagi</w:t>
      </w:r>
      <w:r w:rsidR="00486CB0">
        <w:rPr>
          <w:sz w:val="22"/>
          <w:szCs w:val="22"/>
        </w:rPr>
        <w:t>naci, ačkoli se nej</w:t>
      </w:r>
      <w:r w:rsidR="00676992">
        <w:rPr>
          <w:sz w:val="22"/>
          <w:szCs w:val="22"/>
        </w:rPr>
        <w:t>e</w:t>
      </w:r>
      <w:r w:rsidR="00486CB0">
        <w:rPr>
          <w:sz w:val="22"/>
          <w:szCs w:val="22"/>
        </w:rPr>
        <w:t xml:space="preserve">dná o název sbírky, nýbrž o nakladatelství. </w:t>
      </w:r>
      <w:r w:rsidR="00676992">
        <w:rPr>
          <w:sz w:val="22"/>
          <w:szCs w:val="22"/>
        </w:rPr>
        <w:t>Stejně tak na s. 7 se o někdejším šéfredaktorovi Literárních novin píše jako o Janu Patočkovi, ačkoli se jedná o Jakuba.</w:t>
      </w:r>
    </w:p>
    <w:p w:rsidR="00486CB0" w:rsidRDefault="00486CB0" w:rsidP="00486CB0">
      <w:pPr>
        <w:rPr>
          <w:sz w:val="22"/>
          <w:szCs w:val="22"/>
        </w:rPr>
      </w:pPr>
      <w:bookmarkStart w:id="0" w:name="_GoBack"/>
      <w:bookmarkEnd w:id="0"/>
    </w:p>
    <w:p w:rsidR="000044FD" w:rsidRDefault="000044FD" w:rsidP="000044FD">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0044FD" w:rsidTr="00397D64">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0044FD" w:rsidRDefault="00676992" w:rsidP="00397D64">
            <w:pPr>
              <w:pStyle w:val="Obsahtabulky"/>
              <w:snapToGrid w:val="0"/>
              <w:rPr>
                <w:sz w:val="22"/>
                <w:szCs w:val="22"/>
              </w:rPr>
            </w:pPr>
            <w:r>
              <w:rPr>
                <w:sz w:val="22"/>
                <w:szCs w:val="22"/>
              </w:rPr>
              <w:t>3</w:t>
            </w:r>
          </w:p>
        </w:tc>
      </w:tr>
    </w:tbl>
    <w:p w:rsidR="000044FD" w:rsidRDefault="000044FD" w:rsidP="000044FD">
      <w:pPr>
        <w:rPr>
          <w:b/>
          <w:bCs/>
          <w:sz w:val="22"/>
          <w:szCs w:val="22"/>
        </w:rPr>
      </w:pPr>
    </w:p>
    <w:p w:rsidR="000044FD" w:rsidRDefault="000044FD" w:rsidP="000044FD">
      <w:pPr>
        <w:rPr>
          <w:sz w:val="22"/>
          <w:szCs w:val="22"/>
        </w:rPr>
      </w:pPr>
      <w:r>
        <w:rPr>
          <w:b/>
          <w:bCs/>
          <w:sz w:val="22"/>
          <w:szCs w:val="22"/>
        </w:rPr>
        <w:t>IV. Formální náležitosti práce a její úprava</w:t>
      </w:r>
      <w:r>
        <w:rPr>
          <w:sz w:val="22"/>
          <w:szCs w:val="22"/>
        </w:rPr>
        <w:t xml:space="preserve"> </w:t>
      </w:r>
    </w:p>
    <w:p w:rsidR="000044FD" w:rsidRDefault="000044FD" w:rsidP="000044FD">
      <w:pPr>
        <w:rPr>
          <w:sz w:val="22"/>
          <w:szCs w:val="22"/>
        </w:rPr>
      </w:pPr>
      <w:r>
        <w:rPr>
          <w:sz w:val="22"/>
          <w:szCs w:val="22"/>
        </w:rPr>
        <w:t xml:space="preserve">(jazyková a stylistická úroveň, grafická úprava, dodržení příslušných citačních norem) </w:t>
      </w:r>
    </w:p>
    <w:p w:rsidR="000044FD" w:rsidRDefault="000044FD" w:rsidP="000044FD">
      <w:pPr>
        <w:rPr>
          <w:sz w:val="22"/>
          <w:szCs w:val="22"/>
        </w:rPr>
      </w:pPr>
    </w:p>
    <w:p w:rsidR="00FD4124" w:rsidRDefault="00FD4124" w:rsidP="00FD4124">
      <w:pPr>
        <w:jc w:val="both"/>
        <w:rPr>
          <w:sz w:val="22"/>
          <w:szCs w:val="22"/>
        </w:rPr>
      </w:pPr>
      <w:r>
        <w:rPr>
          <w:sz w:val="22"/>
          <w:szCs w:val="22"/>
        </w:rPr>
        <w:t>Ve finální podobě práce je k mému milému překvapení mnohem méně stylistických nešvarů a chyb, než kolik se jich vyskytovalo v dílčích částech, které jsem měl možnost průběžně nahlédnout. Přesto se občas objeví chyby v syntaxi</w:t>
      </w:r>
      <w:r w:rsidR="000044FD">
        <w:rPr>
          <w:sz w:val="22"/>
          <w:szCs w:val="22"/>
        </w:rPr>
        <w:t xml:space="preserve">. </w:t>
      </w:r>
      <w:r>
        <w:rPr>
          <w:sz w:val="22"/>
          <w:szCs w:val="22"/>
        </w:rPr>
        <w:t>Politováníhodný překlep se dostal do obsahu, a tím pádem i do titulu celé čtvrté kapitoly: autorka práce přejmenovala zásadní dílo Ireny Douskové jako HRDÝ BUDŽEŠ. Citační normy jsou dodrženy.</w:t>
      </w:r>
    </w:p>
    <w:p w:rsidR="000044FD" w:rsidRDefault="000044FD" w:rsidP="000044FD">
      <w:pPr>
        <w:rPr>
          <w:sz w:val="22"/>
          <w:szCs w:val="22"/>
        </w:rPr>
      </w:pPr>
    </w:p>
    <w:p w:rsidR="000044FD" w:rsidRDefault="000044FD" w:rsidP="000044FD">
      <w:pPr>
        <w:rPr>
          <w:sz w:val="22"/>
          <w:szCs w:val="22"/>
        </w:rPr>
      </w:pPr>
      <w:r>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0044FD" w:rsidTr="00397D64">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0044FD" w:rsidRDefault="00FD4124" w:rsidP="00397D64">
            <w:pPr>
              <w:pStyle w:val="Obsahtabulky"/>
              <w:snapToGrid w:val="0"/>
              <w:rPr>
                <w:sz w:val="22"/>
                <w:szCs w:val="22"/>
              </w:rPr>
            </w:pPr>
            <w:r>
              <w:rPr>
                <w:sz w:val="22"/>
                <w:szCs w:val="22"/>
              </w:rPr>
              <w:t>3</w:t>
            </w:r>
          </w:p>
        </w:tc>
      </w:tr>
    </w:tbl>
    <w:p w:rsidR="000044FD" w:rsidRDefault="000044FD" w:rsidP="000044FD"/>
    <w:p w:rsidR="000044FD" w:rsidRDefault="000044FD" w:rsidP="000044FD">
      <w:pPr>
        <w:rPr>
          <w:b/>
          <w:bCs/>
          <w:sz w:val="22"/>
          <w:szCs w:val="22"/>
        </w:rPr>
      </w:pPr>
    </w:p>
    <w:p w:rsidR="000044FD" w:rsidRDefault="000044FD" w:rsidP="000044FD">
      <w:pPr>
        <w:rPr>
          <w:sz w:val="22"/>
          <w:szCs w:val="22"/>
        </w:rPr>
      </w:pPr>
      <w:r>
        <w:rPr>
          <w:b/>
          <w:bCs/>
          <w:sz w:val="22"/>
          <w:szCs w:val="22"/>
        </w:rPr>
        <w:t>V. Otázky doporučené k rozpravě při obhajobě</w:t>
      </w:r>
      <w:r>
        <w:rPr>
          <w:sz w:val="22"/>
          <w:szCs w:val="22"/>
        </w:rPr>
        <w:t xml:space="preserve"> </w:t>
      </w:r>
    </w:p>
    <w:p w:rsidR="000044FD" w:rsidRDefault="000044FD" w:rsidP="000044FD">
      <w:pPr>
        <w:rPr>
          <w:sz w:val="22"/>
          <w:szCs w:val="22"/>
        </w:rPr>
      </w:pPr>
      <w:r>
        <w:rPr>
          <w:sz w:val="22"/>
          <w:szCs w:val="22"/>
        </w:rPr>
        <w:t xml:space="preserve">1.  Prosím o vysvětlení </w:t>
      </w:r>
      <w:r w:rsidR="00C449E7">
        <w:rPr>
          <w:sz w:val="22"/>
          <w:szCs w:val="22"/>
        </w:rPr>
        <w:t>pojmu „leitmotiv“ zejména ve srovnání s pojmem „motiv“ (viz s. 40). Jaké jsou leitmotivy jednotlivých autorek?</w:t>
      </w:r>
    </w:p>
    <w:p w:rsidR="000044FD" w:rsidRDefault="000044FD" w:rsidP="000044FD">
      <w:pPr>
        <w:rPr>
          <w:sz w:val="22"/>
          <w:szCs w:val="22"/>
        </w:rPr>
      </w:pPr>
    </w:p>
    <w:p w:rsidR="000044FD" w:rsidRDefault="000044FD" w:rsidP="000044FD">
      <w:pPr>
        <w:rPr>
          <w:sz w:val="22"/>
          <w:szCs w:val="22"/>
        </w:rPr>
      </w:pPr>
      <w:r>
        <w:rPr>
          <w:sz w:val="22"/>
          <w:szCs w:val="22"/>
        </w:rPr>
        <w:t xml:space="preserve">2. </w:t>
      </w:r>
      <w:r w:rsidR="00C449E7">
        <w:rPr>
          <w:sz w:val="22"/>
          <w:szCs w:val="22"/>
        </w:rPr>
        <w:t>Na s. 9 autorka práce cituje názor Lubomíra Machaly, že cit. „není důležité, jestli je kniha psaná mužem nebo ženou, protože literatura je jenom jedna. Naopak analyzovat knihu dle toho, zda byla napsaná ženou nebo mužem, by mohlo být diskriminační.“ Souhlasí autorka práce s tímto výrokem? Je u analyzovaných autorek genderové hledisko adekvátní?</w:t>
      </w:r>
    </w:p>
    <w:p w:rsidR="000044FD" w:rsidRDefault="000044FD" w:rsidP="000044FD">
      <w:pPr>
        <w:rPr>
          <w:sz w:val="22"/>
          <w:szCs w:val="22"/>
        </w:rPr>
      </w:pPr>
    </w:p>
    <w:p w:rsidR="000044FD" w:rsidRDefault="000044FD" w:rsidP="000044FD">
      <w:pPr>
        <w:rPr>
          <w:sz w:val="22"/>
          <w:szCs w:val="22"/>
        </w:rPr>
      </w:pPr>
    </w:p>
    <w:p w:rsidR="000044FD" w:rsidRDefault="000044FD" w:rsidP="000044FD">
      <w:pPr>
        <w:rPr>
          <w:sz w:val="22"/>
          <w:szCs w:val="22"/>
        </w:rPr>
      </w:pPr>
      <w:r>
        <w:rPr>
          <w:b/>
          <w:bCs/>
          <w:sz w:val="22"/>
          <w:szCs w:val="22"/>
        </w:rPr>
        <w:t>VI. Celkové hodnocení</w:t>
      </w:r>
      <w:r>
        <w:rPr>
          <w:sz w:val="22"/>
          <w:szCs w:val="22"/>
        </w:rPr>
        <w:t xml:space="preserve"> (doporučení/nedoporučení k obhajobě)</w:t>
      </w:r>
    </w:p>
    <w:p w:rsidR="000044FD" w:rsidRDefault="000044FD" w:rsidP="000044FD">
      <w:pPr>
        <w:rPr>
          <w:sz w:val="22"/>
          <w:szCs w:val="22"/>
        </w:rPr>
      </w:pPr>
    </w:p>
    <w:p w:rsidR="000044FD" w:rsidRDefault="000044FD" w:rsidP="000044FD">
      <w:pPr>
        <w:rPr>
          <w:sz w:val="22"/>
          <w:szCs w:val="22"/>
        </w:rPr>
      </w:pPr>
      <w:r>
        <w:rPr>
          <w:sz w:val="22"/>
          <w:szCs w:val="22"/>
        </w:rPr>
        <w:t xml:space="preserve">Práce </w:t>
      </w:r>
      <w:r w:rsidR="00C449E7">
        <w:rPr>
          <w:sz w:val="22"/>
          <w:szCs w:val="22"/>
        </w:rPr>
        <w:t>Renáty Bednářové</w:t>
      </w:r>
      <w:r>
        <w:rPr>
          <w:sz w:val="22"/>
          <w:szCs w:val="22"/>
        </w:rPr>
        <w:t xml:space="preserve"> splňuje požadavky kladené na bakalářskou práci a </w:t>
      </w:r>
      <w:r w:rsidRPr="00CB265A">
        <w:rPr>
          <w:b/>
          <w:sz w:val="22"/>
          <w:szCs w:val="22"/>
        </w:rPr>
        <w:t>doporučuji ji k obhajobě.</w:t>
      </w:r>
    </w:p>
    <w:p w:rsidR="000044FD" w:rsidRDefault="000044FD" w:rsidP="000044FD">
      <w:pPr>
        <w:rPr>
          <w:sz w:val="22"/>
          <w:szCs w:val="22"/>
        </w:rPr>
      </w:pPr>
    </w:p>
    <w:p w:rsidR="000044FD" w:rsidRDefault="000044FD" w:rsidP="000044FD">
      <w:pPr>
        <w:rPr>
          <w:sz w:val="22"/>
          <w:szCs w:val="22"/>
        </w:rPr>
      </w:pPr>
    </w:p>
    <w:p w:rsidR="00115D3A" w:rsidRDefault="00115D3A" w:rsidP="000044FD">
      <w:pPr>
        <w:rPr>
          <w:sz w:val="22"/>
          <w:szCs w:val="22"/>
        </w:rPr>
      </w:pPr>
    </w:p>
    <w:p w:rsidR="000044FD" w:rsidRDefault="000044FD" w:rsidP="000044FD">
      <w:pPr>
        <w:rPr>
          <w:sz w:val="22"/>
          <w:szCs w:val="22"/>
        </w:rPr>
      </w:pPr>
      <w:r>
        <w:rPr>
          <w:b/>
          <w:bCs/>
          <w:sz w:val="22"/>
          <w:szCs w:val="22"/>
        </w:rPr>
        <w:t>VII. Návrh klasifikace</w:t>
      </w:r>
      <w:r>
        <w:rPr>
          <w:sz w:val="22"/>
          <w:szCs w:val="22"/>
        </w:rPr>
        <w:t xml:space="preserve"> (podle bodového ohodnocení)</w:t>
      </w:r>
    </w:p>
    <w:p w:rsidR="000044FD" w:rsidRDefault="000044FD" w:rsidP="000044FD">
      <w:pPr>
        <w:rPr>
          <w:sz w:val="22"/>
          <w:szCs w:val="22"/>
        </w:rPr>
      </w:pPr>
    </w:p>
    <w:p w:rsidR="000044FD" w:rsidRDefault="00115D3A" w:rsidP="000044FD">
      <w:pPr>
        <w:rPr>
          <w:sz w:val="22"/>
          <w:szCs w:val="22"/>
        </w:rPr>
      </w:pPr>
      <w:r>
        <w:rPr>
          <w:sz w:val="22"/>
          <w:szCs w:val="22"/>
        </w:rPr>
        <w:t>S ohledem na bodové hodnocení (12</w:t>
      </w:r>
      <w:r w:rsidR="000044FD">
        <w:rPr>
          <w:sz w:val="22"/>
          <w:szCs w:val="22"/>
        </w:rPr>
        <w:t xml:space="preserve"> b.) navrhuji klasifikovat </w:t>
      </w:r>
      <w:proofErr w:type="spellStart"/>
      <w:r w:rsidR="000044FD">
        <w:rPr>
          <w:sz w:val="22"/>
          <w:szCs w:val="22"/>
        </w:rPr>
        <w:t>poředloženou</w:t>
      </w:r>
      <w:proofErr w:type="spellEnd"/>
      <w:r w:rsidR="000044FD">
        <w:rPr>
          <w:sz w:val="22"/>
          <w:szCs w:val="22"/>
        </w:rPr>
        <w:t xml:space="preserve"> práci stupněm </w:t>
      </w:r>
      <w:r w:rsidRPr="00115D3A">
        <w:rPr>
          <w:b/>
          <w:sz w:val="22"/>
          <w:szCs w:val="22"/>
        </w:rPr>
        <w:t>velmi</w:t>
      </w:r>
      <w:r>
        <w:rPr>
          <w:sz w:val="22"/>
          <w:szCs w:val="22"/>
        </w:rPr>
        <w:t xml:space="preserve"> </w:t>
      </w:r>
      <w:r w:rsidR="000044FD" w:rsidRPr="00F2163B">
        <w:rPr>
          <w:b/>
          <w:sz w:val="22"/>
          <w:szCs w:val="22"/>
        </w:rPr>
        <w:t>dobře</w:t>
      </w:r>
    </w:p>
    <w:p w:rsidR="000044FD" w:rsidRDefault="000044FD" w:rsidP="000044FD">
      <w:pPr>
        <w:rPr>
          <w:sz w:val="22"/>
          <w:szCs w:val="22"/>
        </w:rPr>
      </w:pPr>
    </w:p>
    <w:p w:rsidR="000044FD" w:rsidRDefault="000044FD" w:rsidP="000044FD">
      <w:pPr>
        <w:rPr>
          <w:sz w:val="22"/>
          <w:szCs w:val="22"/>
        </w:rPr>
      </w:pPr>
    </w:p>
    <w:p w:rsidR="000044FD" w:rsidRDefault="000044FD" w:rsidP="000044FD">
      <w:pPr>
        <w:rPr>
          <w:sz w:val="22"/>
          <w:szCs w:val="22"/>
        </w:rPr>
      </w:pPr>
      <w:r>
        <w:rPr>
          <w:sz w:val="22"/>
          <w:szCs w:val="22"/>
        </w:rPr>
        <w:t xml:space="preserve">datum: </w:t>
      </w:r>
      <w:r w:rsidR="00C449E7">
        <w:rPr>
          <w:sz w:val="22"/>
          <w:szCs w:val="22"/>
        </w:rPr>
        <w:t>16. 4</w:t>
      </w:r>
      <w:r>
        <w:rPr>
          <w:sz w:val="22"/>
          <w:szCs w:val="22"/>
        </w:rPr>
        <w:t>. 2016</w:t>
      </w:r>
    </w:p>
    <w:p w:rsidR="000044FD" w:rsidRDefault="000044FD" w:rsidP="000044FD">
      <w:pPr>
        <w:rPr>
          <w:sz w:val="22"/>
          <w:szCs w:val="22"/>
        </w:rPr>
      </w:pPr>
    </w:p>
    <w:p w:rsidR="00115D3A" w:rsidRDefault="00115D3A" w:rsidP="000044FD">
      <w:pPr>
        <w:rPr>
          <w:sz w:val="22"/>
          <w:szCs w:val="22"/>
        </w:rPr>
      </w:pPr>
    </w:p>
    <w:p w:rsidR="000044FD" w:rsidRDefault="000044FD" w:rsidP="000044FD">
      <w:pPr>
        <w:rPr>
          <w:sz w:val="22"/>
          <w:szCs w:val="22"/>
        </w:rPr>
      </w:pPr>
      <w:r>
        <w:rPr>
          <w:sz w:val="22"/>
          <w:szCs w:val="22"/>
        </w:rPr>
        <w:t>podpis:</w:t>
      </w:r>
    </w:p>
    <w:p w:rsidR="000044FD" w:rsidRDefault="000044FD" w:rsidP="000044FD">
      <w:pPr>
        <w:rPr>
          <w:sz w:val="22"/>
          <w:szCs w:val="22"/>
        </w:rPr>
      </w:pPr>
    </w:p>
    <w:p w:rsidR="000044FD" w:rsidRDefault="000044FD" w:rsidP="000044FD">
      <w:pPr>
        <w:rPr>
          <w:sz w:val="22"/>
          <w:szCs w:val="22"/>
        </w:rPr>
      </w:pPr>
      <w:r>
        <w:rPr>
          <w:noProof/>
          <w:lang w:eastAsia="cs-CZ"/>
        </w:rPr>
        <w:drawing>
          <wp:inline distT="0" distB="0" distL="0" distR="0">
            <wp:extent cx="1695450" cy="447675"/>
            <wp:effectExtent l="0" t="0" r="0" b="9525"/>
            <wp:docPr id="1" name="Obrázek 1" descr="E782E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782E31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95450" cy="447675"/>
                    </a:xfrm>
                    <a:prstGeom prst="rect">
                      <a:avLst/>
                    </a:prstGeom>
                    <a:noFill/>
                    <a:ln>
                      <a:noFill/>
                    </a:ln>
                  </pic:spPr>
                </pic:pic>
              </a:graphicData>
            </a:graphic>
          </wp:inline>
        </w:drawing>
      </w:r>
    </w:p>
    <w:p w:rsidR="000044FD" w:rsidRDefault="000044FD" w:rsidP="000044FD">
      <w:pPr>
        <w:rPr>
          <w:sz w:val="22"/>
          <w:szCs w:val="22"/>
        </w:rPr>
      </w:pPr>
      <w:r>
        <w:rPr>
          <w:sz w:val="22"/>
          <w:szCs w:val="22"/>
        </w:rPr>
        <w:t>__________________________________________________________________________________</w:t>
      </w:r>
    </w:p>
    <w:p w:rsidR="000044FD" w:rsidRDefault="000044FD" w:rsidP="000044FD">
      <w:pPr>
        <w:rPr>
          <w:sz w:val="20"/>
          <w:szCs w:val="20"/>
        </w:rPr>
      </w:pPr>
    </w:p>
    <w:p w:rsidR="00115D3A" w:rsidRDefault="00115D3A" w:rsidP="000044FD">
      <w:pPr>
        <w:rPr>
          <w:sz w:val="20"/>
          <w:szCs w:val="20"/>
        </w:rPr>
      </w:pPr>
    </w:p>
    <w:p w:rsidR="00115D3A" w:rsidRDefault="00115D3A" w:rsidP="000044FD">
      <w:pPr>
        <w:rPr>
          <w:sz w:val="20"/>
          <w:szCs w:val="20"/>
        </w:rPr>
      </w:pPr>
    </w:p>
    <w:p w:rsidR="000044FD" w:rsidRDefault="000044FD" w:rsidP="000044FD">
      <w:pPr>
        <w:rPr>
          <w:sz w:val="20"/>
          <w:szCs w:val="20"/>
        </w:rPr>
      </w:pPr>
      <w:r>
        <w:rPr>
          <w:sz w:val="20"/>
          <w:szCs w:val="20"/>
        </w:rPr>
        <w:t xml:space="preserve">Tabulka bodového hodnocení </w:t>
      </w:r>
    </w:p>
    <w:p w:rsidR="000044FD" w:rsidRDefault="000044FD" w:rsidP="000044FD">
      <w:pPr>
        <w:rPr>
          <w:sz w:val="20"/>
          <w:szCs w:val="20"/>
        </w:rPr>
      </w:pPr>
    </w:p>
    <w:tbl>
      <w:tblPr>
        <w:tblW w:w="0" w:type="auto"/>
        <w:tblLayout w:type="fixed"/>
        <w:tblCellMar>
          <w:top w:w="55" w:type="dxa"/>
          <w:left w:w="55" w:type="dxa"/>
          <w:bottom w:w="55" w:type="dxa"/>
          <w:right w:w="55" w:type="dxa"/>
        </w:tblCellMar>
        <w:tblLook w:val="0000" w:firstRow="0" w:lastRow="0" w:firstColumn="0" w:lastColumn="0" w:noHBand="0" w:noVBand="0"/>
      </w:tblPr>
      <w:tblGrid>
        <w:gridCol w:w="853"/>
        <w:gridCol w:w="1092"/>
        <w:gridCol w:w="2221"/>
      </w:tblGrid>
      <w:tr w:rsidR="000044FD" w:rsidTr="00397D64">
        <w:trPr>
          <w:trHeight w:val="276"/>
        </w:trPr>
        <w:tc>
          <w:tcPr>
            <w:tcW w:w="853" w:type="dxa"/>
            <w:vMerge w:val="restart"/>
            <w:tcBorders>
              <w:top w:val="single" w:sz="2" w:space="0" w:color="000000"/>
              <w:left w:val="single" w:sz="2" w:space="0" w:color="000000"/>
              <w:bottom w:val="single" w:sz="2" w:space="0" w:color="000000"/>
              <w:right w:val="nil"/>
            </w:tcBorders>
          </w:tcPr>
          <w:p w:rsidR="000044FD" w:rsidRDefault="000044FD" w:rsidP="00397D64">
            <w:pPr>
              <w:pStyle w:val="Obsahtabulky"/>
              <w:snapToGrid w:val="0"/>
              <w:rPr>
                <w:b/>
                <w:bCs/>
                <w:sz w:val="20"/>
                <w:szCs w:val="20"/>
              </w:rPr>
            </w:pPr>
            <w:r>
              <w:rPr>
                <w:b/>
                <w:bCs/>
                <w:sz w:val="20"/>
                <w:szCs w:val="20"/>
              </w:rPr>
              <w:t>Body</w:t>
            </w:r>
          </w:p>
        </w:tc>
        <w:tc>
          <w:tcPr>
            <w:tcW w:w="1092" w:type="dxa"/>
            <w:vMerge w:val="restart"/>
            <w:tcBorders>
              <w:top w:val="single" w:sz="2" w:space="0" w:color="000000"/>
              <w:left w:val="single" w:sz="2" w:space="0" w:color="000000"/>
              <w:bottom w:val="single" w:sz="2" w:space="0" w:color="000000"/>
              <w:right w:val="nil"/>
            </w:tcBorders>
          </w:tcPr>
          <w:p w:rsidR="000044FD" w:rsidRDefault="000044FD" w:rsidP="00397D64">
            <w:pPr>
              <w:pStyle w:val="Obsahtabulky"/>
              <w:snapToGrid w:val="0"/>
              <w:rPr>
                <w:b/>
                <w:bCs/>
                <w:sz w:val="20"/>
                <w:szCs w:val="20"/>
              </w:rPr>
            </w:pPr>
            <w:r>
              <w:rPr>
                <w:b/>
                <w:bCs/>
                <w:sz w:val="20"/>
                <w:szCs w:val="20"/>
              </w:rPr>
              <w:t>klasifikace</w:t>
            </w:r>
          </w:p>
        </w:tc>
        <w:tc>
          <w:tcPr>
            <w:tcW w:w="2221" w:type="dxa"/>
            <w:vMerge w:val="restart"/>
            <w:tcBorders>
              <w:top w:val="single" w:sz="2" w:space="0" w:color="000000"/>
              <w:left w:val="single" w:sz="2" w:space="0" w:color="000000"/>
              <w:bottom w:val="single" w:sz="2" w:space="0" w:color="000000"/>
              <w:right w:val="single" w:sz="2" w:space="0" w:color="000000"/>
            </w:tcBorders>
          </w:tcPr>
          <w:p w:rsidR="000044FD" w:rsidRDefault="000044FD" w:rsidP="00397D64">
            <w:pPr>
              <w:pStyle w:val="Obsahtabulky"/>
              <w:snapToGrid w:val="0"/>
              <w:rPr>
                <w:b/>
                <w:bCs/>
                <w:sz w:val="20"/>
                <w:szCs w:val="20"/>
              </w:rPr>
            </w:pPr>
            <w:r>
              <w:rPr>
                <w:b/>
                <w:bCs/>
                <w:sz w:val="20"/>
                <w:szCs w:val="20"/>
              </w:rPr>
              <w:t>podmínka</w:t>
            </w:r>
          </w:p>
        </w:tc>
      </w:tr>
      <w:tr w:rsidR="000044FD" w:rsidTr="00397D64">
        <w:trPr>
          <w:trHeight w:val="276"/>
        </w:trPr>
        <w:tc>
          <w:tcPr>
            <w:tcW w:w="853"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14 až 16</w:t>
            </w:r>
          </w:p>
        </w:tc>
        <w:tc>
          <w:tcPr>
            <w:tcW w:w="1092"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výborně</w:t>
            </w:r>
          </w:p>
        </w:tc>
        <w:tc>
          <w:tcPr>
            <w:tcW w:w="2221" w:type="dxa"/>
            <w:vMerge w:val="restart"/>
            <w:tcBorders>
              <w:top w:val="nil"/>
              <w:left w:val="single" w:sz="2" w:space="0" w:color="000000"/>
              <w:bottom w:val="single" w:sz="2" w:space="0" w:color="000000"/>
              <w:right w:val="single" w:sz="2" w:space="0" w:color="000000"/>
            </w:tcBorders>
          </w:tcPr>
          <w:p w:rsidR="000044FD" w:rsidRDefault="000044FD" w:rsidP="00397D64">
            <w:pPr>
              <w:pStyle w:val="Obsahtabulky"/>
              <w:snapToGrid w:val="0"/>
              <w:rPr>
                <w:sz w:val="20"/>
                <w:szCs w:val="20"/>
              </w:rPr>
            </w:pPr>
            <w:r>
              <w:rPr>
                <w:sz w:val="20"/>
                <w:szCs w:val="20"/>
              </w:rPr>
              <w:t>žádná nulová položka</w:t>
            </w:r>
          </w:p>
        </w:tc>
      </w:tr>
      <w:tr w:rsidR="000044FD" w:rsidTr="00397D64">
        <w:trPr>
          <w:trHeight w:val="276"/>
        </w:trPr>
        <w:tc>
          <w:tcPr>
            <w:tcW w:w="853"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11 až 13</w:t>
            </w:r>
          </w:p>
        </w:tc>
        <w:tc>
          <w:tcPr>
            <w:tcW w:w="1092"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velmi dobře</w:t>
            </w:r>
          </w:p>
        </w:tc>
        <w:tc>
          <w:tcPr>
            <w:tcW w:w="2221" w:type="dxa"/>
            <w:vMerge w:val="restart"/>
            <w:tcBorders>
              <w:top w:val="nil"/>
              <w:left w:val="single" w:sz="2" w:space="0" w:color="000000"/>
              <w:bottom w:val="single" w:sz="2" w:space="0" w:color="000000"/>
              <w:right w:val="single" w:sz="2" w:space="0" w:color="000000"/>
            </w:tcBorders>
          </w:tcPr>
          <w:p w:rsidR="000044FD" w:rsidRDefault="000044FD" w:rsidP="00397D64">
            <w:pPr>
              <w:pStyle w:val="Obsahtabulky"/>
              <w:snapToGrid w:val="0"/>
              <w:rPr>
                <w:sz w:val="20"/>
                <w:szCs w:val="20"/>
              </w:rPr>
            </w:pPr>
            <w:r>
              <w:rPr>
                <w:sz w:val="20"/>
                <w:szCs w:val="20"/>
              </w:rPr>
              <w:t>žádná nulová položka</w:t>
            </w:r>
          </w:p>
        </w:tc>
      </w:tr>
      <w:tr w:rsidR="000044FD" w:rsidTr="00397D64">
        <w:trPr>
          <w:trHeight w:val="276"/>
        </w:trPr>
        <w:tc>
          <w:tcPr>
            <w:tcW w:w="853"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5 až 10</w:t>
            </w:r>
          </w:p>
        </w:tc>
        <w:tc>
          <w:tcPr>
            <w:tcW w:w="1092"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dobře</w:t>
            </w:r>
          </w:p>
        </w:tc>
        <w:tc>
          <w:tcPr>
            <w:tcW w:w="2221" w:type="dxa"/>
            <w:vMerge w:val="restart"/>
            <w:tcBorders>
              <w:top w:val="nil"/>
              <w:left w:val="single" w:sz="2" w:space="0" w:color="000000"/>
              <w:bottom w:val="single" w:sz="2" w:space="0" w:color="000000"/>
              <w:right w:val="single" w:sz="2" w:space="0" w:color="000000"/>
            </w:tcBorders>
          </w:tcPr>
          <w:p w:rsidR="000044FD" w:rsidRDefault="000044FD" w:rsidP="00397D64">
            <w:pPr>
              <w:pStyle w:val="Obsahtabulky"/>
              <w:snapToGrid w:val="0"/>
              <w:rPr>
                <w:sz w:val="20"/>
                <w:szCs w:val="20"/>
              </w:rPr>
            </w:pPr>
            <w:r>
              <w:rPr>
                <w:sz w:val="20"/>
                <w:szCs w:val="20"/>
              </w:rPr>
              <w:t>žádná nulová položka</w:t>
            </w:r>
          </w:p>
        </w:tc>
      </w:tr>
      <w:tr w:rsidR="000044FD" w:rsidTr="00397D64">
        <w:trPr>
          <w:trHeight w:val="276"/>
        </w:trPr>
        <w:tc>
          <w:tcPr>
            <w:tcW w:w="853"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smartTag w:uri="urn:schemas-microsoft-com:office:smarttags" w:element="metricconverter">
              <w:smartTagPr>
                <w:attr w:name="ProductID" w:val="4 a"/>
              </w:smartTagPr>
              <w:r>
                <w:rPr>
                  <w:sz w:val="20"/>
                  <w:szCs w:val="20"/>
                </w:rPr>
                <w:t>4 a</w:t>
              </w:r>
            </w:smartTag>
            <w:r>
              <w:rPr>
                <w:sz w:val="20"/>
                <w:szCs w:val="20"/>
              </w:rPr>
              <w:t xml:space="preserve"> méně</w:t>
            </w:r>
          </w:p>
        </w:tc>
        <w:tc>
          <w:tcPr>
            <w:tcW w:w="1092" w:type="dxa"/>
            <w:vMerge w:val="restart"/>
            <w:tcBorders>
              <w:top w:val="nil"/>
              <w:left w:val="single" w:sz="2" w:space="0" w:color="000000"/>
              <w:bottom w:val="single" w:sz="2" w:space="0" w:color="000000"/>
              <w:right w:val="nil"/>
            </w:tcBorders>
          </w:tcPr>
          <w:p w:rsidR="000044FD" w:rsidRDefault="000044FD" w:rsidP="00397D64">
            <w:pPr>
              <w:pStyle w:val="Obsahtabulky"/>
              <w:snapToGrid w:val="0"/>
              <w:rPr>
                <w:sz w:val="20"/>
                <w:szCs w:val="20"/>
              </w:rPr>
            </w:pPr>
            <w:r>
              <w:rPr>
                <w:sz w:val="20"/>
                <w:szCs w:val="20"/>
              </w:rPr>
              <w:t>nevyhověl</w:t>
            </w:r>
          </w:p>
        </w:tc>
        <w:tc>
          <w:tcPr>
            <w:tcW w:w="2221" w:type="dxa"/>
            <w:vMerge w:val="restart"/>
            <w:tcBorders>
              <w:top w:val="nil"/>
              <w:left w:val="single" w:sz="2" w:space="0" w:color="000000"/>
              <w:bottom w:val="single" w:sz="2" w:space="0" w:color="000000"/>
              <w:right w:val="single" w:sz="2" w:space="0" w:color="000000"/>
            </w:tcBorders>
          </w:tcPr>
          <w:p w:rsidR="000044FD" w:rsidRDefault="000044FD" w:rsidP="00397D64">
            <w:pPr>
              <w:pStyle w:val="Obsahtabulky"/>
              <w:snapToGrid w:val="0"/>
              <w:rPr>
                <w:sz w:val="20"/>
                <w:szCs w:val="20"/>
              </w:rPr>
            </w:pPr>
            <w:r>
              <w:rPr>
                <w:sz w:val="20"/>
                <w:szCs w:val="20"/>
              </w:rPr>
              <w:t xml:space="preserve">min. 1 nulová položka </w:t>
            </w:r>
          </w:p>
        </w:tc>
      </w:tr>
    </w:tbl>
    <w:p w:rsidR="000044FD" w:rsidRDefault="000044FD" w:rsidP="000044FD">
      <w:pPr>
        <w:rPr>
          <w:sz w:val="22"/>
          <w:szCs w:val="22"/>
        </w:rPr>
      </w:pPr>
    </w:p>
    <w:p w:rsidR="000044FD" w:rsidRDefault="000044FD" w:rsidP="000044FD"/>
    <w:p w:rsidR="000044FD" w:rsidRDefault="000044FD"/>
    <w:sectPr w:rsidR="000044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7344" w:rsidRDefault="00877344" w:rsidP="000044FD">
      <w:r>
        <w:separator/>
      </w:r>
    </w:p>
  </w:endnote>
  <w:endnote w:type="continuationSeparator" w:id="0">
    <w:p w:rsidR="00877344" w:rsidRDefault="00877344" w:rsidP="000044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7344" w:rsidRDefault="00877344" w:rsidP="000044FD">
      <w:r>
        <w:separator/>
      </w:r>
    </w:p>
  </w:footnote>
  <w:footnote w:type="continuationSeparator" w:id="0">
    <w:p w:rsidR="00877344" w:rsidRDefault="00877344" w:rsidP="000044FD">
      <w:r>
        <w:continuationSeparator/>
      </w:r>
    </w:p>
  </w:footnote>
  <w:footnote w:id="1">
    <w:p w:rsidR="000044FD" w:rsidRDefault="000044FD" w:rsidP="000044FD">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4FD"/>
    <w:rsid w:val="000044FD"/>
    <w:rsid w:val="00061879"/>
    <w:rsid w:val="000A2955"/>
    <w:rsid w:val="0010012E"/>
    <w:rsid w:val="00115D3A"/>
    <w:rsid w:val="004672D2"/>
    <w:rsid w:val="00486CB0"/>
    <w:rsid w:val="00676992"/>
    <w:rsid w:val="00877344"/>
    <w:rsid w:val="00AA2A17"/>
    <w:rsid w:val="00C449E7"/>
    <w:rsid w:val="00FD412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44FD"/>
    <w:pPr>
      <w:widowControl w:val="0"/>
      <w:suppressAutoHyphens/>
      <w:spacing w:after="0" w:line="240" w:lineRule="auto"/>
    </w:pPr>
    <w:rPr>
      <w:rFonts w:ascii="Times New Roman" w:eastAsia="Arial Unicode MS" w:hAnsi="Times New Roman" w:cs="Times New Roman"/>
      <w:kern w:val="1"/>
      <w:sz w:val="24"/>
      <w:szCs w:val="24"/>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0044FD"/>
  </w:style>
  <w:style w:type="character" w:customStyle="1" w:styleId="Znakapoznpodarou1">
    <w:name w:val="Značka pozn. pod čarou1"/>
    <w:rsid w:val="000044FD"/>
    <w:rPr>
      <w:vertAlign w:val="superscript"/>
    </w:rPr>
  </w:style>
  <w:style w:type="paragraph" w:customStyle="1" w:styleId="Obsahtabulky">
    <w:name w:val="Obsah tabulky"/>
    <w:basedOn w:val="Normln"/>
    <w:rsid w:val="000044FD"/>
    <w:pPr>
      <w:suppressLineNumbers/>
    </w:pPr>
  </w:style>
  <w:style w:type="paragraph" w:styleId="Textpoznpodarou">
    <w:name w:val="footnote text"/>
    <w:basedOn w:val="Normln"/>
    <w:link w:val="TextpoznpodarouChar"/>
    <w:semiHidden/>
    <w:rsid w:val="000044FD"/>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0044FD"/>
    <w:rPr>
      <w:rFonts w:ascii="Times New Roman" w:eastAsia="Arial Unicode MS" w:hAnsi="Times New Roman" w:cs="Times New Roman"/>
      <w:kern w:val="1"/>
      <w:sz w:val="20"/>
      <w:szCs w:val="20"/>
      <w:lang w:eastAsia="ar-SA"/>
    </w:rPr>
  </w:style>
  <w:style w:type="paragraph" w:styleId="Textbubliny">
    <w:name w:val="Balloon Text"/>
    <w:basedOn w:val="Normln"/>
    <w:link w:val="TextbublinyChar"/>
    <w:uiPriority w:val="99"/>
    <w:semiHidden/>
    <w:unhideWhenUsed/>
    <w:rsid w:val="000044FD"/>
    <w:rPr>
      <w:rFonts w:ascii="Tahoma" w:hAnsi="Tahoma" w:cs="Tahoma"/>
      <w:sz w:val="16"/>
      <w:szCs w:val="16"/>
    </w:rPr>
  </w:style>
  <w:style w:type="character" w:customStyle="1" w:styleId="TextbublinyChar">
    <w:name w:val="Text bubliny Char"/>
    <w:basedOn w:val="Standardnpsmoodstavce"/>
    <w:link w:val="Textbubliny"/>
    <w:uiPriority w:val="99"/>
    <w:semiHidden/>
    <w:rsid w:val="000044FD"/>
    <w:rPr>
      <w:rFonts w:ascii="Tahoma" w:eastAsia="Arial Unicode MS" w:hAnsi="Tahoma" w:cs="Tahoma"/>
      <w:kern w:val="1"/>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44FD"/>
    <w:pPr>
      <w:widowControl w:val="0"/>
      <w:suppressAutoHyphens/>
      <w:spacing w:after="0" w:line="240" w:lineRule="auto"/>
    </w:pPr>
    <w:rPr>
      <w:rFonts w:ascii="Times New Roman" w:eastAsia="Arial Unicode MS" w:hAnsi="Times New Roman" w:cs="Times New Roman"/>
      <w:kern w:val="1"/>
      <w:sz w:val="24"/>
      <w:szCs w:val="24"/>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0044FD"/>
  </w:style>
  <w:style w:type="character" w:customStyle="1" w:styleId="Znakapoznpodarou1">
    <w:name w:val="Značka pozn. pod čarou1"/>
    <w:rsid w:val="000044FD"/>
    <w:rPr>
      <w:vertAlign w:val="superscript"/>
    </w:rPr>
  </w:style>
  <w:style w:type="paragraph" w:customStyle="1" w:styleId="Obsahtabulky">
    <w:name w:val="Obsah tabulky"/>
    <w:basedOn w:val="Normln"/>
    <w:rsid w:val="000044FD"/>
    <w:pPr>
      <w:suppressLineNumbers/>
    </w:pPr>
  </w:style>
  <w:style w:type="paragraph" w:styleId="Textpoznpodarou">
    <w:name w:val="footnote text"/>
    <w:basedOn w:val="Normln"/>
    <w:link w:val="TextpoznpodarouChar"/>
    <w:semiHidden/>
    <w:rsid w:val="000044FD"/>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0044FD"/>
    <w:rPr>
      <w:rFonts w:ascii="Times New Roman" w:eastAsia="Arial Unicode MS" w:hAnsi="Times New Roman" w:cs="Times New Roman"/>
      <w:kern w:val="1"/>
      <w:sz w:val="20"/>
      <w:szCs w:val="20"/>
      <w:lang w:eastAsia="ar-SA"/>
    </w:rPr>
  </w:style>
  <w:style w:type="paragraph" w:styleId="Textbubliny">
    <w:name w:val="Balloon Text"/>
    <w:basedOn w:val="Normln"/>
    <w:link w:val="TextbublinyChar"/>
    <w:uiPriority w:val="99"/>
    <w:semiHidden/>
    <w:unhideWhenUsed/>
    <w:rsid w:val="000044FD"/>
    <w:rPr>
      <w:rFonts w:ascii="Tahoma" w:hAnsi="Tahoma" w:cs="Tahoma"/>
      <w:sz w:val="16"/>
      <w:szCs w:val="16"/>
    </w:rPr>
  </w:style>
  <w:style w:type="character" w:customStyle="1" w:styleId="TextbublinyChar">
    <w:name w:val="Text bubliny Char"/>
    <w:basedOn w:val="Standardnpsmoodstavce"/>
    <w:link w:val="Textbubliny"/>
    <w:uiPriority w:val="99"/>
    <w:semiHidden/>
    <w:rsid w:val="000044FD"/>
    <w:rPr>
      <w:rFonts w:ascii="Tahoma" w:eastAsia="Arial Unicode MS" w:hAnsi="Tahoma" w:cs="Tahoma"/>
      <w:kern w:val="1"/>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618</Words>
  <Characters>3652</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Guest</cp:lastModifiedBy>
  <cp:revision>2</cp:revision>
  <dcterms:created xsi:type="dcterms:W3CDTF">2016-04-27T07:13:00Z</dcterms:created>
  <dcterms:modified xsi:type="dcterms:W3CDTF">2016-04-27T07:13:00Z</dcterms:modified>
</cp:coreProperties>
</file>