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439A" w:rsidRPr="00E83519" w:rsidRDefault="008A4660" w:rsidP="00E83519">
      <w:pPr>
        <w:pStyle w:val="Nzev"/>
      </w:pPr>
      <w:r>
        <w:t xml:space="preserve">Influence </w:t>
      </w:r>
      <w:r w:rsidR="003D17BC">
        <w:t>of</w:t>
      </w:r>
      <w:r>
        <w:t xml:space="preserve"> corporate</w:t>
      </w:r>
      <w:r w:rsidR="004D0896">
        <w:t xml:space="preserve"> tax</w:t>
      </w:r>
      <w:r w:rsidR="003D17BC">
        <w:t xml:space="preserve"> on business organizational form in </w:t>
      </w:r>
      <w:r w:rsidR="00095525">
        <w:t xml:space="preserve">the </w:t>
      </w:r>
      <w:r w:rsidR="003D17BC">
        <w:t>Czech Republic</w:t>
      </w:r>
    </w:p>
    <w:p w:rsidR="003D01DD" w:rsidRPr="006E6750" w:rsidRDefault="00F54A9E" w:rsidP="0093439A">
      <w:pPr>
        <w:pStyle w:val="Author"/>
      </w:pPr>
      <w:r w:rsidRPr="006E6750">
        <w:t xml:space="preserve">Ing. </w:t>
      </w:r>
      <w:r w:rsidR="003D17BC" w:rsidRPr="006E6750">
        <w:t>P</w:t>
      </w:r>
      <w:r w:rsidR="002B72C4" w:rsidRPr="006E6750">
        <w:t>e</w:t>
      </w:r>
      <w:r w:rsidR="003D17BC" w:rsidRPr="006E6750">
        <w:t>tr Svoboda</w:t>
      </w:r>
      <w:r w:rsidRPr="006E6750">
        <w:t>; Institute of b</w:t>
      </w:r>
      <w:r w:rsidR="006E6750" w:rsidRPr="006E6750">
        <w:t>usiness economic and management</w:t>
      </w:r>
      <w:r w:rsidRPr="006E6750">
        <w:t xml:space="preserve">, University of </w:t>
      </w:r>
      <w:r w:rsidR="006E6750">
        <w:t xml:space="preserve">Pardubice, </w:t>
      </w:r>
      <w:proofErr w:type="spellStart"/>
      <w:r w:rsidR="006E6750">
        <w:t>Studentská</w:t>
      </w:r>
      <w:proofErr w:type="spellEnd"/>
      <w:r w:rsidR="006E6750">
        <w:t xml:space="preserve"> 95,</w:t>
      </w:r>
      <w:r w:rsidRPr="006E6750">
        <w:t xml:space="preserve"> Pardubice, Czech Re</w:t>
      </w:r>
      <w:r w:rsidR="006E6750" w:rsidRPr="006E6750">
        <w:t>public,</w:t>
      </w:r>
      <w:r w:rsidRPr="006E6750">
        <w:t xml:space="preserve"> petr.svoboda@student.upce.cz</w:t>
      </w:r>
    </w:p>
    <w:p w:rsidR="00E01DCB" w:rsidRPr="00346DBB" w:rsidRDefault="00216FD2" w:rsidP="00E01DCB">
      <w:pPr>
        <w:pStyle w:val="Abstract"/>
      </w:pPr>
      <w:r w:rsidRPr="00216FD2">
        <w:rPr>
          <w:rStyle w:val="AbstractHeader"/>
        </w:rPr>
        <w:t>Abstract.</w:t>
      </w:r>
      <w:r>
        <w:t xml:space="preserve"> </w:t>
      </w:r>
      <w:r w:rsidR="00600F64">
        <w:t>The goal of this paper is to determine influence of</w:t>
      </w:r>
      <w:r w:rsidR="008A4660">
        <w:t xml:space="preserve"> corporate</w:t>
      </w:r>
      <w:r w:rsidR="00600F64">
        <w:t xml:space="preserve"> </w:t>
      </w:r>
      <w:r w:rsidR="004D0896">
        <w:t>tax</w:t>
      </w:r>
      <w:r w:rsidR="008D47EE">
        <w:t xml:space="preserve"> in the Czech Republic</w:t>
      </w:r>
      <w:r w:rsidR="00600F64">
        <w:t xml:space="preserve"> on </w:t>
      </w:r>
      <w:r w:rsidR="004D0896">
        <w:t>dec</w:t>
      </w:r>
      <w:r w:rsidR="00E40A02">
        <w:t>is</w:t>
      </w:r>
      <w:r w:rsidR="004D0896">
        <w:t>ion, whether the owner of business will choose corporate or non-corporate type of organizational form for his business</w:t>
      </w:r>
      <w:r w:rsidR="00600F64">
        <w:t>.</w:t>
      </w:r>
      <w:r w:rsidR="000B119D">
        <w:t xml:space="preserve"> By examining data</w:t>
      </w:r>
      <w:r w:rsidR="00B526EA">
        <w:t xml:space="preserve"> from </w:t>
      </w:r>
      <w:r w:rsidR="000B119D">
        <w:t xml:space="preserve">1993-2015 about changes of relevant tax rates and numbers of corporate and non-corporate type of business each year this research tries to find answer. </w:t>
      </w:r>
      <w:r w:rsidR="006034E5">
        <w:t>The</w:t>
      </w:r>
      <w:r w:rsidR="00600F64">
        <w:t xml:space="preserve"> </w:t>
      </w:r>
      <w:r w:rsidR="00B526EA">
        <w:t>influence</w:t>
      </w:r>
      <w:r w:rsidR="00600F64">
        <w:t xml:space="preserve"> is connected with</w:t>
      </w:r>
      <w:r w:rsidR="008E1DC8">
        <w:t xml:space="preserve"> the</w:t>
      </w:r>
      <w:r w:rsidR="00B526EA">
        <w:t xml:space="preserve"> issue of</w:t>
      </w:r>
      <w:r w:rsidR="00600F64">
        <w:t xml:space="preserve"> double taxation of profits of corporate type of bus</w:t>
      </w:r>
      <w:r w:rsidR="00600F64">
        <w:t>i</w:t>
      </w:r>
      <w:r w:rsidR="00600F64">
        <w:t>ness. Corporate income is taxed twice</w:t>
      </w:r>
      <w:r w:rsidR="000B119D">
        <w:t xml:space="preserve"> by corporate tax and income tax</w:t>
      </w:r>
      <w:r w:rsidR="003626B9">
        <w:t>,</w:t>
      </w:r>
      <w:r w:rsidR="000B119D">
        <w:t xml:space="preserve"> while</w:t>
      </w:r>
      <w:r w:rsidR="003626B9">
        <w:t xml:space="preserve"> non-corporate type of busi</w:t>
      </w:r>
      <w:r w:rsidR="000B119D">
        <w:t>ness is taxed only once</w:t>
      </w:r>
      <w:r w:rsidR="003626B9">
        <w:t xml:space="preserve">, but owner also have to pay social and health insurance from the profits. </w:t>
      </w:r>
      <w:r w:rsidR="00D83310">
        <w:t xml:space="preserve">The results suggest low level direct dependency </w:t>
      </w:r>
      <w:r w:rsidR="009436BD">
        <w:t>between corporate tax and ratio</w:t>
      </w:r>
      <w:r w:rsidR="00D83310">
        <w:t xml:space="preserve"> of</w:t>
      </w:r>
      <w:r w:rsidR="00F90823">
        <w:t xml:space="preserve"> number of corporate and non-corporate business. This result is inconsistent with previous studies on this subject and needs to be i</w:t>
      </w:r>
      <w:r w:rsidR="00F90823">
        <w:t>n</w:t>
      </w:r>
      <w:r w:rsidR="00F90823">
        <w:t>vestigated further by expanded theoretical model in the future study.</w:t>
      </w:r>
    </w:p>
    <w:p w:rsidR="00E01DCB" w:rsidRDefault="00E01DCB" w:rsidP="00E01DCB">
      <w:pPr>
        <w:pStyle w:val="Keywords"/>
      </w:pPr>
      <w:r w:rsidRPr="00E01DCB">
        <w:rPr>
          <w:rStyle w:val="KeywordsHeader"/>
        </w:rPr>
        <w:t>Keywords:</w:t>
      </w:r>
      <w:r w:rsidR="005E5D63">
        <w:t xml:space="preserve"> double taxation, corporate tax</w:t>
      </w:r>
      <w:r w:rsidR="003D17BC">
        <w:t>, business organizational form</w:t>
      </w:r>
    </w:p>
    <w:p w:rsidR="00E01DCB" w:rsidRDefault="00E01DCB" w:rsidP="00363B76">
      <w:pPr>
        <w:pStyle w:val="Classifications"/>
      </w:pPr>
      <w:r>
        <w:rPr>
          <w:rStyle w:val="KeywordsHeader"/>
        </w:rPr>
        <w:t xml:space="preserve">JEL Classification: </w:t>
      </w:r>
      <w:r w:rsidR="003D17BC">
        <w:t>H25, H32</w:t>
      </w:r>
    </w:p>
    <w:p w:rsidR="00C56F44" w:rsidRPr="00C56F44" w:rsidRDefault="00C56F44" w:rsidP="00C56F44"/>
    <w:p w:rsidR="008D70B3" w:rsidRDefault="006C26FD" w:rsidP="005A428E">
      <w:pPr>
        <w:pStyle w:val="Nadpis1"/>
      </w:pPr>
      <w:r>
        <w:t xml:space="preserve">Introduction </w:t>
      </w:r>
    </w:p>
    <w:p w:rsidR="00B679B1" w:rsidRDefault="007B2987" w:rsidP="007B2987">
      <w:pPr>
        <w:pStyle w:val="Zkladntext"/>
      </w:pPr>
      <w:r>
        <w:t>In the tax system of the Czech Republic, as well as in other countries like the United States, exists disproportion in taxing profits of corporate</w:t>
      </w:r>
      <w:r w:rsidR="00C33093">
        <w:t xml:space="preserve"> type of busi</w:t>
      </w:r>
      <w:r w:rsidR="00431703">
        <w:t>ness (also called C corporations</w:t>
      </w:r>
      <w:r w:rsidR="00C33093">
        <w:t xml:space="preserve"> by the United States law)</w:t>
      </w:r>
      <w:r>
        <w:t xml:space="preserve"> and non-corporate type of business</w:t>
      </w:r>
      <w:r w:rsidR="00C33093">
        <w:t xml:space="preserve"> (also called S corporation</w:t>
      </w:r>
      <w:r w:rsidR="00431703">
        <w:t>s</w:t>
      </w:r>
      <w:r w:rsidR="00C33093">
        <w:t xml:space="preserve"> by the United States law)</w:t>
      </w:r>
      <w:r>
        <w:t>. This disproportion is sometimes called double taxation of corporate profits. The profit of corporate business is fi</w:t>
      </w:r>
      <w:r w:rsidR="006044EC">
        <w:t>rst taxed by corporate tax,</w:t>
      </w:r>
      <w:r>
        <w:t xml:space="preserve"> r</w:t>
      </w:r>
      <w:r>
        <w:t>e</w:t>
      </w:r>
      <w:r>
        <w:t>maining</w:t>
      </w:r>
      <w:r w:rsidR="00240E82">
        <w:t xml:space="preserve"> profit</w:t>
      </w:r>
      <w:r>
        <w:t xml:space="preserve"> </w:t>
      </w:r>
      <w:r w:rsidR="00240E82">
        <w:t>is</w:t>
      </w:r>
      <w:r w:rsidR="006044EC">
        <w:t xml:space="preserve"> then</w:t>
      </w:r>
      <w:r w:rsidR="00240E82">
        <w:t xml:space="preserve"> taxed by income tax when owner wants to get earnings from his company. On the other hand, n</w:t>
      </w:r>
      <w:r w:rsidR="006044EC">
        <w:t xml:space="preserve">on-corporate type of business is taxed only by income tax, but in the Czech Republic owner of the non-corporate business also have to pay social and health insurance from its profits. </w:t>
      </w:r>
    </w:p>
    <w:p w:rsidR="006044EC" w:rsidRDefault="00C33093" w:rsidP="006044EC">
      <w:pPr>
        <w:pStyle w:val="Zkladntext-prvnodsazen"/>
      </w:pPr>
      <w:r>
        <w:t xml:space="preserve"> </w:t>
      </w:r>
      <w:r w:rsidR="006044EC">
        <w:t xml:space="preserve"> </w:t>
      </w:r>
      <w:r>
        <w:t>In the theory, increasing of corporate tax rate should motivate profitable C corporations to switch its organ</w:t>
      </w:r>
      <w:r>
        <w:t>i</w:t>
      </w:r>
      <w:r>
        <w:t xml:space="preserve">zational form to S corporation to avoid double taxation, so its profits will be taxed only once by income tax. Conversely, S corporations which face losses should have incentive to incorporate switching its form to C </w:t>
      </w:r>
      <w:proofErr w:type="gramStart"/>
      <w:r>
        <w:t>corp</w:t>
      </w:r>
      <w:r>
        <w:t>o</w:t>
      </w:r>
      <w:r>
        <w:t>ration</w:t>
      </w:r>
      <w:proofErr w:type="gramEnd"/>
      <w:r>
        <w:t xml:space="preserve"> and gaining benefits of this type of organizational form, specially increased </w:t>
      </w:r>
      <w:r w:rsidR="00B24D45">
        <w:t xml:space="preserve">option of obtaining additional capital and limited liability. </w:t>
      </w:r>
    </w:p>
    <w:p w:rsidR="005D5BD7" w:rsidRPr="006044EC" w:rsidRDefault="005D5BD7" w:rsidP="006044EC">
      <w:pPr>
        <w:pStyle w:val="Zkladntext-prvnodsazen"/>
      </w:pPr>
      <w:r>
        <w:t>The goal of this paper is to</w:t>
      </w:r>
      <w:r w:rsidR="00B607B6">
        <w:t xml:space="preserve"> analyze</w:t>
      </w:r>
      <w:r>
        <w:t xml:space="preserve"> influence of corporate tax</w:t>
      </w:r>
      <w:r w:rsidR="00B607B6">
        <w:t xml:space="preserve"> on business organizational form</w:t>
      </w:r>
      <w:r w:rsidR="00A3725F">
        <w:t xml:space="preserve"> in the specific tax environment of the Czech Republic between years 1993-2015.</w:t>
      </w:r>
      <w:r w:rsidR="00B607B6">
        <w:t xml:space="preserve"> </w:t>
      </w:r>
      <w:r w:rsidR="00314B79">
        <w:t>Analysis is based on</w:t>
      </w:r>
      <w:r w:rsidR="00697C84">
        <w:t xml:space="preserve"> adjusted</w:t>
      </w:r>
      <w:r w:rsidR="00A3725F">
        <w:t xml:space="preserve"> theoretical model for measuring influence of corporate tax on business organizational form in the United States made by authors Mackie-Mason and Gordon </w:t>
      </w:r>
      <w:r w:rsidR="00A3725F" w:rsidRPr="00457D7C">
        <w:t>(Mackie-Mason and Gordon, 1991)</w:t>
      </w:r>
      <w:r w:rsidR="00A3725F">
        <w:t>.</w:t>
      </w:r>
      <w:r w:rsidR="00C173CF">
        <w:t xml:space="preserve"> The model is adjusted for specific tax environment of the Czech Republic taking into account social and health insurance which are paid by S corpor</w:t>
      </w:r>
      <w:r w:rsidR="00C173CF">
        <w:t>a</w:t>
      </w:r>
      <w:r w:rsidR="00C173CF">
        <w:t xml:space="preserve">tions and have significant impact on issue of double taxation and benefits of S corporations being taxed only once. </w:t>
      </w:r>
    </w:p>
    <w:p w:rsidR="00240E82" w:rsidRPr="00240E82" w:rsidRDefault="00240E82" w:rsidP="00240E82">
      <w:pPr>
        <w:pStyle w:val="Zkladntext-prvnodsazen"/>
        <w:rPr>
          <w:lang w:val="cs-CZ"/>
        </w:rPr>
      </w:pPr>
    </w:p>
    <w:p w:rsidR="007B2987" w:rsidRDefault="00D378B0" w:rsidP="00462C66">
      <w:pPr>
        <w:pStyle w:val="Nadpis1"/>
      </w:pPr>
      <w:r>
        <w:t>Current state of knowledge</w:t>
      </w:r>
    </w:p>
    <w:p w:rsidR="00D378B0" w:rsidRPr="00D378B0" w:rsidRDefault="00D97CDC" w:rsidP="00D378B0">
      <w:pPr>
        <w:pStyle w:val="Zkladntext"/>
      </w:pPr>
      <w:r>
        <w:t>The influence</w:t>
      </w:r>
      <w:r w:rsidR="00D378B0" w:rsidRPr="00457D7C">
        <w:t xml:space="preserve"> of corporate tax (or income taxes in general)</w:t>
      </w:r>
      <w:r>
        <w:t xml:space="preserve"> on organizational form was subject of research</w:t>
      </w:r>
      <w:r w:rsidR="00D378B0" w:rsidRPr="00457D7C">
        <w:t xml:space="preserve"> in the past</w:t>
      </w:r>
      <w:r>
        <w:t>, mostly in the United States</w:t>
      </w:r>
      <w:r w:rsidR="00D378B0" w:rsidRPr="00457D7C">
        <w:t>.</w:t>
      </w:r>
      <w:r w:rsidR="00D378B0">
        <w:t xml:space="preserve"> </w:t>
      </w:r>
      <w:r w:rsidR="00D378B0" w:rsidRPr="00457D7C">
        <w:t>Mack</w:t>
      </w:r>
      <w:r>
        <w:t>ie-Mason and Gordon conducted</w:t>
      </w:r>
      <w:r w:rsidR="00D378B0" w:rsidRPr="00457D7C">
        <w:t xml:space="preserve"> two studies about effects of taxation on business organizational form (Mackie-Mason and Gordon, 1991), (Mackie-Mason and Gordon, 1994). In their work they created theoretical model</w:t>
      </w:r>
      <w:r>
        <w:t>, which described tax and non-tax factors influencing decision about business organizational form</w:t>
      </w:r>
      <w:r w:rsidR="00D378B0" w:rsidRPr="00457D7C">
        <w:t xml:space="preserve">. </w:t>
      </w:r>
      <w:r>
        <w:t xml:space="preserve">Research of this article is based on this theoretical model. </w:t>
      </w:r>
      <w:r w:rsidR="00D378B0" w:rsidRPr="00457D7C">
        <w:t>Th</w:t>
      </w:r>
      <w:r w:rsidR="000D5D6A">
        <w:t>ey also created</w:t>
      </w:r>
      <w:r w:rsidR="00D378B0" w:rsidRPr="00457D7C">
        <w:t xml:space="preserve"> empirical study about effects of corporate tax on choice of organizational form in the United States for data from years 1959-1986. They conclude corporate tax has</w:t>
      </w:r>
      <w:r w:rsidR="00602D26">
        <w:t xml:space="preserve"> small, but measurable</w:t>
      </w:r>
      <w:r w:rsidR="00D378B0" w:rsidRPr="00457D7C">
        <w:t xml:space="preserve"> effect on the choice of organizational form of bus</w:t>
      </w:r>
      <w:r w:rsidR="00D378B0" w:rsidRPr="00457D7C">
        <w:t>i</w:t>
      </w:r>
      <w:r w:rsidR="00D378B0" w:rsidRPr="00457D7C">
        <w:t>ness</w:t>
      </w:r>
      <w:r w:rsidR="00D378B0">
        <w:t>.</w:t>
      </w:r>
      <w:r w:rsidR="000A5F6D" w:rsidRPr="000A5F6D">
        <w:t xml:space="preserve"> </w:t>
      </w:r>
      <w:r w:rsidR="000A5F6D" w:rsidRPr="00457D7C">
        <w:t>Another</w:t>
      </w:r>
      <w:r w:rsidR="000A5F6D">
        <w:t xml:space="preserve"> similar</w:t>
      </w:r>
      <w:r w:rsidR="000A5F6D" w:rsidRPr="00457D7C">
        <w:t xml:space="preserve"> empirical study was made by </w:t>
      </w:r>
      <w:proofErr w:type="spellStart"/>
      <w:r w:rsidR="000A5F6D" w:rsidRPr="00457D7C">
        <w:t>Goolsbee</w:t>
      </w:r>
      <w:proofErr w:type="spellEnd"/>
      <w:r w:rsidR="000A5F6D" w:rsidRPr="00457D7C">
        <w:t xml:space="preserve"> (</w:t>
      </w:r>
      <w:proofErr w:type="spellStart"/>
      <w:r w:rsidR="000A5F6D" w:rsidRPr="00457D7C">
        <w:t>Goolsbee</w:t>
      </w:r>
      <w:proofErr w:type="spellEnd"/>
      <w:r w:rsidR="000A5F6D" w:rsidRPr="00457D7C">
        <w:t xml:space="preserve">, 1998) in the United States for data from </w:t>
      </w:r>
      <w:r w:rsidR="000A5F6D" w:rsidRPr="00457D7C">
        <w:lastRenderedPageBreak/>
        <w:t>years 1900-1939</w:t>
      </w:r>
      <w:r w:rsidR="000A5F6D">
        <w:t>.</w:t>
      </w:r>
      <w:r w:rsidR="00D378B0" w:rsidRPr="00457D7C">
        <w:t xml:space="preserve"> </w:t>
      </w:r>
      <w:r w:rsidR="00F97505">
        <w:t xml:space="preserve">In </w:t>
      </w:r>
      <w:r w:rsidR="000A5F6D">
        <w:t xml:space="preserve">another </w:t>
      </w:r>
      <w:r w:rsidR="00F97505">
        <w:t xml:space="preserve">study, </w:t>
      </w:r>
      <w:r w:rsidR="00D378B0" w:rsidRPr="00457D7C">
        <w:t xml:space="preserve">Authors Ayers, </w:t>
      </w:r>
      <w:proofErr w:type="spellStart"/>
      <w:r w:rsidR="00D378B0" w:rsidRPr="00457D7C">
        <w:t>Cloid</w:t>
      </w:r>
      <w:proofErr w:type="spellEnd"/>
      <w:r w:rsidR="00D378B0" w:rsidRPr="00457D7C">
        <w:t xml:space="preserve"> and Robinson (Ayers, </w:t>
      </w:r>
      <w:proofErr w:type="spellStart"/>
      <w:r w:rsidR="00D378B0" w:rsidRPr="00457D7C">
        <w:t>Cloid</w:t>
      </w:r>
      <w:proofErr w:type="spellEnd"/>
      <w:r w:rsidR="00D378B0" w:rsidRPr="00457D7C">
        <w:t xml:space="preserve"> and Robinson, 1996) f</w:t>
      </w:r>
      <w:r w:rsidR="00D378B0" w:rsidRPr="00457D7C">
        <w:t>o</w:t>
      </w:r>
      <w:r w:rsidR="00D378B0" w:rsidRPr="00457D7C">
        <w:t>cused on effects of tax and non-tax factors on organizational form of small businesses in the United States. They concluded non-tax factors play important role in the selection of the organizational form of small business</w:t>
      </w:r>
      <w:r w:rsidR="0038209D">
        <w:t>es,</w:t>
      </w:r>
      <w:r w:rsidR="00D378B0" w:rsidRPr="00457D7C">
        <w:t xml:space="preserve"> however</w:t>
      </w:r>
      <w:r w:rsidR="00F97505">
        <w:t xml:space="preserve"> they could not reliably prove,</w:t>
      </w:r>
      <w:r w:rsidR="00D378B0" w:rsidRPr="00457D7C">
        <w:t xml:space="preserve"> that income taxes are important </w:t>
      </w:r>
      <w:r w:rsidR="00FF75B3">
        <w:t>factor</w:t>
      </w:r>
      <w:r w:rsidR="00D378B0" w:rsidRPr="00457D7C">
        <w:t xml:space="preserve"> in selection </w:t>
      </w:r>
      <w:r w:rsidR="0038209D" w:rsidRPr="00457D7C">
        <w:t>of organizational</w:t>
      </w:r>
      <w:r w:rsidR="00D378B0" w:rsidRPr="00457D7C">
        <w:t xml:space="preserve"> form</w:t>
      </w:r>
      <w:r w:rsidR="00F97505">
        <w:t xml:space="preserve"> for small business</w:t>
      </w:r>
      <w:r w:rsidR="00D378B0" w:rsidRPr="00457D7C">
        <w:t>. Authors Luna and Murray (Luna and Murray, 2008) examined effects of state taxes on choice of organizational form in the United States. They concluded that both federal and state factors determine the choice of busi</w:t>
      </w:r>
      <w:r w:rsidR="001F4355">
        <w:t>ness organizational form</w:t>
      </w:r>
      <w:r w:rsidR="00D378B0" w:rsidRPr="00457D7C">
        <w:t xml:space="preserve">. Results of their analysis suggest that state tax policy does affect business </w:t>
      </w:r>
      <w:r w:rsidR="00D378B0" w:rsidRPr="00457D7C">
        <w:rPr>
          <w:color w:val="000000" w:themeColor="text1"/>
        </w:rPr>
        <w:t>decision-making</w:t>
      </w:r>
      <w:r w:rsidR="00D378B0" w:rsidRPr="00457D7C">
        <w:rPr>
          <w:color w:val="FF0000"/>
        </w:rPr>
        <w:t xml:space="preserve"> </w:t>
      </w:r>
      <w:r w:rsidR="00D378B0" w:rsidRPr="00457D7C">
        <w:t>including choice of organizatio</w:t>
      </w:r>
      <w:r w:rsidR="000A5F6D">
        <w:t>nal form of business</w:t>
      </w:r>
      <w:r w:rsidR="00D378B0" w:rsidRPr="00457D7C">
        <w:t xml:space="preserve">. In Czech literature author </w:t>
      </w:r>
      <w:proofErr w:type="spellStart"/>
      <w:r w:rsidR="00D378B0" w:rsidRPr="00457D7C">
        <w:t>Hrdý</w:t>
      </w:r>
      <w:proofErr w:type="spellEnd"/>
      <w:r w:rsidR="00D378B0" w:rsidRPr="00457D7C">
        <w:t xml:space="preserve"> (</w:t>
      </w:r>
      <w:proofErr w:type="spellStart"/>
      <w:r w:rsidR="00D378B0" w:rsidRPr="00457D7C">
        <w:t>Hrdý</w:t>
      </w:r>
      <w:proofErr w:type="spellEnd"/>
      <w:r w:rsidR="00D378B0" w:rsidRPr="00457D7C">
        <w:t>, 2011)</w:t>
      </w:r>
      <w:r w:rsidR="00DB30DF">
        <w:t xml:space="preserve"> created only theoretical </w:t>
      </w:r>
      <w:r w:rsidR="001D0407">
        <w:t xml:space="preserve">general </w:t>
      </w:r>
      <w:r w:rsidR="00DB30DF">
        <w:t>study</w:t>
      </w:r>
      <w:r w:rsidR="001D0407">
        <w:t>, where he</w:t>
      </w:r>
      <w:r w:rsidR="00D378B0" w:rsidRPr="00457D7C">
        <w:t xml:space="preserve"> focuses on influence of taxes on financial management and business </w:t>
      </w:r>
      <w:r w:rsidR="00D378B0" w:rsidRPr="00457D7C">
        <w:rPr>
          <w:color w:val="000000" w:themeColor="text1"/>
        </w:rPr>
        <w:t>decision-making</w:t>
      </w:r>
      <w:r w:rsidR="00D378B0" w:rsidRPr="00457D7C">
        <w:t xml:space="preserve">. He mentions organizational form of business can have huge impact on the amount of profits, which owners will get from company, because of double taxation issue. </w:t>
      </w:r>
      <w:r w:rsidR="001D0407">
        <w:t>In Sweden, a</w:t>
      </w:r>
      <w:r w:rsidR="00D378B0" w:rsidRPr="00457D7C">
        <w:t>uthors Karin and Gordon (Ka</w:t>
      </w:r>
      <w:r w:rsidR="001D0407">
        <w:t>rin and Gordon, 2013) created</w:t>
      </w:r>
      <w:r w:rsidR="00D378B0" w:rsidRPr="00457D7C">
        <w:t xml:space="preserve"> study about influence of tax and non-tax factors on </w:t>
      </w:r>
      <w:r w:rsidR="00D378B0" w:rsidRPr="00457D7C">
        <w:rPr>
          <w:color w:val="000000"/>
          <w:shd w:val="clear" w:color="auto" w:fill="FFFFFF"/>
        </w:rPr>
        <w:t xml:space="preserve">the choice of organizational form by closely-held firms. They </w:t>
      </w:r>
      <w:r w:rsidR="00C415E8">
        <w:rPr>
          <w:color w:val="000000"/>
          <w:shd w:val="clear" w:color="auto" w:fill="FFFFFF"/>
        </w:rPr>
        <w:t xml:space="preserve">compared their results with study of Mackie-Mason and Gordon mentioned earlier and </w:t>
      </w:r>
      <w:r w:rsidR="00D378B0" w:rsidRPr="00457D7C">
        <w:rPr>
          <w:color w:val="000000"/>
          <w:shd w:val="clear" w:color="auto" w:fill="FFFFFF"/>
        </w:rPr>
        <w:t>conclude</w:t>
      </w:r>
      <w:r w:rsidR="00C415E8">
        <w:rPr>
          <w:color w:val="000000"/>
          <w:shd w:val="clear" w:color="auto" w:fill="FFFFFF"/>
        </w:rPr>
        <w:t>d</w:t>
      </w:r>
      <w:r w:rsidR="00D378B0" w:rsidRPr="00457D7C">
        <w:rPr>
          <w:color w:val="000000"/>
          <w:shd w:val="clear" w:color="auto" w:fill="FFFFFF"/>
        </w:rPr>
        <w:t xml:space="preserve"> that</w:t>
      </w:r>
      <w:r w:rsidR="00D378B0" w:rsidRPr="00457D7C">
        <w:t xml:space="preserve"> estimated effect of taxes on the choice of organizational form is much larger. Interesting study is also the one made by Carrol (Carrol, 2010) in the United States. This study focuses on subject of harmful effects of double taxation on the United States economy and business and</w:t>
      </w:r>
      <w:r w:rsidR="004535BD">
        <w:t xml:space="preserve"> positive economic</w:t>
      </w:r>
      <w:r w:rsidR="00D378B0" w:rsidRPr="00457D7C">
        <w:t xml:space="preserve"> effects of lower tax rate on dividends enacted in 2003 by the Job and Growth Tax Relief Reconcili</w:t>
      </w:r>
      <w:r w:rsidR="00D378B0" w:rsidRPr="00457D7C">
        <w:t>a</w:t>
      </w:r>
      <w:r w:rsidR="00D378B0" w:rsidRPr="00457D7C">
        <w:t>tion Act of 2003.</w:t>
      </w:r>
    </w:p>
    <w:p w:rsidR="007B2987" w:rsidRDefault="007B2987" w:rsidP="007B2987">
      <w:pPr>
        <w:pStyle w:val="Zkladntext-prvnodsazen"/>
      </w:pPr>
    </w:p>
    <w:p w:rsidR="007B2987" w:rsidRDefault="00CC7F73" w:rsidP="007B2987">
      <w:pPr>
        <w:pStyle w:val="Nadpis1"/>
      </w:pPr>
      <w:r>
        <w:t>Theoretical model</w:t>
      </w:r>
    </w:p>
    <w:p w:rsidR="00520847" w:rsidRDefault="00520847" w:rsidP="00520847">
      <w:pPr>
        <w:pStyle w:val="Zkladntext-prvnodsazen"/>
      </w:pPr>
      <w:r>
        <w:t>In theoretical model</w:t>
      </w:r>
      <w:r w:rsidR="005E139A">
        <w:t>, originally created by authors Mackie-Mason and Gordon (Mackie-Mason and Gordon, 1991)</w:t>
      </w:r>
      <w:r>
        <w:t xml:space="preserve">, which describes when it is </w:t>
      </w:r>
      <w:r w:rsidR="00E925C2">
        <w:t>favorable</w:t>
      </w:r>
      <w:r>
        <w:t xml:space="preserve"> for company to incorporate and become C corporation, it is consi</w:t>
      </w:r>
      <w:r>
        <w:t>d</w:t>
      </w:r>
      <w:r>
        <w:t xml:space="preserve">ered that company can choose only between two types of organizational forms, C corporation </w:t>
      </w:r>
      <w:r w:rsidR="00E925C2">
        <w:t>being</w:t>
      </w:r>
      <w:r>
        <w:t xml:space="preserve"> taxed twice both on corporate and personal level and S corporation </w:t>
      </w:r>
      <w:r w:rsidR="00E925C2">
        <w:t>being</w:t>
      </w:r>
      <w:r>
        <w:t xml:space="preserve"> taxed only once on personal level. Various </w:t>
      </w:r>
      <w:r w:rsidR="00E925C2">
        <w:t>factors that</w:t>
      </w:r>
      <w:r>
        <w:t xml:space="preserve"> affect </w:t>
      </w:r>
      <w:r w:rsidR="00E925C2">
        <w:t>decision</w:t>
      </w:r>
      <w:r>
        <w:t xml:space="preserve"> of company whether to incorporate or not are divided into two groups, tax factors and non-tax factors. With these conditions met, it is </w:t>
      </w:r>
      <w:r w:rsidR="00E925C2">
        <w:t>favorable</w:t>
      </w:r>
      <w:r>
        <w:t xml:space="preserve"> for company to become C </w:t>
      </w:r>
      <w:proofErr w:type="gramStart"/>
      <w:r>
        <w:t>corporation</w:t>
      </w:r>
      <w:proofErr w:type="gramEnd"/>
      <w:r>
        <w:t xml:space="preserve"> if this equation is true:</w:t>
      </w:r>
    </w:p>
    <w:tbl>
      <w:tblPr>
        <w:tblW w:w="5000" w:type="pct"/>
        <w:tblCellMar>
          <w:left w:w="70" w:type="dxa"/>
          <w:right w:w="70" w:type="dxa"/>
        </w:tblCellMar>
        <w:tblLook w:val="0000" w:firstRow="0" w:lastRow="0" w:firstColumn="0" w:lastColumn="0" w:noHBand="0" w:noVBand="0"/>
      </w:tblPr>
      <w:tblGrid>
        <w:gridCol w:w="8481"/>
        <w:gridCol w:w="731"/>
      </w:tblGrid>
      <w:tr w:rsidR="00520847" w:rsidRPr="009B6969" w:rsidTr="00BF7038">
        <w:trPr>
          <w:trHeight w:val="259"/>
        </w:trPr>
        <w:tc>
          <w:tcPr>
            <w:tcW w:w="4603" w:type="pct"/>
            <w:vAlign w:val="center"/>
          </w:tcPr>
          <w:p w:rsidR="00520847" w:rsidRPr="0034726F" w:rsidRDefault="00520847" w:rsidP="00BF7038">
            <w:pPr>
              <w:pStyle w:val="Formula"/>
              <w:rPr>
                <w:sz w:val="20"/>
              </w:rPr>
            </w:pPr>
            <m:oMathPara>
              <m:oMath>
                <m:r>
                  <w:rPr>
                    <w:rFonts w:ascii="Cambria Math" w:hAnsi="Cambria Math"/>
                    <w:sz w:val="20"/>
                  </w:rPr>
                  <m:t>g</m:t>
                </m:r>
                <m:d>
                  <m:dPr>
                    <m:ctrlPr>
                      <w:rPr>
                        <w:rFonts w:ascii="Cambria Math" w:hAnsi="Cambria Math"/>
                        <w:i/>
                        <w:sz w:val="20"/>
                      </w:rPr>
                    </m:ctrlPr>
                  </m:dPr>
                  <m:e>
                    <m:r>
                      <w:rPr>
                        <w:rFonts w:ascii="Cambria Math" w:hAnsi="Cambria Math"/>
                        <w:sz w:val="20"/>
                      </w:rPr>
                      <m:t>1-</m:t>
                    </m:r>
                    <m:sSub>
                      <m:sSubPr>
                        <m:ctrlPr>
                          <w:rPr>
                            <w:rFonts w:ascii="Cambria Math" w:hAnsi="Cambria Math"/>
                            <w:i/>
                            <w:sz w:val="20"/>
                          </w:rPr>
                        </m:ctrlPr>
                      </m:sSubPr>
                      <m:e>
                        <m:r>
                          <w:rPr>
                            <w:rFonts w:ascii="Cambria Math" w:hAnsi="Cambria Math"/>
                            <w:sz w:val="20"/>
                          </w:rPr>
                          <m:t>r</m:t>
                        </m:r>
                      </m:e>
                      <m:sub>
                        <m:r>
                          <w:rPr>
                            <w:rFonts w:ascii="Cambria Math" w:hAnsi="Cambria Math"/>
                            <w:sz w:val="20"/>
                          </w:rPr>
                          <m:t>c</m:t>
                        </m:r>
                      </m:sub>
                    </m:sSub>
                    <m:r>
                      <w:rPr>
                        <w:rFonts w:ascii="Cambria Math" w:hAnsi="Cambria Math"/>
                        <w:sz w:val="20"/>
                      </w:rPr>
                      <m:t>-</m:t>
                    </m:r>
                    <m:d>
                      <m:dPr>
                        <m:ctrlPr>
                          <w:rPr>
                            <w:rFonts w:ascii="Cambria Math" w:hAnsi="Cambria Math"/>
                            <w:i/>
                            <w:sz w:val="20"/>
                          </w:rPr>
                        </m:ctrlPr>
                      </m:dPr>
                      <m:e>
                        <m:r>
                          <w:rPr>
                            <w:rFonts w:ascii="Cambria Math" w:hAnsi="Cambria Math"/>
                            <w:sz w:val="20"/>
                          </w:rPr>
                          <m:t>1-</m:t>
                        </m:r>
                        <m:sSub>
                          <m:sSubPr>
                            <m:ctrlPr>
                              <w:rPr>
                                <w:rFonts w:ascii="Cambria Math" w:hAnsi="Cambria Math"/>
                                <w:i/>
                                <w:sz w:val="20"/>
                              </w:rPr>
                            </m:ctrlPr>
                          </m:sSubPr>
                          <m:e>
                            <m:r>
                              <w:rPr>
                                <w:rFonts w:ascii="Cambria Math" w:hAnsi="Cambria Math"/>
                                <w:sz w:val="20"/>
                              </w:rPr>
                              <m:t>r</m:t>
                            </m:r>
                          </m:e>
                          <m:sub>
                            <m:r>
                              <w:rPr>
                                <w:rFonts w:ascii="Cambria Math" w:hAnsi="Cambria Math"/>
                                <w:sz w:val="20"/>
                              </w:rPr>
                              <m:t>c</m:t>
                            </m:r>
                          </m:sub>
                        </m:sSub>
                      </m:e>
                    </m:d>
                    <m:sSub>
                      <m:sSubPr>
                        <m:ctrlPr>
                          <w:rPr>
                            <w:rFonts w:ascii="Cambria Math" w:hAnsi="Cambria Math"/>
                            <w:i/>
                            <w:sz w:val="20"/>
                          </w:rPr>
                        </m:ctrlPr>
                      </m:sSubPr>
                      <m:e>
                        <m:r>
                          <w:rPr>
                            <w:rFonts w:ascii="Cambria Math" w:hAnsi="Cambria Math"/>
                            <w:sz w:val="20"/>
                          </w:rPr>
                          <m:t>r</m:t>
                        </m:r>
                      </m:e>
                      <m:sub>
                        <m:r>
                          <w:rPr>
                            <w:rFonts w:ascii="Cambria Math" w:hAnsi="Cambria Math"/>
                            <w:sz w:val="20"/>
                          </w:rPr>
                          <m:t>e</m:t>
                        </m:r>
                      </m:sub>
                    </m:sSub>
                  </m:e>
                </m:d>
                <m:r>
                  <w:rPr>
                    <w:rFonts w:ascii="Cambria Math" w:hAnsi="Cambria Math"/>
                    <w:sz w:val="20"/>
                  </w:rPr>
                  <m:t>&gt;</m:t>
                </m:r>
                <m:sSub>
                  <m:sSubPr>
                    <m:ctrlPr>
                      <w:rPr>
                        <w:rFonts w:ascii="Cambria Math" w:hAnsi="Cambria Math"/>
                        <w:i/>
                        <w:sz w:val="20"/>
                      </w:rPr>
                    </m:ctrlPr>
                  </m:sSubPr>
                  <m:e>
                    <m:r>
                      <w:rPr>
                        <w:rFonts w:ascii="Cambria Math" w:hAnsi="Cambria Math"/>
                        <w:sz w:val="20"/>
                      </w:rPr>
                      <m:t>I</m:t>
                    </m:r>
                  </m:e>
                  <m:sub>
                    <m:r>
                      <w:rPr>
                        <w:rFonts w:ascii="Cambria Math" w:hAnsi="Cambria Math"/>
                        <w:sz w:val="20"/>
                      </w:rPr>
                      <m:t>x</m:t>
                    </m:r>
                  </m:sub>
                </m:sSub>
                <m:r>
                  <w:rPr>
                    <w:rFonts w:ascii="Cambria Math" w:hAnsi="Cambria Math"/>
                    <w:sz w:val="20"/>
                  </w:rPr>
                  <m:t>(</m:t>
                </m:r>
                <m:sSub>
                  <m:sSubPr>
                    <m:ctrlPr>
                      <w:rPr>
                        <w:rFonts w:ascii="Cambria Math" w:hAnsi="Cambria Math"/>
                        <w:i/>
                        <w:sz w:val="20"/>
                      </w:rPr>
                    </m:ctrlPr>
                  </m:sSubPr>
                  <m:e>
                    <m:r>
                      <w:rPr>
                        <w:rFonts w:ascii="Cambria Math" w:hAnsi="Cambria Math"/>
                        <w:sz w:val="20"/>
                      </w:rPr>
                      <m:t>r</m:t>
                    </m:r>
                  </m:e>
                  <m:sub>
                    <m:r>
                      <w:rPr>
                        <w:rFonts w:ascii="Cambria Math" w:hAnsi="Cambria Math"/>
                        <w:sz w:val="20"/>
                      </w:rPr>
                      <m:t>c</m:t>
                    </m:r>
                  </m:sub>
                </m:sSub>
                <m:r>
                  <w:rPr>
                    <w:rFonts w:ascii="Cambria Math" w:hAnsi="Cambria Math"/>
                    <w:sz w:val="20"/>
                  </w:rPr>
                  <m:t>+</m:t>
                </m:r>
                <m:d>
                  <m:dPr>
                    <m:ctrlPr>
                      <w:rPr>
                        <w:rFonts w:ascii="Cambria Math" w:hAnsi="Cambria Math"/>
                        <w:i/>
                        <w:sz w:val="20"/>
                      </w:rPr>
                    </m:ctrlPr>
                  </m:dPr>
                  <m:e>
                    <m:r>
                      <w:rPr>
                        <w:rFonts w:ascii="Cambria Math" w:hAnsi="Cambria Math"/>
                        <w:sz w:val="20"/>
                      </w:rPr>
                      <m:t>1-</m:t>
                    </m:r>
                    <m:sSub>
                      <m:sSubPr>
                        <m:ctrlPr>
                          <w:rPr>
                            <w:rFonts w:ascii="Cambria Math" w:hAnsi="Cambria Math"/>
                            <w:i/>
                            <w:sz w:val="20"/>
                          </w:rPr>
                        </m:ctrlPr>
                      </m:sSubPr>
                      <m:e>
                        <m:r>
                          <w:rPr>
                            <w:rFonts w:ascii="Cambria Math" w:hAnsi="Cambria Math"/>
                            <w:sz w:val="20"/>
                          </w:rPr>
                          <m:t>r</m:t>
                        </m:r>
                      </m:e>
                      <m:sub>
                        <m:r>
                          <w:rPr>
                            <w:rFonts w:ascii="Cambria Math" w:hAnsi="Cambria Math"/>
                            <w:sz w:val="20"/>
                          </w:rPr>
                          <m:t>c</m:t>
                        </m:r>
                      </m:sub>
                    </m:sSub>
                  </m:e>
                </m:d>
                <m:sSub>
                  <m:sSubPr>
                    <m:ctrlPr>
                      <w:rPr>
                        <w:rFonts w:ascii="Cambria Math" w:hAnsi="Cambria Math"/>
                        <w:i/>
                        <w:sz w:val="20"/>
                      </w:rPr>
                    </m:ctrlPr>
                  </m:sSubPr>
                  <m:e>
                    <m:r>
                      <w:rPr>
                        <w:rFonts w:ascii="Cambria Math" w:hAnsi="Cambria Math"/>
                        <w:sz w:val="20"/>
                      </w:rPr>
                      <m:t>r</m:t>
                    </m:r>
                  </m:e>
                  <m:sub>
                    <m:r>
                      <w:rPr>
                        <w:rFonts w:ascii="Cambria Math" w:hAnsi="Cambria Math"/>
                        <w:sz w:val="20"/>
                      </w:rPr>
                      <m:t>e</m:t>
                    </m:r>
                  </m:sub>
                </m:sSub>
                <m:r>
                  <w:rPr>
                    <w:rFonts w:ascii="Cambria Math" w:hAnsi="Cambria Math"/>
                    <w:sz w:val="20"/>
                  </w:rPr>
                  <m:t>-</m:t>
                </m:r>
                <m:sSub>
                  <m:sSubPr>
                    <m:ctrlPr>
                      <w:rPr>
                        <w:rFonts w:ascii="Cambria Math" w:hAnsi="Cambria Math"/>
                        <w:i/>
                        <w:sz w:val="20"/>
                      </w:rPr>
                    </m:ctrlPr>
                  </m:sSubPr>
                  <m:e>
                    <m:r>
                      <w:rPr>
                        <w:rFonts w:ascii="Cambria Math" w:hAnsi="Cambria Math"/>
                        <w:sz w:val="20"/>
                      </w:rPr>
                      <m:t>r</m:t>
                    </m:r>
                  </m:e>
                  <m:sub>
                    <m:r>
                      <w:rPr>
                        <w:rFonts w:ascii="Cambria Math" w:hAnsi="Cambria Math"/>
                        <w:sz w:val="20"/>
                      </w:rPr>
                      <m:t>n</m:t>
                    </m:r>
                  </m:sub>
                </m:sSub>
                <m:r>
                  <w:rPr>
                    <w:rFonts w:ascii="Cambria Math" w:hAnsi="Cambria Math"/>
                    <w:sz w:val="20"/>
                  </w:rPr>
                  <m:t>)</m:t>
                </m:r>
              </m:oMath>
            </m:oMathPara>
          </w:p>
        </w:tc>
        <w:tc>
          <w:tcPr>
            <w:tcW w:w="397" w:type="pct"/>
            <w:vAlign w:val="center"/>
          </w:tcPr>
          <w:p w:rsidR="00520847" w:rsidRPr="009B6969" w:rsidRDefault="0024597A" w:rsidP="00BF7038">
            <w:r>
              <w:t>(1</w:t>
            </w:r>
            <w:r w:rsidR="00520847" w:rsidRPr="009B6969">
              <w:t>)</w:t>
            </w:r>
          </w:p>
        </w:tc>
      </w:tr>
    </w:tbl>
    <w:p w:rsidR="00520847" w:rsidRDefault="0034726F" w:rsidP="00520847">
      <w:pPr>
        <w:pStyle w:val="Zkladntext-prvnodsazen"/>
      </w:pPr>
      <w:r w:rsidRPr="009B6969">
        <w:t xml:space="preserve">Where </w:t>
      </w:r>
      <w:r w:rsidRPr="009B6969">
        <w:rPr>
          <w:i/>
        </w:rPr>
        <w:t>g</w:t>
      </w:r>
      <w:r w:rsidRPr="009B6969">
        <w:t xml:space="preserve"> means any non-tax factors that make C corporation form more attractive (g can be also negative), </w:t>
      </w:r>
      <m:oMath>
        <m:sSub>
          <m:sSubPr>
            <m:ctrlPr>
              <w:rPr>
                <w:rFonts w:ascii="Cambria Math" w:hAnsi="Cambria Math"/>
                <w:i/>
              </w:rPr>
            </m:ctrlPr>
          </m:sSubPr>
          <m:e>
            <m:r>
              <w:rPr>
                <w:rFonts w:ascii="Cambria Math" w:hAnsi="Cambria Math"/>
              </w:rPr>
              <m:t>r</m:t>
            </m:r>
          </m:e>
          <m:sub>
            <m:r>
              <w:rPr>
                <w:rFonts w:ascii="Cambria Math" w:hAnsi="Cambria Math"/>
              </w:rPr>
              <m:t>c</m:t>
            </m:r>
          </m:sub>
        </m:sSub>
      </m:oMath>
      <w:r w:rsidRPr="009B6969">
        <w:t xml:space="preserve"> is corporate tax rate, </w:t>
      </w:r>
      <m:oMath>
        <m:sSub>
          <m:sSubPr>
            <m:ctrlPr>
              <w:rPr>
                <w:rFonts w:ascii="Cambria Math" w:hAnsi="Cambria Math"/>
                <w:i/>
              </w:rPr>
            </m:ctrlPr>
          </m:sSubPr>
          <m:e>
            <m:r>
              <w:rPr>
                <w:rFonts w:ascii="Cambria Math" w:hAnsi="Cambria Math"/>
              </w:rPr>
              <m:t>r</m:t>
            </m:r>
          </m:e>
          <m:sub>
            <m:r>
              <w:rPr>
                <w:rFonts w:ascii="Cambria Math" w:hAnsi="Cambria Math"/>
              </w:rPr>
              <m:t>e</m:t>
            </m:r>
          </m:sub>
        </m:sSub>
      </m:oMath>
      <w:r w:rsidRPr="009B6969">
        <w:t xml:space="preserve"> represents implicit personal tax rate per dollar of income to equity, taking as given the division of this income between dividends and capital gains, </w:t>
      </w:r>
      <m:oMath>
        <m:sSub>
          <m:sSubPr>
            <m:ctrlPr>
              <w:rPr>
                <w:rFonts w:ascii="Cambria Math" w:hAnsi="Cambria Math"/>
                <w:i/>
              </w:rPr>
            </m:ctrlPr>
          </m:sSubPr>
          <m:e>
            <m:r>
              <w:rPr>
                <w:rFonts w:ascii="Cambria Math" w:hAnsi="Cambria Math"/>
              </w:rPr>
              <m:t>r</m:t>
            </m:r>
          </m:e>
          <m:sub>
            <m:r>
              <w:rPr>
                <w:rFonts w:ascii="Cambria Math" w:hAnsi="Cambria Math"/>
              </w:rPr>
              <m:t>n</m:t>
            </m:r>
          </m:sub>
        </m:sSub>
      </m:oMath>
      <w:r w:rsidRPr="009B6969">
        <w:t xml:space="preserve"> is personal tax rate on ordinary income and </w:t>
      </w:r>
      <m:oMath>
        <m:sSub>
          <m:sSubPr>
            <m:ctrlPr>
              <w:rPr>
                <w:rFonts w:ascii="Cambria Math" w:hAnsi="Cambria Math"/>
                <w:i/>
              </w:rPr>
            </m:ctrlPr>
          </m:sSubPr>
          <m:e>
            <m:r>
              <w:rPr>
                <w:rFonts w:ascii="Cambria Math" w:hAnsi="Cambria Math"/>
              </w:rPr>
              <m:t>I</m:t>
            </m:r>
          </m:e>
          <m:sub>
            <m:r>
              <w:rPr>
                <w:rFonts w:ascii="Cambria Math" w:hAnsi="Cambria Math"/>
              </w:rPr>
              <m:t>x</m:t>
            </m:r>
          </m:sub>
        </m:sSub>
      </m:oMath>
      <w:r w:rsidRPr="009B6969">
        <w:t xml:space="preserve"> stands for taxable income of the company.</w:t>
      </w:r>
      <w:r w:rsidR="00520847">
        <w:t xml:space="preserve"> </w:t>
      </w:r>
      <w:r>
        <w:t xml:space="preserve">This equation tells us that for company is preferable to incorporate if </w:t>
      </w:r>
      <w:r w:rsidRPr="009B6969">
        <w:t>effects on non-tax factors (g) applied when company chose to incorporate and become C corporation increase the net profit of</w:t>
      </w:r>
      <w:r>
        <w:t xml:space="preserve"> the</w:t>
      </w:r>
      <w:r w:rsidRPr="009B6969">
        <w:t xml:space="preserve"> company more, than added corporate tax rate (</w:t>
      </w:r>
      <m:oMath>
        <m:sSub>
          <m:sSubPr>
            <m:ctrlPr>
              <w:rPr>
                <w:rFonts w:ascii="Cambria Math" w:hAnsi="Cambria Math"/>
                <w:i/>
                <w:sz w:val="22"/>
                <w:szCs w:val="20"/>
              </w:rPr>
            </m:ctrlPr>
          </m:sSubPr>
          <m:e>
            <m:r>
              <w:rPr>
                <w:rFonts w:ascii="Cambria Math" w:hAnsi="Cambria Math"/>
              </w:rPr>
              <m:t>r</m:t>
            </m:r>
          </m:e>
          <m:sub>
            <m:r>
              <w:rPr>
                <w:rFonts w:ascii="Cambria Math" w:hAnsi="Cambria Math"/>
              </w:rPr>
              <m:t>c</m:t>
            </m:r>
          </m:sub>
        </m:sSub>
      </m:oMath>
      <w:r w:rsidRPr="009B6969">
        <w:rPr>
          <w:sz w:val="22"/>
          <w:szCs w:val="20"/>
        </w:rPr>
        <w:t xml:space="preserve">), </w:t>
      </w:r>
      <w:r w:rsidRPr="009B6969">
        <w:t>applied on taxable income (</w:t>
      </w:r>
      <m:oMath>
        <m:sSub>
          <m:sSubPr>
            <m:ctrlPr>
              <w:rPr>
                <w:rFonts w:ascii="Cambria Math" w:hAnsi="Cambria Math"/>
                <w:i/>
              </w:rPr>
            </m:ctrlPr>
          </m:sSubPr>
          <m:e>
            <m:r>
              <w:rPr>
                <w:rFonts w:ascii="Cambria Math" w:hAnsi="Cambria Math"/>
              </w:rPr>
              <m:t>I</m:t>
            </m:r>
          </m:e>
          <m:sub>
            <m:r>
              <w:rPr>
                <w:rFonts w:ascii="Cambria Math" w:hAnsi="Cambria Math"/>
              </w:rPr>
              <m:t>x</m:t>
            </m:r>
          </m:sub>
        </m:sSub>
      </m:oMath>
      <w:r w:rsidRPr="009B6969">
        <w:t>) of C corpor</w:t>
      </w:r>
      <w:r w:rsidRPr="009B6969">
        <w:t>a</w:t>
      </w:r>
      <w:r w:rsidR="00E34BEB">
        <w:t xml:space="preserve">tion </w:t>
      </w:r>
      <w:r w:rsidRPr="009B6969">
        <w:t>will decrease</w:t>
      </w:r>
      <w:r w:rsidR="00E770EC">
        <w:t xml:space="preserve"> its</w:t>
      </w:r>
      <w:r w:rsidRPr="009B6969">
        <w:t xml:space="preserve"> net profit.</w:t>
      </w:r>
    </w:p>
    <w:p w:rsidR="0024597A" w:rsidRDefault="0024597A" w:rsidP="00520847">
      <w:pPr>
        <w:pStyle w:val="Zkladntext-prvnodsazen"/>
      </w:pPr>
      <w:r>
        <w:t xml:space="preserve">It is problematic, or even impossible to properly measure right side of equation (1) in numbers because of the variable </w:t>
      </w:r>
      <w:r>
        <w:rPr>
          <w:i/>
        </w:rPr>
        <w:t>g</w:t>
      </w:r>
      <w:r>
        <w:t xml:space="preserve"> that </w:t>
      </w:r>
      <w:r w:rsidR="00E925C2">
        <w:t>sums</w:t>
      </w:r>
      <w:r>
        <w:t xml:space="preserve"> up many non-tax factors, for example advantage of limited liability of C </w:t>
      </w:r>
      <w:proofErr w:type="gramStart"/>
      <w:r>
        <w:t>corporation</w:t>
      </w:r>
      <w:proofErr w:type="gramEnd"/>
      <w:r>
        <w:t xml:space="preserve"> for its owners</w:t>
      </w:r>
      <w:r w:rsidR="00504F35">
        <w:t xml:space="preserve"> or</w:t>
      </w:r>
      <w:r>
        <w:t xml:space="preserve"> better </w:t>
      </w:r>
      <w:r w:rsidR="00E925C2">
        <w:t>access</w:t>
      </w:r>
      <w:r>
        <w:t xml:space="preserve"> </w:t>
      </w:r>
      <w:r w:rsidR="00504F35">
        <w:t xml:space="preserve">to </w:t>
      </w:r>
      <w:r w:rsidR="00270724">
        <w:t>additional capital. But measuring effect of corporate tax on business organizational form can be done by focusing only on right side of equation (1), specifically changes of included tax rates.</w:t>
      </w:r>
    </w:p>
    <w:p w:rsidR="00270724" w:rsidRDefault="00270724" w:rsidP="00520847">
      <w:pPr>
        <w:pStyle w:val="Zkladntext-prvnodsazen"/>
      </w:pPr>
      <w:r>
        <w:t>Based on equation (1), we can created these two general assumptions:</w:t>
      </w:r>
    </w:p>
    <w:p w:rsidR="00270724" w:rsidRPr="009B6969" w:rsidRDefault="00270724" w:rsidP="00270724">
      <w:pPr>
        <w:pStyle w:val="Odstavecseseznamem"/>
        <w:numPr>
          <w:ilvl w:val="0"/>
          <w:numId w:val="20"/>
        </w:numPr>
        <w:jc w:val="both"/>
      </w:pPr>
      <w:r w:rsidRPr="009B6969">
        <w:t xml:space="preserve">Increase of variables </w:t>
      </w:r>
      <m:oMath>
        <m:sSub>
          <m:sSubPr>
            <m:ctrlPr>
              <w:rPr>
                <w:rFonts w:ascii="Cambria Math" w:hAnsi="Cambria Math"/>
                <w:i/>
              </w:rPr>
            </m:ctrlPr>
          </m:sSubPr>
          <m:e>
            <m:r>
              <w:rPr>
                <w:rFonts w:ascii="Cambria Math" w:hAnsi="Cambria Math"/>
              </w:rPr>
              <m:t>r</m:t>
            </m:r>
          </m:e>
          <m:sub>
            <m:r>
              <w:rPr>
                <w:rFonts w:ascii="Cambria Math" w:hAnsi="Cambria Math"/>
              </w:rPr>
              <m:t>c</m:t>
            </m:r>
          </m:sub>
        </m:sSub>
      </m:oMath>
      <w:r w:rsidRPr="009B6969">
        <w:t xml:space="preserve"> and </w:t>
      </w:r>
      <m:oMath>
        <m:sSub>
          <m:sSubPr>
            <m:ctrlPr>
              <w:rPr>
                <w:rFonts w:ascii="Cambria Math" w:hAnsi="Cambria Math"/>
                <w:i/>
              </w:rPr>
            </m:ctrlPr>
          </m:sSubPr>
          <m:e>
            <m:r>
              <w:rPr>
                <w:rFonts w:ascii="Cambria Math" w:hAnsi="Cambria Math"/>
              </w:rPr>
              <m:t>r</m:t>
            </m:r>
          </m:e>
          <m:sub>
            <m:r>
              <w:rPr>
                <w:rFonts w:ascii="Cambria Math" w:hAnsi="Cambria Math"/>
              </w:rPr>
              <m:t>e</m:t>
            </m:r>
          </m:sub>
        </m:sSub>
      </m:oMath>
      <w:r w:rsidRPr="009B6969">
        <w:t xml:space="preserve"> from equation (1) will encourage companies with taxable profits to </w:t>
      </w:r>
      <w:proofErr w:type="spellStart"/>
      <w:r w:rsidRPr="008A1B1D">
        <w:rPr>
          <w:color w:val="000000" w:themeColor="text1"/>
        </w:rPr>
        <w:t>disincorporate</w:t>
      </w:r>
      <w:proofErr w:type="spellEnd"/>
      <w:r w:rsidRPr="009B6969">
        <w:t xml:space="preserve"> and companies with tax losses to incorporate.</w:t>
      </w:r>
    </w:p>
    <w:p w:rsidR="00F54698" w:rsidRDefault="00270724" w:rsidP="00F54698">
      <w:pPr>
        <w:pStyle w:val="Odstavecseseznamem"/>
        <w:numPr>
          <w:ilvl w:val="0"/>
          <w:numId w:val="20"/>
        </w:numPr>
        <w:jc w:val="both"/>
      </w:pPr>
      <w:r w:rsidRPr="009B6969">
        <w:t xml:space="preserve">Increase in </w:t>
      </w:r>
      <m:oMath>
        <m:sSub>
          <m:sSubPr>
            <m:ctrlPr>
              <w:rPr>
                <w:rFonts w:ascii="Cambria Math" w:hAnsi="Cambria Math"/>
                <w:i/>
              </w:rPr>
            </m:ctrlPr>
          </m:sSubPr>
          <m:e>
            <m:r>
              <w:rPr>
                <w:rFonts w:ascii="Cambria Math" w:hAnsi="Cambria Math"/>
              </w:rPr>
              <m:t>r</m:t>
            </m:r>
          </m:e>
          <m:sub>
            <m:r>
              <w:rPr>
                <w:rFonts w:ascii="Cambria Math" w:hAnsi="Cambria Math"/>
              </w:rPr>
              <m:t>n</m:t>
            </m:r>
          </m:sub>
        </m:sSub>
      </m:oMath>
      <w:r w:rsidRPr="009B6969">
        <w:t xml:space="preserve"> from equation (1) will encourage companies with tax losses to </w:t>
      </w:r>
      <w:proofErr w:type="spellStart"/>
      <w:r w:rsidRPr="008A1B1D">
        <w:rPr>
          <w:color w:val="000000" w:themeColor="text1"/>
        </w:rPr>
        <w:t>disincorporate</w:t>
      </w:r>
      <w:proofErr w:type="spellEnd"/>
      <w:r w:rsidRPr="009B6969">
        <w:t xml:space="preserve"> and companies with taxable profit to incorporate.</w:t>
      </w:r>
    </w:p>
    <w:p w:rsidR="00270724" w:rsidRPr="0024597A" w:rsidRDefault="00772B83" w:rsidP="005E139A">
      <w:pPr>
        <w:pStyle w:val="Nadpis1"/>
      </w:pPr>
      <w:r>
        <w:t xml:space="preserve">Data and analysis </w:t>
      </w:r>
      <w:r w:rsidR="005E139A">
        <w:t>approach</w:t>
      </w:r>
      <w:r w:rsidR="00CB0B4F">
        <w:t xml:space="preserve"> </w:t>
      </w:r>
    </w:p>
    <w:p w:rsidR="00AF6646" w:rsidRDefault="008C7F20" w:rsidP="001C5D70">
      <w:pPr>
        <w:pStyle w:val="Zkladntext-prvnodsazen"/>
      </w:pPr>
      <w:r>
        <w:t>The analysis made in this study was working with relevant data about the Czech Republic from years 1993-2015 obtained from Business register of Czech Statistical Office</w:t>
      </w:r>
      <w:r w:rsidR="005E10DC">
        <w:t xml:space="preserve"> (</w:t>
      </w:r>
      <w:proofErr w:type="spellStart"/>
      <w:r w:rsidR="005E10DC">
        <w:t>Český</w:t>
      </w:r>
      <w:proofErr w:type="spellEnd"/>
      <w:r w:rsidR="005E10DC">
        <w:t xml:space="preserve"> </w:t>
      </w:r>
      <w:proofErr w:type="spellStart"/>
      <w:r w:rsidR="005E10DC">
        <w:t>statistický</w:t>
      </w:r>
      <w:proofErr w:type="spellEnd"/>
      <w:r w:rsidR="005E10DC">
        <w:t xml:space="preserve"> </w:t>
      </w:r>
      <w:proofErr w:type="spellStart"/>
      <w:r w:rsidR="005E10DC">
        <w:t>úřad</w:t>
      </w:r>
      <w:proofErr w:type="spellEnd"/>
      <w:r w:rsidR="005E10DC">
        <w:t>, 2016)</w:t>
      </w:r>
      <w:r>
        <w:t xml:space="preserve"> and</w:t>
      </w:r>
      <w:r w:rsidR="00B12E46">
        <w:t xml:space="preserve"> </w:t>
      </w:r>
      <w:proofErr w:type="spellStart"/>
      <w:r w:rsidR="00B12E46">
        <w:t>Macroec</w:t>
      </w:r>
      <w:r w:rsidR="00B12E46">
        <w:t>o</w:t>
      </w:r>
      <w:r w:rsidR="00B12E46">
        <w:t>nomical</w:t>
      </w:r>
      <w:proofErr w:type="spellEnd"/>
      <w:r w:rsidR="00B12E46">
        <w:t xml:space="preserve"> P</w:t>
      </w:r>
      <w:r>
        <w:t>redictions of Ministry of Finance of the Czech Republic</w:t>
      </w:r>
      <w:r w:rsidR="005E10DC">
        <w:t xml:space="preserve"> (</w:t>
      </w:r>
      <w:proofErr w:type="spellStart"/>
      <w:r w:rsidR="005E10DC">
        <w:t>Ministerstvo</w:t>
      </w:r>
      <w:proofErr w:type="spellEnd"/>
      <w:r w:rsidR="005E10DC">
        <w:t xml:space="preserve"> finance, 2016)</w:t>
      </w:r>
      <w:r>
        <w:t>.</w:t>
      </w:r>
      <w:r w:rsidR="001C5D70">
        <w:t xml:space="preserve"> </w:t>
      </w:r>
      <w:r>
        <w:t xml:space="preserve">Principle of the analysis was to test correlation between changes of </w:t>
      </w:r>
      <w:r w:rsidR="00F823D4">
        <w:t>relative tax treatment of corporate and non-corporate income</w:t>
      </w:r>
      <w:r w:rsidR="00CD3552">
        <w:t xml:space="preserve"> (variable one)</w:t>
      </w:r>
      <w:r w:rsidR="00F823D4">
        <w:t xml:space="preserve"> </w:t>
      </w:r>
      <w:r>
        <w:t xml:space="preserve">and </w:t>
      </w:r>
      <w:r w:rsidR="00B12E46">
        <w:t>changes in ratio of</w:t>
      </w:r>
      <w:r w:rsidR="004021BF">
        <w:t xml:space="preserve"> number of</w:t>
      </w:r>
      <w:r w:rsidR="00B12E46">
        <w:t xml:space="preserve"> C and S corporations</w:t>
      </w:r>
      <w:r w:rsidR="00CD3552">
        <w:t xml:space="preserve"> (variable two)</w:t>
      </w:r>
      <w:r w:rsidR="00B12E46">
        <w:t xml:space="preserve"> each year in the Czech Republic </w:t>
      </w:r>
      <w:proofErr w:type="gramStart"/>
      <w:r w:rsidR="00B12E46">
        <w:t>between 1993-2015</w:t>
      </w:r>
      <w:proofErr w:type="gramEnd"/>
      <w:r w:rsidR="00B12E46">
        <w:t>.</w:t>
      </w:r>
      <w:r w:rsidR="00E165C1">
        <w:t xml:space="preserve"> T</w:t>
      </w:r>
      <w:r w:rsidR="001C5D70">
        <w:t>ime series</w:t>
      </w:r>
      <w:r w:rsidR="00E165C1">
        <w:t xml:space="preserve"> for both variables were created for</w:t>
      </w:r>
      <w:r w:rsidR="001C5D70">
        <w:t xml:space="preserve"> year</w:t>
      </w:r>
      <w:r w:rsidR="004C3B17">
        <w:t>s</w:t>
      </w:r>
      <w:r w:rsidR="001C5D70">
        <w:t xml:space="preserve"> </w:t>
      </w:r>
      <w:proofErr w:type="gramStart"/>
      <w:r w:rsidR="001C5D70">
        <w:t>between 1993-2015</w:t>
      </w:r>
      <w:proofErr w:type="gramEnd"/>
      <w:r w:rsidR="001C5D70">
        <w:t xml:space="preserve">. </w:t>
      </w:r>
    </w:p>
    <w:p w:rsidR="001C5D70" w:rsidRDefault="00733526" w:rsidP="00725E7D">
      <w:pPr>
        <w:pStyle w:val="Zkladntext-prvnodsazen"/>
        <w:rPr>
          <w:szCs w:val="20"/>
        </w:rPr>
      </w:pPr>
      <w:r>
        <w:t>First variable,</w:t>
      </w:r>
      <w:r w:rsidR="001C5D70">
        <w:t xml:space="preserve"> called tax treatment </w:t>
      </w:r>
      <w:r>
        <w:t xml:space="preserve">is </w:t>
      </w:r>
      <w:r w:rsidR="001C5D70">
        <w:t>based on the</w:t>
      </w:r>
      <w:r>
        <w:t xml:space="preserve"> original</w:t>
      </w:r>
      <w:r w:rsidR="001C5D70">
        <w:t xml:space="preserve"> theoretical model from previous chapter, specif</w:t>
      </w:r>
      <w:r w:rsidR="001C5D70">
        <w:t>i</w:t>
      </w:r>
      <w:r w:rsidR="001C5D70">
        <w:t>cally from part of</w:t>
      </w:r>
      <w:r w:rsidR="009E487F">
        <w:t xml:space="preserve"> right side of</w:t>
      </w:r>
      <w:r w:rsidR="001C5D70">
        <w:t xml:space="preserve"> equation (1)</w:t>
      </w:r>
      <w:proofErr w:type="gramStart"/>
      <w:r w:rsidR="00740B92">
        <w:t>:</w:t>
      </w:r>
      <w:r w:rsidR="001C5D70">
        <w:t xml:space="preserve"> </w:t>
      </w:r>
      <w:proofErr w:type="gramEnd"/>
      <m:oMath>
        <m:sSub>
          <m:sSubPr>
            <m:ctrlPr>
              <w:rPr>
                <w:rFonts w:ascii="Cambria Math" w:hAnsi="Cambria Math"/>
                <w:i/>
                <w:szCs w:val="20"/>
              </w:rPr>
            </m:ctrlPr>
          </m:sSubPr>
          <m:e>
            <m:r>
              <w:rPr>
                <w:rFonts w:ascii="Cambria Math" w:hAnsi="Cambria Math"/>
                <w:szCs w:val="20"/>
              </w:rPr>
              <m:t>r</m:t>
            </m:r>
          </m:e>
          <m:sub>
            <m:r>
              <w:rPr>
                <w:rFonts w:ascii="Cambria Math" w:hAnsi="Cambria Math"/>
                <w:szCs w:val="20"/>
              </w:rPr>
              <m:t>c</m:t>
            </m:r>
          </m:sub>
        </m:sSub>
        <m:r>
          <w:rPr>
            <w:rFonts w:ascii="Cambria Math" w:hAnsi="Cambria Math"/>
            <w:szCs w:val="20"/>
          </w:rPr>
          <m:t>+</m:t>
        </m:r>
        <m:d>
          <m:dPr>
            <m:ctrlPr>
              <w:rPr>
                <w:rFonts w:ascii="Cambria Math" w:hAnsi="Cambria Math"/>
                <w:i/>
                <w:szCs w:val="20"/>
              </w:rPr>
            </m:ctrlPr>
          </m:dPr>
          <m:e>
            <m:r>
              <w:rPr>
                <w:rFonts w:ascii="Cambria Math" w:hAnsi="Cambria Math"/>
                <w:szCs w:val="20"/>
              </w:rPr>
              <m:t>1-</m:t>
            </m:r>
            <m:sSub>
              <m:sSubPr>
                <m:ctrlPr>
                  <w:rPr>
                    <w:rFonts w:ascii="Cambria Math" w:hAnsi="Cambria Math"/>
                    <w:i/>
                    <w:szCs w:val="20"/>
                  </w:rPr>
                </m:ctrlPr>
              </m:sSubPr>
              <m:e>
                <m:r>
                  <w:rPr>
                    <w:rFonts w:ascii="Cambria Math" w:hAnsi="Cambria Math"/>
                    <w:szCs w:val="20"/>
                  </w:rPr>
                  <m:t>r</m:t>
                </m:r>
              </m:e>
              <m:sub>
                <m:r>
                  <w:rPr>
                    <w:rFonts w:ascii="Cambria Math" w:hAnsi="Cambria Math"/>
                    <w:szCs w:val="20"/>
                  </w:rPr>
                  <m:t>c</m:t>
                </m:r>
              </m:sub>
            </m:sSub>
          </m:e>
        </m:d>
        <m:sSub>
          <m:sSubPr>
            <m:ctrlPr>
              <w:rPr>
                <w:rFonts w:ascii="Cambria Math" w:hAnsi="Cambria Math"/>
                <w:i/>
                <w:szCs w:val="20"/>
              </w:rPr>
            </m:ctrlPr>
          </m:sSubPr>
          <m:e>
            <m:r>
              <w:rPr>
                <w:rFonts w:ascii="Cambria Math" w:hAnsi="Cambria Math"/>
                <w:szCs w:val="20"/>
              </w:rPr>
              <m:t>r</m:t>
            </m:r>
          </m:e>
          <m:sub>
            <m:r>
              <w:rPr>
                <w:rFonts w:ascii="Cambria Math" w:hAnsi="Cambria Math"/>
                <w:szCs w:val="20"/>
              </w:rPr>
              <m:t>e</m:t>
            </m:r>
          </m:sub>
        </m:sSub>
        <m:r>
          <w:rPr>
            <w:rFonts w:ascii="Cambria Math" w:hAnsi="Cambria Math"/>
            <w:szCs w:val="20"/>
          </w:rPr>
          <m:t>-</m:t>
        </m:r>
        <m:sSub>
          <m:sSubPr>
            <m:ctrlPr>
              <w:rPr>
                <w:rFonts w:ascii="Cambria Math" w:hAnsi="Cambria Math"/>
                <w:i/>
                <w:szCs w:val="20"/>
              </w:rPr>
            </m:ctrlPr>
          </m:sSubPr>
          <m:e>
            <m:r>
              <w:rPr>
                <w:rFonts w:ascii="Cambria Math" w:hAnsi="Cambria Math"/>
                <w:szCs w:val="20"/>
              </w:rPr>
              <m:t>r</m:t>
            </m:r>
          </m:e>
          <m:sub>
            <m:r>
              <w:rPr>
                <w:rFonts w:ascii="Cambria Math" w:hAnsi="Cambria Math"/>
                <w:szCs w:val="20"/>
              </w:rPr>
              <m:t>n</m:t>
            </m:r>
          </m:sub>
        </m:sSub>
      </m:oMath>
      <w:r w:rsidR="001C5D70">
        <w:rPr>
          <w:szCs w:val="20"/>
        </w:rPr>
        <w:t xml:space="preserve">. </w:t>
      </w:r>
      <w:r w:rsidR="00AB1577">
        <w:rPr>
          <w:szCs w:val="20"/>
        </w:rPr>
        <w:t>Tax treatment describes how changes of corp</w:t>
      </w:r>
      <w:r w:rsidR="00AB1577">
        <w:rPr>
          <w:szCs w:val="20"/>
        </w:rPr>
        <w:t>o</w:t>
      </w:r>
      <w:r w:rsidR="00AB1577">
        <w:rPr>
          <w:szCs w:val="20"/>
        </w:rPr>
        <w:lastRenderedPageBreak/>
        <w:t xml:space="preserve">rate tax </w:t>
      </w:r>
      <w:proofErr w:type="gramStart"/>
      <w:r w:rsidR="00AB1577">
        <w:rPr>
          <w:szCs w:val="20"/>
        </w:rPr>
        <w:t xml:space="preserve">rate </w:t>
      </w:r>
      <w:proofErr w:type="gramEnd"/>
      <m:oMath>
        <m:sSub>
          <m:sSubPr>
            <m:ctrlPr>
              <w:rPr>
                <w:rFonts w:ascii="Cambria Math" w:hAnsi="Cambria Math"/>
                <w:i/>
                <w:szCs w:val="20"/>
              </w:rPr>
            </m:ctrlPr>
          </m:sSubPr>
          <m:e>
            <m:r>
              <w:rPr>
                <w:rFonts w:ascii="Cambria Math" w:hAnsi="Cambria Math"/>
                <w:szCs w:val="20"/>
              </w:rPr>
              <m:t>r</m:t>
            </m:r>
          </m:e>
          <m:sub>
            <m:r>
              <w:rPr>
                <w:rFonts w:ascii="Cambria Math" w:hAnsi="Cambria Math"/>
                <w:szCs w:val="20"/>
              </w:rPr>
              <m:t>c</m:t>
            </m:r>
          </m:sub>
        </m:sSub>
      </m:oMath>
      <w:r w:rsidR="00AB1577">
        <w:rPr>
          <w:szCs w:val="20"/>
        </w:rPr>
        <w:t xml:space="preserve">, personal tax rate </w:t>
      </w:r>
      <m:oMath>
        <m:sSub>
          <m:sSubPr>
            <m:ctrlPr>
              <w:rPr>
                <w:rFonts w:ascii="Cambria Math" w:hAnsi="Cambria Math"/>
                <w:i/>
                <w:szCs w:val="20"/>
              </w:rPr>
            </m:ctrlPr>
          </m:sSubPr>
          <m:e>
            <m:r>
              <w:rPr>
                <w:rFonts w:ascii="Cambria Math" w:hAnsi="Cambria Math"/>
                <w:szCs w:val="20"/>
              </w:rPr>
              <m:t>r</m:t>
            </m:r>
          </m:e>
          <m:sub>
            <m:r>
              <w:rPr>
                <w:rFonts w:ascii="Cambria Math" w:hAnsi="Cambria Math"/>
                <w:szCs w:val="20"/>
              </w:rPr>
              <m:t>n</m:t>
            </m:r>
          </m:sub>
        </m:sSub>
      </m:oMath>
      <w:r w:rsidR="00AB1577">
        <w:rPr>
          <w:szCs w:val="20"/>
        </w:rPr>
        <w:t xml:space="preserve"> and </w:t>
      </w:r>
      <w:r w:rsidR="00AB1577" w:rsidRPr="009B6969">
        <w:t>implicit personal tax rate per dollar of income to equity</w:t>
      </w:r>
      <w:r w:rsidR="00AB1577">
        <w:t xml:space="preserve"> </w:t>
      </w:r>
      <m:oMath>
        <m:sSub>
          <m:sSubPr>
            <m:ctrlPr>
              <w:rPr>
                <w:rFonts w:ascii="Cambria Math" w:hAnsi="Cambria Math"/>
                <w:i/>
                <w:szCs w:val="20"/>
              </w:rPr>
            </m:ctrlPr>
          </m:sSubPr>
          <m:e>
            <m:r>
              <w:rPr>
                <w:rFonts w:ascii="Cambria Math" w:hAnsi="Cambria Math"/>
                <w:szCs w:val="20"/>
              </w:rPr>
              <m:t>r</m:t>
            </m:r>
          </m:e>
          <m:sub>
            <m:r>
              <w:rPr>
                <w:rFonts w:ascii="Cambria Math" w:hAnsi="Cambria Math"/>
                <w:szCs w:val="20"/>
              </w:rPr>
              <m:t>e</m:t>
            </m:r>
          </m:sub>
        </m:sSub>
      </m:oMath>
      <w:r w:rsidR="00AB1577">
        <w:t xml:space="preserve"> affect corp</w:t>
      </w:r>
      <w:r w:rsidR="00AB1577">
        <w:t>o</w:t>
      </w:r>
      <w:r w:rsidR="00AB1577">
        <w:t>rate and non-corporate income. Increase of</w:t>
      </w:r>
      <w:r w:rsidR="00A0523D">
        <w:t xml:space="preserve"> value of</w:t>
      </w:r>
      <w:r w:rsidR="0042429D">
        <w:t xml:space="preserve"> the</w:t>
      </w:r>
      <w:r w:rsidR="00A0523D">
        <w:t xml:space="preserve"> tax treatment caused by increase of corporate tax rate or</w:t>
      </w:r>
      <w:r w:rsidR="00AB1577">
        <w:t xml:space="preserve"> </w:t>
      </w:r>
      <w:r w:rsidR="00A0523D">
        <w:t>implicit personal tax rate on equi</w:t>
      </w:r>
      <w:r w:rsidR="00C20012">
        <w:t>ty means higher</w:t>
      </w:r>
      <w:r w:rsidR="00A0523D">
        <w:t xml:space="preserve"> taxation of corporate income making the corporate form of business less </w:t>
      </w:r>
      <w:r w:rsidR="00E925C2">
        <w:t>beneficial</w:t>
      </w:r>
      <w:r w:rsidR="00A0523D">
        <w:t xml:space="preserve"> and conversely.</w:t>
      </w:r>
      <w:r w:rsidR="00C20012">
        <w:t xml:space="preserve"> Decrease of value of </w:t>
      </w:r>
      <w:r w:rsidR="0042429D">
        <w:t xml:space="preserve">the </w:t>
      </w:r>
      <w:r w:rsidR="00C20012">
        <w:t>tax treatment caused by i</w:t>
      </w:r>
      <w:r w:rsidR="00A0523D">
        <w:t>nc</w:t>
      </w:r>
      <w:r w:rsidR="0042429D">
        <w:t xml:space="preserve">rease of personal tax rate means higher taxation of non-corporate income making the corporate form of business more </w:t>
      </w:r>
      <w:r w:rsidR="00E925C2">
        <w:t>beneficial</w:t>
      </w:r>
      <w:r w:rsidR="0042429D">
        <w:t xml:space="preserve"> and conversely.</w:t>
      </w:r>
      <w:r w:rsidR="00725E7D">
        <w:rPr>
          <w:szCs w:val="20"/>
        </w:rPr>
        <w:t xml:space="preserve"> But t</w:t>
      </w:r>
      <w:r w:rsidR="00234A48">
        <w:rPr>
          <w:szCs w:val="20"/>
        </w:rPr>
        <w:t>his formula of tax treatment was suitable for tax system of the United States, where the original theoretical model was made. To match the tax system of the Czech Republic,</w:t>
      </w:r>
      <w:r w:rsidR="00D83E7F">
        <w:rPr>
          <w:szCs w:val="20"/>
        </w:rPr>
        <w:t xml:space="preserve"> tax treatment had to</w:t>
      </w:r>
      <w:r w:rsidR="005F619F">
        <w:rPr>
          <w:szCs w:val="20"/>
        </w:rPr>
        <w:t xml:space="preserve"> be expanded </w:t>
      </w:r>
      <w:r w:rsidR="00356926">
        <w:rPr>
          <w:szCs w:val="20"/>
        </w:rPr>
        <w:t xml:space="preserve">with social and health insurance </w:t>
      </w:r>
      <w:r w:rsidR="005F619F">
        <w:rPr>
          <w:szCs w:val="20"/>
        </w:rPr>
        <w:t>into this form:</w:t>
      </w:r>
    </w:p>
    <w:tbl>
      <w:tblPr>
        <w:tblW w:w="5000" w:type="pct"/>
        <w:tblCellMar>
          <w:left w:w="70" w:type="dxa"/>
          <w:right w:w="70" w:type="dxa"/>
        </w:tblCellMar>
        <w:tblLook w:val="0000" w:firstRow="0" w:lastRow="0" w:firstColumn="0" w:lastColumn="0" w:noHBand="0" w:noVBand="0"/>
      </w:tblPr>
      <w:tblGrid>
        <w:gridCol w:w="8481"/>
        <w:gridCol w:w="731"/>
      </w:tblGrid>
      <w:tr w:rsidR="005F619F" w:rsidRPr="009B6969" w:rsidTr="00BF7038">
        <w:trPr>
          <w:trHeight w:val="259"/>
        </w:trPr>
        <w:tc>
          <w:tcPr>
            <w:tcW w:w="4603" w:type="pct"/>
            <w:vAlign w:val="center"/>
          </w:tcPr>
          <w:p w:rsidR="005F619F" w:rsidRPr="0034726F" w:rsidRDefault="005F619F" w:rsidP="005F619F">
            <w:pPr>
              <w:pStyle w:val="Formula"/>
              <w:rPr>
                <w:sz w:val="20"/>
              </w:rPr>
            </w:pPr>
            <m:oMathPara>
              <m:oMath>
                <m:r>
                  <w:rPr>
                    <w:rFonts w:ascii="Cambria Math" w:hAnsi="Cambria Math"/>
                    <w:sz w:val="20"/>
                  </w:rPr>
                  <m:t>TAX TREATMENT=(</m:t>
                </m:r>
                <m:sSub>
                  <m:sSubPr>
                    <m:ctrlPr>
                      <w:rPr>
                        <w:rFonts w:ascii="Cambria Math" w:hAnsi="Cambria Math"/>
                        <w:i/>
                        <w:sz w:val="20"/>
                      </w:rPr>
                    </m:ctrlPr>
                  </m:sSubPr>
                  <m:e>
                    <m:r>
                      <w:rPr>
                        <w:rFonts w:ascii="Cambria Math" w:hAnsi="Cambria Math"/>
                        <w:sz w:val="20"/>
                      </w:rPr>
                      <m:t>r</m:t>
                    </m:r>
                  </m:e>
                  <m:sub>
                    <m:r>
                      <w:rPr>
                        <w:rFonts w:ascii="Cambria Math" w:hAnsi="Cambria Math"/>
                        <w:sz w:val="20"/>
                      </w:rPr>
                      <m:t>c</m:t>
                    </m:r>
                  </m:sub>
                </m:sSub>
                <m:r>
                  <w:rPr>
                    <w:rFonts w:ascii="Cambria Math" w:hAnsi="Cambria Math"/>
                    <w:sz w:val="20"/>
                  </w:rPr>
                  <m:t>+</m:t>
                </m:r>
                <m:d>
                  <m:dPr>
                    <m:ctrlPr>
                      <w:rPr>
                        <w:rFonts w:ascii="Cambria Math" w:hAnsi="Cambria Math"/>
                        <w:i/>
                        <w:sz w:val="20"/>
                      </w:rPr>
                    </m:ctrlPr>
                  </m:dPr>
                  <m:e>
                    <m:r>
                      <w:rPr>
                        <w:rFonts w:ascii="Cambria Math" w:hAnsi="Cambria Math"/>
                        <w:sz w:val="20"/>
                      </w:rPr>
                      <m:t>1-</m:t>
                    </m:r>
                    <m:sSub>
                      <m:sSubPr>
                        <m:ctrlPr>
                          <w:rPr>
                            <w:rFonts w:ascii="Cambria Math" w:hAnsi="Cambria Math"/>
                            <w:i/>
                            <w:sz w:val="20"/>
                          </w:rPr>
                        </m:ctrlPr>
                      </m:sSubPr>
                      <m:e>
                        <m:r>
                          <w:rPr>
                            <w:rFonts w:ascii="Cambria Math" w:hAnsi="Cambria Math"/>
                            <w:sz w:val="20"/>
                          </w:rPr>
                          <m:t>r</m:t>
                        </m:r>
                      </m:e>
                      <m:sub>
                        <m:r>
                          <w:rPr>
                            <w:rFonts w:ascii="Cambria Math" w:hAnsi="Cambria Math"/>
                            <w:sz w:val="20"/>
                          </w:rPr>
                          <m:t>c</m:t>
                        </m:r>
                      </m:sub>
                    </m:sSub>
                  </m:e>
                </m:d>
                <m:sSub>
                  <m:sSubPr>
                    <m:ctrlPr>
                      <w:rPr>
                        <w:rFonts w:ascii="Cambria Math" w:hAnsi="Cambria Math"/>
                        <w:i/>
                        <w:sz w:val="20"/>
                      </w:rPr>
                    </m:ctrlPr>
                  </m:sSubPr>
                  <m:e>
                    <m:r>
                      <w:rPr>
                        <w:rFonts w:ascii="Cambria Math" w:hAnsi="Cambria Math"/>
                        <w:sz w:val="20"/>
                      </w:rPr>
                      <m:t>r</m:t>
                    </m:r>
                  </m:e>
                  <m:sub>
                    <m:r>
                      <w:rPr>
                        <w:rFonts w:ascii="Cambria Math" w:hAnsi="Cambria Math"/>
                        <w:sz w:val="20"/>
                      </w:rPr>
                      <m:t>e</m:t>
                    </m:r>
                  </m:sub>
                </m:sSub>
                <m:r>
                  <w:rPr>
                    <w:rFonts w:ascii="Cambria Math" w:hAnsi="Cambria Math"/>
                    <w:sz w:val="20"/>
                  </w:rPr>
                  <m:t>-(</m:t>
                </m:r>
                <m:sSub>
                  <m:sSubPr>
                    <m:ctrlPr>
                      <w:rPr>
                        <w:rFonts w:ascii="Cambria Math" w:hAnsi="Cambria Math"/>
                        <w:i/>
                        <w:sz w:val="20"/>
                      </w:rPr>
                    </m:ctrlPr>
                  </m:sSubPr>
                  <m:e>
                    <m:r>
                      <w:rPr>
                        <w:rFonts w:ascii="Cambria Math" w:hAnsi="Cambria Math"/>
                        <w:sz w:val="20"/>
                      </w:rPr>
                      <m:t>r</m:t>
                    </m:r>
                  </m:e>
                  <m:sub>
                    <m:r>
                      <w:rPr>
                        <w:rFonts w:ascii="Cambria Math" w:hAnsi="Cambria Math"/>
                        <w:sz w:val="20"/>
                      </w:rPr>
                      <m:t>n</m:t>
                    </m:r>
                  </m:sub>
                </m:sSub>
                <m:r>
                  <w:rPr>
                    <w:rFonts w:ascii="Cambria Math" w:hAnsi="Cambria Math"/>
                    <w:sz w:val="20"/>
                  </w:rPr>
                  <m:t>+s+h)</m:t>
                </m:r>
              </m:oMath>
            </m:oMathPara>
          </w:p>
        </w:tc>
        <w:tc>
          <w:tcPr>
            <w:tcW w:w="397" w:type="pct"/>
            <w:vAlign w:val="center"/>
          </w:tcPr>
          <w:p w:rsidR="005F619F" w:rsidRPr="009B6969" w:rsidRDefault="005F619F" w:rsidP="00BF7038">
            <w:r>
              <w:t>(2</w:t>
            </w:r>
            <w:r w:rsidRPr="009B6969">
              <w:t>)</w:t>
            </w:r>
          </w:p>
        </w:tc>
      </w:tr>
    </w:tbl>
    <w:p w:rsidR="005F619F" w:rsidRDefault="00E925C2" w:rsidP="00725E7D">
      <w:pPr>
        <w:pStyle w:val="Zkladntext-prvnodsazen"/>
      </w:pPr>
      <w:r>
        <w:rPr>
          <w:szCs w:val="20"/>
        </w:rPr>
        <w:t>Where</w:t>
      </w:r>
      <m:oMath>
        <m:sSub>
          <m:sSubPr>
            <m:ctrlPr>
              <w:rPr>
                <w:rFonts w:ascii="Cambria Math" w:hAnsi="Cambria Math"/>
                <w:i/>
                <w:szCs w:val="20"/>
              </w:rPr>
            </m:ctrlPr>
          </m:sSubPr>
          <m:e>
            <m:r>
              <w:rPr>
                <w:rFonts w:ascii="Cambria Math" w:hAnsi="Cambria Math"/>
                <w:szCs w:val="20"/>
              </w:rPr>
              <m:t>r</m:t>
            </m:r>
          </m:e>
          <m:sub>
            <m:r>
              <w:rPr>
                <w:rFonts w:ascii="Cambria Math" w:hAnsi="Cambria Math"/>
                <w:szCs w:val="20"/>
              </w:rPr>
              <m:t>c</m:t>
            </m:r>
          </m:sub>
        </m:sSub>
      </m:oMath>
      <w:proofErr w:type="gramStart"/>
      <w:r w:rsidR="00356926">
        <w:rPr>
          <w:szCs w:val="20"/>
        </w:rPr>
        <w:t xml:space="preserve">, </w:t>
      </w:r>
      <w:proofErr w:type="gramEnd"/>
      <m:oMath>
        <m:sSub>
          <m:sSubPr>
            <m:ctrlPr>
              <w:rPr>
                <w:rFonts w:ascii="Cambria Math" w:hAnsi="Cambria Math"/>
                <w:i/>
                <w:szCs w:val="20"/>
              </w:rPr>
            </m:ctrlPr>
          </m:sSubPr>
          <m:e>
            <m:r>
              <w:rPr>
                <w:rFonts w:ascii="Cambria Math" w:hAnsi="Cambria Math"/>
                <w:szCs w:val="20"/>
              </w:rPr>
              <m:t>r</m:t>
            </m:r>
          </m:e>
          <m:sub>
            <m:r>
              <w:rPr>
                <w:rFonts w:ascii="Cambria Math" w:hAnsi="Cambria Math"/>
                <w:szCs w:val="20"/>
              </w:rPr>
              <m:t>e</m:t>
            </m:r>
          </m:sub>
        </m:sSub>
      </m:oMath>
      <w:r w:rsidR="00356926">
        <w:rPr>
          <w:szCs w:val="20"/>
        </w:rPr>
        <w:t xml:space="preserve">, </w:t>
      </w:r>
      <m:oMath>
        <m:sSub>
          <m:sSubPr>
            <m:ctrlPr>
              <w:rPr>
                <w:rFonts w:ascii="Cambria Math" w:hAnsi="Cambria Math"/>
                <w:i/>
                <w:szCs w:val="20"/>
              </w:rPr>
            </m:ctrlPr>
          </m:sSubPr>
          <m:e>
            <m:r>
              <w:rPr>
                <w:rFonts w:ascii="Cambria Math" w:hAnsi="Cambria Math"/>
                <w:szCs w:val="20"/>
              </w:rPr>
              <m:t>r</m:t>
            </m:r>
          </m:e>
          <m:sub>
            <m:r>
              <w:rPr>
                <w:rFonts w:ascii="Cambria Math" w:hAnsi="Cambria Math"/>
                <w:szCs w:val="20"/>
              </w:rPr>
              <m:t>n</m:t>
            </m:r>
          </m:sub>
        </m:sSub>
      </m:oMath>
      <w:r w:rsidR="00356926">
        <w:rPr>
          <w:szCs w:val="20"/>
        </w:rPr>
        <w:t xml:space="preserve"> means same as in equation (1), </w:t>
      </w:r>
      <m:oMath>
        <m:r>
          <w:rPr>
            <w:rFonts w:ascii="Cambria Math" w:hAnsi="Cambria Math"/>
          </w:rPr>
          <m:t>s</m:t>
        </m:r>
      </m:oMath>
      <w:r w:rsidR="00356926">
        <w:t xml:space="preserve"> means social insurance rate and </w:t>
      </w:r>
      <m:oMath>
        <m:r>
          <w:rPr>
            <w:rFonts w:ascii="Cambria Math" w:hAnsi="Cambria Math"/>
          </w:rPr>
          <m:t>h</m:t>
        </m:r>
      </m:oMath>
      <w:r w:rsidR="00356926">
        <w:t xml:space="preserve"> means health insurance rate. </w:t>
      </w:r>
      <w:r w:rsidR="00AD7102">
        <w:t xml:space="preserve">It is crucial to include social and health insurance rate into tax treatment </w:t>
      </w:r>
      <w:r w:rsidR="00CE5B5A">
        <w:t>because it has significant impact</w:t>
      </w:r>
      <w:r w:rsidR="00AD7102">
        <w:t>.</w:t>
      </w:r>
      <w:r w:rsidR="00CE5B5A">
        <w:t xml:space="preserve"> Health and social insurance does not affect corporate income, but i</w:t>
      </w:r>
      <w:r w:rsidR="008736E5">
        <w:t>s paid from non-corporate profit</w:t>
      </w:r>
      <w:r w:rsidR="00CE5B5A">
        <w:t xml:space="preserve">. This </w:t>
      </w:r>
      <w:r>
        <w:t>esse</w:t>
      </w:r>
      <w:r>
        <w:t>n</w:t>
      </w:r>
      <w:r>
        <w:t>tially</w:t>
      </w:r>
      <w:r w:rsidR="00CE5B5A">
        <w:t xml:space="preserve"> means that advantage of non-corporate business </w:t>
      </w:r>
      <w:r>
        <w:t>being</w:t>
      </w:r>
      <w:r w:rsidR="00CE5B5A">
        <w:t xml:space="preserve"> taxed only once is cancelled by the duty to pay s</w:t>
      </w:r>
      <w:r w:rsidR="00CE5B5A">
        <w:t>o</w:t>
      </w:r>
      <w:r w:rsidR="00CE5B5A">
        <w:t xml:space="preserve">cial and health insurance. In fact, total tax (including social and health insurance) paid by non-corporate business can be higher than tax paid by corporate business. This problem is even more complex because of existence of maximal </w:t>
      </w:r>
      <w:r>
        <w:t>assessment</w:t>
      </w:r>
      <w:r w:rsidR="00CE5B5A">
        <w:t xml:space="preserve"> basis for paying social and health insurance. </w:t>
      </w:r>
      <w:r w:rsidR="00BE19EB">
        <w:t>With non-corporate profit</w:t>
      </w:r>
      <w:r w:rsidR="005F77FA">
        <w:t xml:space="preserve"> high enough above maximal </w:t>
      </w:r>
      <w:r>
        <w:t>assessment</w:t>
      </w:r>
      <w:r w:rsidR="005F77FA">
        <w:t xml:space="preserve"> basis, the duty to pay social and health insurance is becoming less significant and average total tax rate for S corporation (consisting of personal income tax, social and health insurance and also special tax for income above 48-times average wage) is decreasing. Figure 1bellow shows that average tax rate of S corporation </w:t>
      </w:r>
      <w:proofErr w:type="gramStart"/>
      <w:r w:rsidR="005F77FA">
        <w:t>is</w:t>
      </w:r>
      <w:proofErr w:type="gramEnd"/>
      <w:r w:rsidR="005F77FA">
        <w:t xml:space="preserve"> lower than C corporation when income is above 10 </w:t>
      </w:r>
      <w:r>
        <w:t>million</w:t>
      </w:r>
      <w:r w:rsidR="005F77FA">
        <w:t xml:space="preserve"> CZK. And with higher income the tax advantage of S corporation is increasing.</w:t>
      </w:r>
      <w:r w:rsidR="00F36750">
        <w:t xml:space="preserve"> Average tax rate for C </w:t>
      </w:r>
      <w:proofErr w:type="gramStart"/>
      <w:r w:rsidR="00F36750">
        <w:t>corporation</w:t>
      </w:r>
      <w:proofErr w:type="gramEnd"/>
      <w:r w:rsidR="00F36750">
        <w:t xml:space="preserve"> consist of corporate tax and personal income tax rate on equity. The computation is done with tax rates from year 2015.</w:t>
      </w:r>
    </w:p>
    <w:p w:rsidR="005F77FA" w:rsidRPr="00E925C2" w:rsidRDefault="005F77FA" w:rsidP="00E8732E">
      <w:pPr>
        <w:pStyle w:val="Zkladntext-prvnodsazen"/>
        <w:jc w:val="center"/>
      </w:pPr>
      <w:r>
        <w:rPr>
          <w:b/>
        </w:rPr>
        <w:t>Fig. 1</w:t>
      </w:r>
      <w:r>
        <w:rPr>
          <w:b/>
          <w:lang w:val="cs-CZ"/>
        </w:rPr>
        <w:t xml:space="preserve">: </w:t>
      </w:r>
      <w:r w:rsidR="00975E79">
        <w:rPr>
          <w:b/>
        </w:rPr>
        <w:t>Average tax rates for</w:t>
      </w:r>
      <w:r w:rsidRPr="00E925C2">
        <w:rPr>
          <w:b/>
        </w:rPr>
        <w:t xml:space="preserve"> S and C corporations with different amounts of income</w:t>
      </w:r>
    </w:p>
    <w:p w:rsidR="005F77FA" w:rsidRPr="00725E7D" w:rsidRDefault="00BA3711" w:rsidP="00E8732E">
      <w:pPr>
        <w:pStyle w:val="Zkladntext-prvnodsazen"/>
        <w:jc w:val="center"/>
        <w:rPr>
          <w:szCs w:val="20"/>
        </w:rPr>
      </w:pPr>
      <w:r>
        <w:rPr>
          <w:noProof/>
          <w:lang w:eastAsia="en-US"/>
        </w:rPr>
        <w:drawing>
          <wp:inline distT="0" distB="0" distL="0" distR="0" wp14:anchorId="3CB76B6F" wp14:editId="3DFFC547">
            <wp:extent cx="5167630" cy="2801302"/>
            <wp:effectExtent l="0" t="0" r="13970" b="18415"/>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F77FA" w:rsidRDefault="005F77FA" w:rsidP="00E8732E">
      <w:pPr>
        <w:ind w:firstLine="227"/>
        <w:jc w:val="center"/>
      </w:pPr>
      <w:r>
        <w:t>Source: Authorial computation</w:t>
      </w:r>
    </w:p>
    <w:p w:rsidR="007B2987" w:rsidRDefault="00FB325D" w:rsidP="007B2987">
      <w:pPr>
        <w:pStyle w:val="Zkladntext-prvnodsazen"/>
      </w:pPr>
      <w:r>
        <w:t xml:space="preserve">To solve this problem of maximal </w:t>
      </w:r>
      <w:r w:rsidR="00180BB1">
        <w:t>assessment</w:t>
      </w:r>
      <w:r>
        <w:t xml:space="preserve"> basis it is</w:t>
      </w:r>
      <w:r w:rsidR="00B0029C">
        <w:t xml:space="preserve"> assumed in the stu</w:t>
      </w:r>
      <w:r>
        <w:t xml:space="preserve">dy, that S corporations have such income, that social and health insurance have significant impact on their total tax paid and therefore social and </w:t>
      </w:r>
      <w:r w:rsidR="00180BB1">
        <w:t>health</w:t>
      </w:r>
      <w:r>
        <w:t xml:space="preserve"> insurance rates are included in the variable tax treatment. </w:t>
      </w:r>
      <w:r w:rsidR="009444FB">
        <w:t xml:space="preserve">Another problem with calculating tax treatment was personal income tax </w:t>
      </w:r>
      <w:r w:rsidR="00180BB1">
        <w:t>being</w:t>
      </w:r>
      <w:r w:rsidR="009444FB">
        <w:t xml:space="preserve"> progressive in some years </w:t>
      </w:r>
      <w:proofErr w:type="gramStart"/>
      <w:r w:rsidR="009444FB">
        <w:t>between 1993-2015</w:t>
      </w:r>
      <w:proofErr w:type="gramEnd"/>
      <w:r w:rsidR="009444FB">
        <w:t>. The biggest range of personal income tax rates was in 1993 with lowes</w:t>
      </w:r>
      <w:r w:rsidR="007F5131">
        <w:t>t tax rate 15% and highest 47%. To deal with this issue, two crude measures were used for personal income tax rate.</w:t>
      </w:r>
      <w:r w:rsidR="007F5131" w:rsidRPr="009B6969">
        <w:t xml:space="preserve"> One was</w:t>
      </w:r>
      <w:r w:rsidR="007F5131">
        <w:t xml:space="preserve"> the</w:t>
      </w:r>
      <w:r w:rsidR="007F5131" w:rsidRPr="009B6969">
        <w:t xml:space="preserve"> highest statutory marginal personal tax rate in given year</w:t>
      </w:r>
      <w:r w:rsidR="007F5131">
        <w:t xml:space="preserve">. Second was average personal tax rate each year. </w:t>
      </w:r>
      <w:r w:rsidR="007F5131" w:rsidRPr="009B6969">
        <w:t xml:space="preserve">Personal tax rate on equity income </w:t>
      </w:r>
      <m:oMath>
        <m:sSub>
          <m:sSubPr>
            <m:ctrlPr>
              <w:rPr>
                <w:rFonts w:ascii="Cambria Math" w:hAnsi="Cambria Math"/>
                <w:i/>
              </w:rPr>
            </m:ctrlPr>
          </m:sSubPr>
          <m:e>
            <m:r>
              <w:rPr>
                <w:rFonts w:ascii="Cambria Math" w:hAnsi="Cambria Math"/>
              </w:rPr>
              <m:t>r</m:t>
            </m:r>
          </m:e>
          <m:sub>
            <m:r>
              <w:rPr>
                <w:rFonts w:ascii="Cambria Math" w:hAnsi="Cambria Math"/>
              </w:rPr>
              <m:t>e</m:t>
            </m:r>
          </m:sub>
        </m:sSub>
      </m:oMath>
      <w:r w:rsidR="007F5131" w:rsidRPr="009B6969">
        <w:t xml:space="preserve"> was calculated from this equation:</w:t>
      </w:r>
    </w:p>
    <w:tbl>
      <w:tblPr>
        <w:tblW w:w="5000" w:type="pct"/>
        <w:tblCellMar>
          <w:left w:w="70" w:type="dxa"/>
          <w:right w:w="70" w:type="dxa"/>
        </w:tblCellMar>
        <w:tblLook w:val="0000" w:firstRow="0" w:lastRow="0" w:firstColumn="0" w:lastColumn="0" w:noHBand="0" w:noVBand="0"/>
      </w:tblPr>
      <w:tblGrid>
        <w:gridCol w:w="8481"/>
        <w:gridCol w:w="731"/>
      </w:tblGrid>
      <w:tr w:rsidR="007F5131" w:rsidRPr="009B6969" w:rsidTr="005375B6">
        <w:trPr>
          <w:trHeight w:val="259"/>
        </w:trPr>
        <w:tc>
          <w:tcPr>
            <w:tcW w:w="4603" w:type="pct"/>
            <w:vAlign w:val="center"/>
          </w:tcPr>
          <w:p w:rsidR="007F5131" w:rsidRPr="009B6969" w:rsidRDefault="00670ABB" w:rsidP="007F5131">
            <w:pPr>
              <w:pStyle w:val="Formula"/>
            </w:pPr>
            <m:oMathPara>
              <m:oMath>
                <m:sSub>
                  <m:sSubPr>
                    <m:ctrlPr>
                      <w:rPr>
                        <w:rFonts w:ascii="Cambria Math" w:hAnsi="Cambria Math"/>
                        <w:i/>
                      </w:rPr>
                    </m:ctrlPr>
                  </m:sSubPr>
                  <m:e>
                    <m:r>
                      <w:rPr>
                        <w:rFonts w:ascii="Cambria Math" w:hAnsi="Cambria Math"/>
                      </w:rPr>
                      <m:t>r</m:t>
                    </m:r>
                  </m:e>
                  <m:sub>
                    <m:r>
                      <w:rPr>
                        <w:rFonts w:ascii="Cambria Math" w:hAnsi="Cambria Math"/>
                      </w:rPr>
                      <m:t>e</m:t>
                    </m:r>
                  </m:sub>
                </m:sSub>
                <m:r>
                  <w:rPr>
                    <w:rFonts w:ascii="Cambria Math" w:hAnsi="Cambria Math"/>
                  </w:rPr>
                  <m:t>=d</m:t>
                </m:r>
                <m:sSub>
                  <m:sSubPr>
                    <m:ctrlPr>
                      <w:rPr>
                        <w:rFonts w:ascii="Cambria Math" w:hAnsi="Cambria Math"/>
                        <w:i/>
                      </w:rPr>
                    </m:ctrlPr>
                  </m:sSubPr>
                  <m:e>
                    <m:r>
                      <w:rPr>
                        <w:rFonts w:ascii="Cambria Math" w:hAnsi="Cambria Math"/>
                      </w:rPr>
                      <m:t>r</m:t>
                    </m:r>
                  </m:e>
                  <m:sub>
                    <m:r>
                      <w:rPr>
                        <w:rFonts w:ascii="Cambria Math" w:hAnsi="Cambria Math"/>
                      </w:rPr>
                      <m:t>d</m:t>
                    </m:r>
                  </m:sub>
                </m:sSub>
              </m:oMath>
            </m:oMathPara>
          </w:p>
        </w:tc>
        <w:tc>
          <w:tcPr>
            <w:tcW w:w="397" w:type="pct"/>
            <w:vAlign w:val="center"/>
          </w:tcPr>
          <w:p w:rsidR="007F5131" w:rsidRPr="009B6969" w:rsidRDefault="007F5131" w:rsidP="005375B6">
            <w:r w:rsidRPr="009B6969">
              <w:t>(3)</w:t>
            </w:r>
          </w:p>
        </w:tc>
      </w:tr>
    </w:tbl>
    <w:p w:rsidR="007F5131" w:rsidRDefault="007F5131" w:rsidP="007B2987">
      <w:pPr>
        <w:pStyle w:val="Zkladntext-prvnodsazen"/>
      </w:pPr>
      <w:r w:rsidRPr="009B6969">
        <w:t xml:space="preserve">Where </w:t>
      </w:r>
      <w:proofErr w:type="spellStart"/>
      <w:r w:rsidRPr="009B6969">
        <w:rPr>
          <w:i/>
        </w:rPr>
        <w:t>d</w:t>
      </w:r>
      <w:proofErr w:type="spellEnd"/>
      <w:r w:rsidRPr="009B6969">
        <w:t xml:space="preserve"> </w:t>
      </w:r>
      <w:r w:rsidR="007E1B59">
        <w:t xml:space="preserve">is part of the income paid in the form of dividends and </w:t>
      </w:r>
      <m:oMath>
        <m:sSub>
          <m:sSubPr>
            <m:ctrlPr>
              <w:rPr>
                <w:rFonts w:ascii="Cambria Math" w:hAnsi="Cambria Math"/>
                <w:i/>
              </w:rPr>
            </m:ctrlPr>
          </m:sSubPr>
          <m:e>
            <m:r>
              <w:rPr>
                <w:rFonts w:ascii="Cambria Math" w:hAnsi="Cambria Math"/>
              </w:rPr>
              <m:t>r</m:t>
            </m:r>
          </m:e>
          <m:sub>
            <m:r>
              <w:rPr>
                <w:rFonts w:ascii="Cambria Math" w:hAnsi="Cambria Math"/>
              </w:rPr>
              <m:t>d</m:t>
            </m:r>
          </m:sub>
        </m:sSub>
      </m:oMath>
      <w:r w:rsidR="007E1B59">
        <w:t xml:space="preserve"> is tax on dividend income. It is assumed that rest of the equity income (</w:t>
      </w:r>
      <w:r w:rsidR="007E1B59">
        <w:rPr>
          <w:i/>
        </w:rPr>
        <w:t xml:space="preserve">1-d) </w:t>
      </w:r>
      <w:r w:rsidR="007E1B59">
        <w:t xml:space="preserve">in form of capital gains is realized in long term and therefore exempt from taxation. </w:t>
      </w:r>
      <w:r w:rsidR="003330CA">
        <w:t xml:space="preserve">Again two crude measures were used for personal tax rate on equity income. On crude measure works with hypothetical premise, that all equity income is paid in form of dividends and therefore taxed. Second crude </w:t>
      </w:r>
      <w:r w:rsidR="003330CA">
        <w:lastRenderedPageBreak/>
        <w:t>m</w:t>
      </w:r>
      <w:r w:rsidR="00977967">
        <w:t xml:space="preserve">easure is working with study made by authors </w:t>
      </w:r>
      <w:proofErr w:type="spellStart"/>
      <w:r w:rsidR="00977967">
        <w:t>Bena</w:t>
      </w:r>
      <w:proofErr w:type="spellEnd"/>
      <w:r w:rsidR="00977967">
        <w:t xml:space="preserve"> and </w:t>
      </w:r>
      <w:proofErr w:type="spellStart"/>
      <w:r w:rsidR="00977967">
        <w:t>Hanousek</w:t>
      </w:r>
      <w:proofErr w:type="spellEnd"/>
      <w:r w:rsidR="00977967">
        <w:t xml:space="preserve"> </w:t>
      </w:r>
      <w:r w:rsidR="00977967" w:rsidRPr="00396E25">
        <w:t>(</w:t>
      </w:r>
      <w:proofErr w:type="spellStart"/>
      <w:r w:rsidR="00977967" w:rsidRPr="00396E25">
        <w:t>Bena</w:t>
      </w:r>
      <w:proofErr w:type="spellEnd"/>
      <w:r w:rsidR="00977967" w:rsidRPr="00396E25">
        <w:t xml:space="preserve">, </w:t>
      </w:r>
      <w:proofErr w:type="spellStart"/>
      <w:r w:rsidR="00977967" w:rsidRPr="00396E25">
        <w:t>Hanousek</w:t>
      </w:r>
      <w:proofErr w:type="spellEnd"/>
      <w:r w:rsidR="00977967" w:rsidRPr="00396E25">
        <w:t>, 2005)</w:t>
      </w:r>
      <w:r w:rsidR="00977967">
        <w:t xml:space="preserve"> who calculated average pay-out ratio </w:t>
      </w:r>
      <w:r w:rsidR="00180BB1">
        <w:t>for companies</w:t>
      </w:r>
      <w:r w:rsidR="00977967">
        <w:t xml:space="preserve"> held </w:t>
      </w:r>
      <w:r w:rsidR="00EC1B2D">
        <w:t xml:space="preserve">by </w:t>
      </w:r>
      <w:r w:rsidR="00180BB1">
        <w:t>Czech</w:t>
      </w:r>
      <w:r w:rsidR="00977967">
        <w:t xml:space="preserve"> owners in the Czech Republic for the period 1996-2003.</w:t>
      </w:r>
      <w:r w:rsidR="00253848">
        <w:t xml:space="preserve"> In this case, part of incom</w:t>
      </w:r>
      <w:r w:rsidR="00180BB1">
        <w:t>e paid in form of dividend is 0.</w:t>
      </w:r>
      <w:r w:rsidR="00253848">
        <w:t>12.</w:t>
      </w:r>
    </w:p>
    <w:p w:rsidR="000E6822" w:rsidRPr="000E6822" w:rsidRDefault="000E6822" w:rsidP="000E6822">
      <w:pPr>
        <w:pStyle w:val="Zkladntext-prvnodsazen"/>
      </w:pPr>
      <w:r>
        <w:t xml:space="preserve">For correlation analysis was constructed four different tax treatment variables, differing in personal income tax rate used and value </w:t>
      </w:r>
      <w:r>
        <w:rPr>
          <w:i/>
        </w:rPr>
        <w:t>d</w:t>
      </w:r>
      <w:r>
        <w:t xml:space="preserve"> marking part of equity income paid in the form of dividends. For tax treatment 1 was used the</w:t>
      </w:r>
      <w:r w:rsidRPr="009B6969">
        <w:t xml:space="preserve"> highest statutory marginal personal tax rate</w:t>
      </w:r>
      <w:r>
        <w:t xml:space="preserve"> in case of progressive personal income tax rate given year and it is supposed that all equity income is realized in form of dividends. For tax treatment 2 was used average </w:t>
      </w:r>
      <w:r w:rsidR="00D943C3">
        <w:t>personal</w:t>
      </w:r>
      <w:r>
        <w:t xml:space="preserve"> income tax rate in case of progressive personal income tax rate given year and it is supposed that all equity income is realized in form of dividends. For tax treatment 3 was used the</w:t>
      </w:r>
      <w:r w:rsidRPr="009B6969">
        <w:t xml:space="preserve"> highest statutory marginal pe</w:t>
      </w:r>
      <w:r w:rsidRPr="009B6969">
        <w:t>r</w:t>
      </w:r>
      <w:r w:rsidRPr="009B6969">
        <w:t>sonal tax rate</w:t>
      </w:r>
      <w:r>
        <w:t xml:space="preserve"> and dividend </w:t>
      </w:r>
      <w:r w:rsidR="00D943C3">
        <w:t>payout ratio is set for value 0.</w:t>
      </w:r>
      <w:r>
        <w:t xml:space="preserve">12. For tax treatment 4 was used average </w:t>
      </w:r>
      <w:r w:rsidR="00D943C3">
        <w:t>personal</w:t>
      </w:r>
      <w:r>
        <w:t xml:space="preserve"> i</w:t>
      </w:r>
      <w:r>
        <w:t>n</w:t>
      </w:r>
      <w:r>
        <w:t>come tax rate and dividend payout ratio is set fo</w:t>
      </w:r>
      <w:r w:rsidR="00D943C3">
        <w:t>r value 0.</w:t>
      </w:r>
      <w:r>
        <w:t>12.</w:t>
      </w:r>
    </w:p>
    <w:p w:rsidR="00457E57" w:rsidRPr="007E1B59" w:rsidRDefault="00457E57" w:rsidP="007B2987">
      <w:pPr>
        <w:pStyle w:val="Zkladntext-prvnodsazen"/>
      </w:pPr>
      <w:r>
        <w:t xml:space="preserve">Second variable used in correlation analysis was ratio of number of C and S </w:t>
      </w:r>
      <w:proofErr w:type="gramStart"/>
      <w:r>
        <w:t>corporation</w:t>
      </w:r>
      <w:proofErr w:type="gramEnd"/>
      <w:r>
        <w:t xml:space="preserve"> in the Czech Repu</w:t>
      </w:r>
      <w:r>
        <w:t>b</w:t>
      </w:r>
      <w:r w:rsidR="00780B2A">
        <w:t xml:space="preserve">lic in given year in period 1993-2015. C corporations consisted of </w:t>
      </w:r>
      <w:r w:rsidR="00780B2A" w:rsidRPr="009B6969">
        <w:t>public limited</w:t>
      </w:r>
      <w:r w:rsidR="00780B2A">
        <w:t xml:space="preserve"> companies</w:t>
      </w:r>
      <w:r w:rsidR="00780B2A" w:rsidRPr="009B6969">
        <w:t xml:space="preserve"> labelled as </w:t>
      </w:r>
      <w:proofErr w:type="spellStart"/>
      <w:proofErr w:type="gramStart"/>
      <w:r w:rsidR="00780B2A" w:rsidRPr="009B6969">
        <w:t>a.s</w:t>
      </w:r>
      <w:proofErr w:type="spellEnd"/>
      <w:proofErr w:type="gramEnd"/>
      <w:r w:rsidR="00780B2A" w:rsidRPr="009B6969">
        <w:t>. and private limited</w:t>
      </w:r>
      <w:r w:rsidR="00780B2A">
        <w:t xml:space="preserve"> companies</w:t>
      </w:r>
      <w:r w:rsidR="00780B2A" w:rsidRPr="009B6969">
        <w:t xml:space="preserve"> labelled as </w:t>
      </w:r>
      <w:proofErr w:type="spellStart"/>
      <w:r w:rsidR="00780B2A" w:rsidRPr="009B6969">
        <w:t>s.r.o</w:t>
      </w:r>
      <w:proofErr w:type="spellEnd"/>
      <w:r w:rsidR="00780B2A" w:rsidRPr="009B6969">
        <w:t>.</w:t>
      </w:r>
      <w:r w:rsidR="00780B2A">
        <w:t xml:space="preserve"> S corporations consisted of general partnership labelled as </w:t>
      </w:r>
      <w:proofErr w:type="spellStart"/>
      <w:r w:rsidR="00780B2A">
        <w:t>v.o.s</w:t>
      </w:r>
      <w:proofErr w:type="spellEnd"/>
      <w:r w:rsidR="00780B2A">
        <w:t>. and also sole proprietorships</w:t>
      </w:r>
      <w:r w:rsidR="00EF1068">
        <w:t xml:space="preserve">. Limited partnership type of company was not included in the analysis as this type of company combines </w:t>
      </w:r>
      <w:r w:rsidR="00BE4FA7">
        <w:t xml:space="preserve">double taxation and single taxation of C and S </w:t>
      </w:r>
      <w:proofErr w:type="gramStart"/>
      <w:r w:rsidR="00BE4FA7">
        <w:t>corporation</w:t>
      </w:r>
      <w:proofErr w:type="gramEnd"/>
      <w:r w:rsidR="00BE4FA7">
        <w:t xml:space="preserve">. </w:t>
      </w:r>
    </w:p>
    <w:p w:rsidR="007B2987" w:rsidRDefault="000404D7" w:rsidP="007B2987">
      <w:pPr>
        <w:pStyle w:val="Zkladntext-prvnodsazen"/>
      </w:pPr>
      <w:r>
        <w:t>Based on</w:t>
      </w:r>
      <w:r w:rsidR="00634BB5">
        <w:t xml:space="preserve"> the</w:t>
      </w:r>
      <w:r>
        <w:t xml:space="preserve"> theoretical model was created hypothesis that increase of value of variable tax treatment caused by in</w:t>
      </w:r>
      <w:r w:rsidR="003813A6">
        <w:t xml:space="preserve">crease of corporate tax rate and </w:t>
      </w:r>
      <w:r>
        <w:t>personal tax rate on equity or decrease of personal incom</w:t>
      </w:r>
      <w:r w:rsidR="003813A6">
        <w:t>e tax rate and social and health insurance</w:t>
      </w:r>
      <w:r>
        <w:t xml:space="preserve"> rate will cause companies to shift its form from C corporations to S corporations and therefore value of variable ratio of C/S corporations will decrease and conversely.</w:t>
      </w:r>
      <w:r w:rsidR="004C6C73">
        <w:t xml:space="preserve"> If the hypothesis is correct, correlation coefficient should have negative value implying indirect correlation</w:t>
      </w:r>
      <w:r w:rsidR="00A133BF">
        <w:t>.</w:t>
      </w:r>
    </w:p>
    <w:p w:rsidR="007B2987" w:rsidRDefault="00F83350" w:rsidP="00F83350">
      <w:pPr>
        <w:pStyle w:val="Nadpis1"/>
      </w:pPr>
      <w:r>
        <w:t>Results and discussion</w:t>
      </w:r>
    </w:p>
    <w:p w:rsidR="00775769" w:rsidRDefault="00775769" w:rsidP="00F51987">
      <w:pPr>
        <w:pStyle w:val="Zkladntext"/>
        <w:ind w:firstLine="432"/>
      </w:pPr>
      <w:r>
        <w:t>Results of the correlation analysis between variable</w:t>
      </w:r>
      <w:r w:rsidR="00A310F8">
        <w:t>s</w:t>
      </w:r>
      <w:r>
        <w:t xml:space="preserve"> tax treatment and </w:t>
      </w:r>
      <w:r w:rsidR="003C7A64">
        <w:t>ratio of number of</w:t>
      </w:r>
      <w:r w:rsidR="00A310F8">
        <w:t xml:space="preserve"> C and S</w:t>
      </w:r>
      <w:r>
        <w:t xml:space="preserve"> corpor</w:t>
      </w:r>
      <w:r>
        <w:t>a</w:t>
      </w:r>
      <w:r>
        <w:t xml:space="preserve">tions </w:t>
      </w:r>
      <w:r w:rsidR="00A310F8">
        <w:t>is shown in Table 1 bellow.</w:t>
      </w:r>
    </w:p>
    <w:p w:rsidR="00775769" w:rsidRDefault="00775769" w:rsidP="00775769">
      <w:pPr>
        <w:pStyle w:val="CenteredObject"/>
      </w:pPr>
      <w:r>
        <w:rPr>
          <w:rStyle w:val="CaptionHeader"/>
        </w:rPr>
        <w:t xml:space="preserve">Table </w:t>
      </w:r>
      <w:r>
        <w:rPr>
          <w:rStyle w:val="CaptionHeader"/>
          <w:b/>
        </w:rPr>
        <w:fldChar w:fldCharType="begin"/>
      </w:r>
      <w:r>
        <w:rPr>
          <w:rStyle w:val="CaptionHeader"/>
        </w:rPr>
        <w:instrText xml:space="preserve"> SEQ Table \* ARABIC </w:instrText>
      </w:r>
      <w:r>
        <w:rPr>
          <w:rStyle w:val="CaptionHeader"/>
          <w:b/>
        </w:rPr>
        <w:fldChar w:fldCharType="separate"/>
      </w:r>
      <w:r>
        <w:rPr>
          <w:rStyle w:val="CaptionHeader"/>
          <w:noProof/>
        </w:rPr>
        <w:t>1</w:t>
      </w:r>
      <w:r>
        <w:rPr>
          <w:rStyle w:val="CaptionHeader"/>
          <w:b/>
        </w:rPr>
        <w:fldChar w:fldCharType="end"/>
      </w:r>
      <w:r>
        <w:rPr>
          <w:rStyle w:val="CaptionHeader"/>
        </w:rPr>
        <w:t>:</w:t>
      </w:r>
      <w:r>
        <w:t xml:space="preserve"> </w:t>
      </w:r>
      <w:r w:rsidR="00A310F8">
        <w:t>Correlation coefficients between variables tax treatment and ratio of C/S corporations</w:t>
      </w:r>
    </w:p>
    <w:tbl>
      <w:tblPr>
        <w:tblStyle w:val="Mkatabulky"/>
        <w:tblW w:w="0" w:type="auto"/>
        <w:jc w:val="center"/>
        <w:tblLook w:val="04A0" w:firstRow="1" w:lastRow="0" w:firstColumn="1" w:lastColumn="0" w:noHBand="0" w:noVBand="1"/>
      </w:tblPr>
      <w:tblGrid>
        <w:gridCol w:w="2330"/>
        <w:gridCol w:w="2330"/>
      </w:tblGrid>
      <w:tr w:rsidR="005D5E41" w:rsidTr="005D5E41">
        <w:trPr>
          <w:trHeight w:val="120"/>
          <w:jc w:val="center"/>
        </w:trPr>
        <w:tc>
          <w:tcPr>
            <w:tcW w:w="2330" w:type="dxa"/>
          </w:tcPr>
          <w:p w:rsidR="005D5E41" w:rsidRDefault="005D5E41" w:rsidP="005D5E41">
            <w:pPr>
              <w:pStyle w:val="CenteredObject"/>
              <w:jc w:val="left"/>
            </w:pPr>
          </w:p>
        </w:tc>
        <w:tc>
          <w:tcPr>
            <w:tcW w:w="2330" w:type="dxa"/>
          </w:tcPr>
          <w:p w:rsidR="005D5E41" w:rsidRDefault="005D5E41" w:rsidP="00775769">
            <w:pPr>
              <w:pStyle w:val="CenteredObject"/>
            </w:pPr>
            <w:r>
              <w:t>C/S CORPORATION RATIO</w:t>
            </w:r>
          </w:p>
        </w:tc>
      </w:tr>
      <w:tr w:rsidR="005D5E41" w:rsidTr="005D5E41">
        <w:trPr>
          <w:trHeight w:val="120"/>
          <w:jc w:val="center"/>
        </w:trPr>
        <w:tc>
          <w:tcPr>
            <w:tcW w:w="2330" w:type="dxa"/>
          </w:tcPr>
          <w:p w:rsidR="005D5E41" w:rsidRDefault="005D5E41" w:rsidP="00775769">
            <w:pPr>
              <w:pStyle w:val="CenteredObject"/>
            </w:pPr>
            <w:r>
              <w:t>TAX TREATMENT 1</w:t>
            </w:r>
          </w:p>
        </w:tc>
        <w:tc>
          <w:tcPr>
            <w:tcW w:w="2330" w:type="dxa"/>
          </w:tcPr>
          <w:p w:rsidR="005D5E41" w:rsidRDefault="00D943C3" w:rsidP="00775769">
            <w:pPr>
              <w:pStyle w:val="CenteredObject"/>
            </w:pPr>
            <w:r>
              <w:t>0.</w:t>
            </w:r>
            <w:r w:rsidR="000404D7">
              <w:t>207</w:t>
            </w:r>
          </w:p>
        </w:tc>
      </w:tr>
      <w:tr w:rsidR="005D5E41" w:rsidTr="005D5E41">
        <w:trPr>
          <w:trHeight w:val="120"/>
          <w:jc w:val="center"/>
        </w:trPr>
        <w:tc>
          <w:tcPr>
            <w:tcW w:w="2330" w:type="dxa"/>
          </w:tcPr>
          <w:p w:rsidR="005D5E41" w:rsidRDefault="005D5E41" w:rsidP="00775769">
            <w:pPr>
              <w:pStyle w:val="CenteredObject"/>
            </w:pPr>
            <w:r>
              <w:t>TAX TREATMENT 2</w:t>
            </w:r>
          </w:p>
        </w:tc>
        <w:tc>
          <w:tcPr>
            <w:tcW w:w="2330" w:type="dxa"/>
          </w:tcPr>
          <w:p w:rsidR="005D5E41" w:rsidRDefault="00D943C3" w:rsidP="00775769">
            <w:pPr>
              <w:pStyle w:val="CenteredObject"/>
            </w:pPr>
            <w:r>
              <w:t>0.</w:t>
            </w:r>
            <w:r w:rsidR="000404D7">
              <w:t>199</w:t>
            </w:r>
          </w:p>
        </w:tc>
      </w:tr>
      <w:tr w:rsidR="005D5E41" w:rsidTr="005D5E41">
        <w:trPr>
          <w:trHeight w:val="120"/>
          <w:jc w:val="center"/>
        </w:trPr>
        <w:tc>
          <w:tcPr>
            <w:tcW w:w="2330" w:type="dxa"/>
          </w:tcPr>
          <w:p w:rsidR="005D5E41" w:rsidRDefault="005D5E41" w:rsidP="00775769">
            <w:pPr>
              <w:pStyle w:val="CenteredObject"/>
            </w:pPr>
            <w:r>
              <w:t>TAX TREATMENT 3</w:t>
            </w:r>
          </w:p>
        </w:tc>
        <w:tc>
          <w:tcPr>
            <w:tcW w:w="2330" w:type="dxa"/>
          </w:tcPr>
          <w:p w:rsidR="005D5E41" w:rsidRDefault="00D943C3" w:rsidP="00775769">
            <w:pPr>
              <w:pStyle w:val="CenteredObject"/>
            </w:pPr>
            <w:r>
              <w:t>0.</w:t>
            </w:r>
            <w:r w:rsidR="000404D7">
              <w:t>208</w:t>
            </w:r>
          </w:p>
        </w:tc>
      </w:tr>
      <w:tr w:rsidR="005D5E41" w:rsidTr="005D5E41">
        <w:trPr>
          <w:trHeight w:val="122"/>
          <w:jc w:val="center"/>
        </w:trPr>
        <w:tc>
          <w:tcPr>
            <w:tcW w:w="2330" w:type="dxa"/>
          </w:tcPr>
          <w:p w:rsidR="005D5E41" w:rsidRDefault="005D5E41" w:rsidP="00775769">
            <w:pPr>
              <w:pStyle w:val="CenteredObject"/>
            </w:pPr>
            <w:r>
              <w:t>TAX TREATMENT 4</w:t>
            </w:r>
          </w:p>
        </w:tc>
        <w:tc>
          <w:tcPr>
            <w:tcW w:w="2330" w:type="dxa"/>
          </w:tcPr>
          <w:p w:rsidR="005D5E41" w:rsidRDefault="00D943C3" w:rsidP="00775769">
            <w:pPr>
              <w:pStyle w:val="CenteredObject"/>
            </w:pPr>
            <w:r>
              <w:t>0.</w:t>
            </w:r>
            <w:r w:rsidR="000404D7">
              <w:t>213</w:t>
            </w:r>
          </w:p>
        </w:tc>
      </w:tr>
    </w:tbl>
    <w:p w:rsidR="00775769" w:rsidRDefault="00A310F8" w:rsidP="00775769">
      <w:pPr>
        <w:pStyle w:val="Odstavecprograf"/>
      </w:pPr>
      <w:r>
        <w:t>Source: Authorial computation</w:t>
      </w:r>
    </w:p>
    <w:p w:rsidR="007B2987" w:rsidRPr="007B2987" w:rsidRDefault="00BA57EF" w:rsidP="00501F75">
      <w:pPr>
        <w:pStyle w:val="Zkladntext-prvnodsazen"/>
      </w:pPr>
      <w:r>
        <w:t xml:space="preserve">The correlation coefficient has in </w:t>
      </w:r>
      <w:r w:rsidR="00D943C3">
        <w:t>all four cases value about 0.</w:t>
      </w:r>
      <w:r>
        <w:t>2 which means a low level of direct depende</w:t>
      </w:r>
      <w:r>
        <w:t>n</w:t>
      </w:r>
      <w:r>
        <w:t xml:space="preserve">cy. For this reason, original hypothesis must be rejected. Direct dependency suggest that increase </w:t>
      </w:r>
      <w:r w:rsidR="00EC33BA">
        <w:t xml:space="preserve">of </w:t>
      </w:r>
      <w:r>
        <w:t>corporate tax rate and personal tax rate on equity or decrease of personal income tax rate and social and health insurance rate will cause companies to shift its form from S corporations to C corporations and conversely.</w:t>
      </w:r>
      <w:r w:rsidR="00EC33BA">
        <w:t xml:space="preserve"> </w:t>
      </w:r>
      <w:r w:rsidR="00792687">
        <w:t xml:space="preserve">Results of this study are therefore inconsistent with results of the previous studies made in the United </w:t>
      </w:r>
      <w:r w:rsidR="00D943C3">
        <w:t>States</w:t>
      </w:r>
      <w:r w:rsidR="00792687">
        <w:t xml:space="preserve"> (Mackie-Mason and Gordon, 1991), (</w:t>
      </w:r>
      <w:proofErr w:type="spellStart"/>
      <w:r w:rsidR="00792687">
        <w:t>Goolsbee</w:t>
      </w:r>
      <w:proofErr w:type="spellEnd"/>
      <w:r w:rsidR="00792687">
        <w:t>, 1998), (Luna and Murray, 2008) and Sweden (Karin and Gordon, 2013). Reasons for this</w:t>
      </w:r>
      <w:r w:rsidR="00631C9B">
        <w:t xml:space="preserve"> inconsistency</w:t>
      </w:r>
      <w:r w:rsidR="00792687">
        <w:t xml:space="preserve"> can be two. Firstly</w:t>
      </w:r>
      <w:r w:rsidR="001360B3">
        <w:t>, this can be due to insufficient data structure of S and C corporations. For better analysis it would be necessary to obtain separate data for numbers of C and S corporations with tax</w:t>
      </w:r>
      <w:r w:rsidR="001360B3">
        <w:t>a</w:t>
      </w:r>
      <w:r w:rsidR="001360B3">
        <w:t xml:space="preserve">ble profits and tax losses. For example S corporation with tax losses can react to changes in corporate tax rates differently than one with tax profits, so even with increase of corporate tax rate S corporation can be motivated to shift into C corporation and gain non-tax benefits of this type of organizational form. In previously mentioned studies, especially one made by </w:t>
      </w:r>
      <w:r w:rsidR="001360B3" w:rsidRPr="00457D7C">
        <w:t xml:space="preserve">Ayers, </w:t>
      </w:r>
      <w:proofErr w:type="spellStart"/>
      <w:r w:rsidR="001360B3" w:rsidRPr="00457D7C">
        <w:t>Cloid</w:t>
      </w:r>
      <w:proofErr w:type="spellEnd"/>
      <w:r w:rsidR="001360B3" w:rsidRPr="00457D7C">
        <w:t xml:space="preserve"> and Robinson (Ayers, </w:t>
      </w:r>
      <w:proofErr w:type="spellStart"/>
      <w:r w:rsidR="001360B3" w:rsidRPr="00457D7C">
        <w:t>Cloid</w:t>
      </w:r>
      <w:proofErr w:type="spellEnd"/>
      <w:r w:rsidR="001360B3" w:rsidRPr="00457D7C">
        <w:t xml:space="preserve"> and Robinson, 1996)</w:t>
      </w:r>
      <w:r w:rsidR="001360B3">
        <w:t xml:space="preserve"> it is said the non-tax factors play more important role in selection of organizational form than ta</w:t>
      </w:r>
      <w:r w:rsidR="004B4580">
        <w:t xml:space="preserve">x factors. </w:t>
      </w:r>
      <w:r w:rsidR="00631C9B">
        <w:t>Another problem with the data is that in the number of C corporations used for calculation of the C/S corporation ratio are also included companies, which show no</w:t>
      </w:r>
      <w:r w:rsidR="00DA6561">
        <w:t xml:space="preserve"> real</w:t>
      </w:r>
      <w:r w:rsidR="00631C9B">
        <w:t xml:space="preserve"> economic activity. </w:t>
      </w:r>
      <w:r w:rsidR="00366D21">
        <w:t>These companies should be filtered out in the future research for</w:t>
      </w:r>
      <w:r w:rsidR="002B6885">
        <w:t xml:space="preserve"> more consistent results</w:t>
      </w:r>
      <w:r w:rsidR="00366D21">
        <w:t xml:space="preserve">. </w:t>
      </w:r>
      <w:r w:rsidR="00A16BBC">
        <w:t>The issue of long-term inactive companies should only be the problem of C corpor</w:t>
      </w:r>
      <w:r w:rsidR="00A16BBC">
        <w:t>a</w:t>
      </w:r>
      <w:r w:rsidR="00A16BBC">
        <w:t xml:space="preserve">tions, because S corporations with no real economic activity and no profit still have to pay social and health </w:t>
      </w:r>
      <w:r w:rsidR="00A16BBC">
        <w:lastRenderedPageBreak/>
        <w:t>insurance from minimal assessment basis each year so it is highly discouraging to maintain inactive S corpor</w:t>
      </w:r>
      <w:r w:rsidR="00A16BBC">
        <w:t>a</w:t>
      </w:r>
      <w:r w:rsidR="00A16BBC">
        <w:t>tion.</w:t>
      </w:r>
      <w:r w:rsidR="00F24DF8" w:rsidRPr="00F24DF8">
        <w:t xml:space="preserve"> </w:t>
      </w:r>
      <w:r w:rsidR="00F24DF8">
        <w:t xml:space="preserve">Second reason for inconsistency of the results is also </w:t>
      </w:r>
      <w:r w:rsidR="00F24DF8">
        <w:t>connected with non-tax factors</w:t>
      </w:r>
      <w:r w:rsidR="001360B3">
        <w:t xml:space="preserve">. The analysis does not capture </w:t>
      </w:r>
      <w:r w:rsidR="00503D14">
        <w:t>non-tax costs of organizational type shift. When company decides t</w:t>
      </w:r>
      <w:r w:rsidR="00C54E7E">
        <w:t>o shift from</w:t>
      </w:r>
      <w:r w:rsidR="00503D14">
        <w:t xml:space="preserve"> S corporation to C </w:t>
      </w:r>
      <w:proofErr w:type="gramStart"/>
      <w:r w:rsidR="00503D14">
        <w:t>corp</w:t>
      </w:r>
      <w:r w:rsidR="00503D14">
        <w:t>o</w:t>
      </w:r>
      <w:r w:rsidR="00503D14">
        <w:t>ration</w:t>
      </w:r>
      <w:proofErr w:type="gramEnd"/>
      <w:r w:rsidR="00503D14">
        <w:t xml:space="preserve">, it is connected with administrative costs as well as other costs of increasing business activity. This can lead to S corporations not changing its form to C </w:t>
      </w:r>
      <w:proofErr w:type="gramStart"/>
      <w:r w:rsidR="00503D14">
        <w:t>corporation</w:t>
      </w:r>
      <w:proofErr w:type="gramEnd"/>
      <w:r w:rsidR="00503D14">
        <w:t xml:space="preserve"> even with decrease of corporate tax rate, increase of personal income tax rate and so on. </w:t>
      </w:r>
      <w:r w:rsidR="00525EEA">
        <w:t>Non-tax costs of organizatio</w:t>
      </w:r>
      <w:bookmarkStart w:id="0" w:name="_GoBack"/>
      <w:bookmarkEnd w:id="0"/>
      <w:r w:rsidR="00525EEA">
        <w:t>nal shift could have changed significantly in period 1993-2015 in the Czech Republic as it was transforming from central pla</w:t>
      </w:r>
      <w:r w:rsidR="00525EEA">
        <w:t>n</w:t>
      </w:r>
      <w:r w:rsidR="00525EEA">
        <w:t xml:space="preserve">ning economy into </w:t>
      </w:r>
      <w:r w:rsidR="00D943C3">
        <w:t>free market</w:t>
      </w:r>
      <w:r w:rsidR="00525EEA">
        <w:t xml:space="preserve"> economy. </w:t>
      </w:r>
      <w:r w:rsidR="000D273A">
        <w:t>This is diffe</w:t>
      </w:r>
      <w:r w:rsidR="000D273A">
        <w:t>r</w:t>
      </w:r>
      <w:r w:rsidR="000D273A">
        <w:t xml:space="preserve">ence from analyses made previously </w:t>
      </w:r>
      <w:r w:rsidR="00730E93">
        <w:t xml:space="preserve">in western countries like the United States. </w:t>
      </w:r>
    </w:p>
    <w:p w:rsidR="0054195D" w:rsidRDefault="00806666" w:rsidP="0054195D">
      <w:pPr>
        <w:pStyle w:val="Nadpis1"/>
      </w:pPr>
      <w:r>
        <w:t>Conclusions</w:t>
      </w:r>
    </w:p>
    <w:p w:rsidR="0054195D" w:rsidRDefault="0054195D" w:rsidP="0054195D">
      <w:pPr>
        <w:pStyle w:val="Zkladntext"/>
        <w:ind w:firstLine="432"/>
      </w:pPr>
      <w:r>
        <w:t>This article examined</w:t>
      </w:r>
      <w:r w:rsidR="00701CE5">
        <w:t xml:space="preserve"> the</w:t>
      </w:r>
      <w:r>
        <w:t xml:space="preserve">  influence of corporate tax rate on business organizational form in the Czech R</w:t>
      </w:r>
      <w:r>
        <w:t>e</w:t>
      </w:r>
      <w:r>
        <w:t>public in period 1993-2015 using the model created for measuring the influence in the United States.</w:t>
      </w:r>
      <w:r w:rsidR="00701CE5">
        <w:t xml:space="preserve"> Results are inconsistent with previous similar studies made in the United States and </w:t>
      </w:r>
      <w:r w:rsidR="007A708D">
        <w:t xml:space="preserve">also </w:t>
      </w:r>
      <w:r w:rsidR="00701CE5">
        <w:t>Sweden</w:t>
      </w:r>
      <w:r w:rsidR="007A708D">
        <w:t>, suggesting low level of direct dependency between corporate tax rate and ratio of number of C and S corporations. According to theore</w:t>
      </w:r>
      <w:r w:rsidR="007A708D">
        <w:t>t</w:t>
      </w:r>
      <w:r w:rsidR="007A708D">
        <w:t xml:space="preserve">ical model and stated hypothesis the dependency should be indirect. In further research it will be necessary to work with more structured data which separates companies with taxable profits and tax losses and also to add another variable into the theoretical model that will capture the influence of non-tax costs of organizational form shift. </w:t>
      </w:r>
    </w:p>
    <w:p w:rsidR="000B5C60" w:rsidRDefault="007C28F4" w:rsidP="006B7B02">
      <w:r>
        <w:tab/>
        <w:t xml:space="preserve"> </w:t>
      </w:r>
    </w:p>
    <w:p w:rsidR="000E38FA" w:rsidRDefault="0052403C" w:rsidP="0030249D">
      <w:pPr>
        <w:pStyle w:val="ReferencesHeader"/>
      </w:pPr>
      <w:r>
        <w:t>References</w:t>
      </w:r>
    </w:p>
    <w:p w:rsidR="0030249D" w:rsidRPr="009B6969" w:rsidRDefault="0030249D" w:rsidP="00E72198">
      <w:pPr>
        <w:spacing w:before="120" w:after="120" w:line="276" w:lineRule="auto"/>
        <w:rPr>
          <w:rStyle w:val="Hypertextovodkaz"/>
        </w:rPr>
      </w:pPr>
      <w:bookmarkStart w:id="1" w:name="_Ref390624249"/>
      <w:r w:rsidRPr="009B6969">
        <w:t xml:space="preserve">AYERS, B., CLOYD, C. and ROBINSON, J. 1996. Organizational form and taxes: An empirical analysis of small business. </w:t>
      </w:r>
      <w:r w:rsidRPr="0030249D">
        <w:rPr>
          <w:i/>
          <w:iCs/>
        </w:rPr>
        <w:t xml:space="preserve">Journal of American Taxation </w:t>
      </w:r>
      <w:proofErr w:type="spellStart"/>
      <w:r w:rsidRPr="0030249D">
        <w:rPr>
          <w:i/>
          <w:iCs/>
        </w:rPr>
        <w:t>organisation</w:t>
      </w:r>
      <w:proofErr w:type="spellEnd"/>
      <w:r w:rsidRPr="009B6969">
        <w:t xml:space="preserve"> [online]. Available at: </w:t>
      </w:r>
      <w:hyperlink r:id="rId10" w:history="1">
        <w:r w:rsidRPr="009B6969">
          <w:rPr>
            <w:rStyle w:val="Hypertextovodkaz"/>
          </w:rPr>
          <w:t>http://www.researchgate.net/publication/240161271_Organizational_form_and_taxes_an_empirical_analysis_of_small_businesses</w:t>
        </w:r>
        <w:bookmarkEnd w:id="1"/>
      </w:hyperlink>
      <w:r w:rsidRPr="009B6969">
        <w:rPr>
          <w:rStyle w:val="Hypertextovodkaz"/>
        </w:rPr>
        <w:t xml:space="preserve"> </w:t>
      </w:r>
      <w:r>
        <w:t>[Accessed: 2016-02</w:t>
      </w:r>
      <w:r w:rsidRPr="009B6969">
        <w:t>-14].</w:t>
      </w:r>
    </w:p>
    <w:p w:rsidR="0030249D" w:rsidRDefault="0030249D" w:rsidP="00E72198">
      <w:pPr>
        <w:pStyle w:val="Seznamcitac"/>
        <w:numPr>
          <w:ilvl w:val="0"/>
          <w:numId w:val="0"/>
        </w:numPr>
        <w:spacing w:line="276" w:lineRule="auto"/>
      </w:pPr>
      <w:r w:rsidRPr="0030249D">
        <w:t xml:space="preserve">BENA, J. and HANOUSEK, J. 2005. Rent Extraction by Large </w:t>
      </w:r>
      <w:proofErr w:type="spellStart"/>
      <w:r w:rsidRPr="0030249D">
        <w:t>Shareholders</w:t>
      </w:r>
      <w:proofErr w:type="gramStart"/>
      <w:r w:rsidRPr="0030249D">
        <w:t>:Evidence</w:t>
      </w:r>
      <w:proofErr w:type="spellEnd"/>
      <w:proofErr w:type="gramEnd"/>
      <w:r w:rsidRPr="0030249D">
        <w:t xml:space="preserve"> Using Dividend Policy in the Czech Republic. Prague: Charles University, Center for Economic Research and Graduate Education. [</w:t>
      </w:r>
      <w:proofErr w:type="gramStart"/>
      <w:r w:rsidRPr="0030249D">
        <w:t>online</w:t>
      </w:r>
      <w:proofErr w:type="gramEnd"/>
      <w:r w:rsidRPr="0030249D">
        <w:t>]. Available at: http://home.cerge-ei.cz/hanousek/divi01.pdf [Accessed: 2016-01-30].</w:t>
      </w:r>
    </w:p>
    <w:p w:rsidR="0030249D" w:rsidRDefault="0030249D" w:rsidP="00E72198">
      <w:pPr>
        <w:pStyle w:val="Seznamcitac"/>
        <w:numPr>
          <w:ilvl w:val="0"/>
          <w:numId w:val="0"/>
        </w:numPr>
        <w:spacing w:line="276" w:lineRule="auto"/>
        <w:rPr>
          <w:color w:val="000000"/>
          <w:shd w:val="clear" w:color="auto" w:fill="FFFFFF"/>
        </w:rPr>
      </w:pPr>
      <w:r w:rsidRPr="009B6969">
        <w:rPr>
          <w:color w:val="000000"/>
          <w:shd w:val="clear" w:color="auto" w:fill="FFFFFF"/>
        </w:rPr>
        <w:t>CARROLL, R. 2010. The Economic Effects of the Lower Tax Rate on Dividends.</w:t>
      </w:r>
      <w:r w:rsidRPr="009B6969">
        <w:rPr>
          <w:rStyle w:val="apple-converted-space"/>
          <w:color w:val="000000"/>
          <w:shd w:val="clear" w:color="auto" w:fill="FFFFFF"/>
        </w:rPr>
        <w:t> </w:t>
      </w:r>
      <w:r w:rsidRPr="009B6969">
        <w:rPr>
          <w:i/>
          <w:iCs/>
          <w:color w:val="000000"/>
          <w:shd w:val="clear" w:color="auto" w:fill="FFFFFF"/>
        </w:rPr>
        <w:t xml:space="preserve">Tax </w:t>
      </w:r>
      <w:proofErr w:type="gramStart"/>
      <w:r w:rsidRPr="009B6969">
        <w:rPr>
          <w:i/>
          <w:iCs/>
          <w:color w:val="000000"/>
          <w:shd w:val="clear" w:color="auto" w:fill="FFFFFF"/>
        </w:rPr>
        <w:t>foundation</w:t>
      </w:r>
      <w:r w:rsidRPr="009B6969">
        <w:rPr>
          <w:rStyle w:val="apple-converted-space"/>
          <w:color w:val="000000"/>
          <w:shd w:val="clear" w:color="auto" w:fill="FFFFFF"/>
        </w:rPr>
        <w:t> </w:t>
      </w:r>
      <w:r w:rsidRPr="009B6969">
        <w:rPr>
          <w:color w:val="000000"/>
          <w:shd w:val="clear" w:color="auto" w:fill="FFFFFF"/>
        </w:rPr>
        <w:t>,181</w:t>
      </w:r>
      <w:proofErr w:type="gramEnd"/>
      <w:r w:rsidRPr="009B6969">
        <w:rPr>
          <w:color w:val="000000"/>
          <w:shd w:val="clear" w:color="auto" w:fill="FFFFFF"/>
        </w:rPr>
        <w:t>. [</w:t>
      </w:r>
      <w:proofErr w:type="gramStart"/>
      <w:r w:rsidRPr="009B6969">
        <w:rPr>
          <w:color w:val="000000"/>
          <w:shd w:val="clear" w:color="auto" w:fill="FFFFFF"/>
        </w:rPr>
        <w:t>online</w:t>
      </w:r>
      <w:proofErr w:type="gramEnd"/>
      <w:r w:rsidRPr="009B6969">
        <w:rPr>
          <w:color w:val="000000"/>
          <w:shd w:val="clear" w:color="auto" w:fill="FFFFFF"/>
        </w:rPr>
        <w:t>]. Available at:</w:t>
      </w:r>
      <w:r w:rsidRPr="009B6969">
        <w:rPr>
          <w:rStyle w:val="apple-converted-space"/>
          <w:color w:val="000000"/>
          <w:shd w:val="clear" w:color="auto" w:fill="FFFFFF"/>
        </w:rPr>
        <w:t> </w:t>
      </w:r>
      <w:hyperlink r:id="rId11" w:history="1">
        <w:r w:rsidRPr="009B6969">
          <w:rPr>
            <w:rStyle w:val="Hypertextovodkaz"/>
            <w:color w:val="000000"/>
            <w:shd w:val="clear" w:color="auto" w:fill="FFFFFF"/>
          </w:rPr>
          <w:t>http://taxfoundation.org/sites/taxfoundation.org/files/docs/sr181.pdf</w:t>
        </w:r>
      </w:hyperlink>
      <w:r w:rsidRPr="009B6969">
        <w:rPr>
          <w:rStyle w:val="Hypertextovodkaz"/>
          <w:color w:val="000000"/>
          <w:shd w:val="clear" w:color="auto" w:fill="FFFFFF"/>
        </w:rPr>
        <w:t xml:space="preserve"> </w:t>
      </w:r>
      <w:r>
        <w:rPr>
          <w:color w:val="000000"/>
          <w:shd w:val="clear" w:color="auto" w:fill="FFFFFF"/>
        </w:rPr>
        <w:t>[Accessed: 2016-02-14</w:t>
      </w:r>
      <w:r w:rsidRPr="009B6969">
        <w:rPr>
          <w:color w:val="000000"/>
          <w:shd w:val="clear" w:color="auto" w:fill="FFFFFF"/>
        </w:rPr>
        <w:t>].</w:t>
      </w:r>
    </w:p>
    <w:p w:rsidR="00FD7766" w:rsidRPr="00FD7766" w:rsidRDefault="00FD7766" w:rsidP="00E72198">
      <w:pPr>
        <w:pStyle w:val="Seznamcitac"/>
        <w:numPr>
          <w:ilvl w:val="0"/>
          <w:numId w:val="0"/>
        </w:numPr>
        <w:spacing w:line="276" w:lineRule="auto"/>
        <w:rPr>
          <w:color w:val="000000"/>
          <w:shd w:val="clear" w:color="auto" w:fill="FFFFFF"/>
          <w:lang w:val="cs-CZ"/>
        </w:rPr>
      </w:pPr>
      <w:r>
        <w:rPr>
          <w:color w:val="000000"/>
          <w:shd w:val="clear" w:color="auto" w:fill="FFFFFF"/>
        </w:rPr>
        <w:t xml:space="preserve">ČESKÝ STATISTICKÝ ÚŘAD. 2016. </w:t>
      </w:r>
      <w:proofErr w:type="spellStart"/>
      <w:r>
        <w:rPr>
          <w:i/>
          <w:color w:val="000000"/>
          <w:shd w:val="clear" w:color="auto" w:fill="FFFFFF"/>
        </w:rPr>
        <w:t>Registr</w:t>
      </w:r>
      <w:proofErr w:type="spellEnd"/>
      <w:r>
        <w:rPr>
          <w:i/>
          <w:color w:val="000000"/>
          <w:shd w:val="clear" w:color="auto" w:fill="FFFFFF"/>
        </w:rPr>
        <w:t xml:space="preserve"> </w:t>
      </w:r>
      <w:proofErr w:type="spellStart"/>
      <w:r>
        <w:rPr>
          <w:i/>
          <w:color w:val="000000"/>
          <w:shd w:val="clear" w:color="auto" w:fill="FFFFFF"/>
        </w:rPr>
        <w:t>ekonomických</w:t>
      </w:r>
      <w:proofErr w:type="spellEnd"/>
      <w:r>
        <w:rPr>
          <w:i/>
          <w:color w:val="000000"/>
          <w:shd w:val="clear" w:color="auto" w:fill="FFFFFF"/>
        </w:rPr>
        <w:t xml:space="preserve"> </w:t>
      </w:r>
      <w:proofErr w:type="spellStart"/>
      <w:r>
        <w:rPr>
          <w:i/>
          <w:color w:val="000000"/>
          <w:shd w:val="clear" w:color="auto" w:fill="FFFFFF"/>
        </w:rPr>
        <w:t>subjektů</w:t>
      </w:r>
      <w:proofErr w:type="spellEnd"/>
      <w:r>
        <w:rPr>
          <w:i/>
          <w:color w:val="000000"/>
          <w:shd w:val="clear" w:color="auto" w:fill="FFFFFF"/>
        </w:rPr>
        <w:t xml:space="preserve">. </w:t>
      </w:r>
      <w:r>
        <w:rPr>
          <w:color w:val="000000"/>
          <w:shd w:val="clear" w:color="auto" w:fill="FFFFFF"/>
        </w:rPr>
        <w:t>[</w:t>
      </w:r>
      <w:proofErr w:type="gramStart"/>
      <w:r>
        <w:rPr>
          <w:color w:val="000000"/>
          <w:shd w:val="clear" w:color="auto" w:fill="FFFFFF"/>
          <w:lang w:val="cs-CZ"/>
        </w:rPr>
        <w:t>online</w:t>
      </w:r>
      <w:proofErr w:type="gramEnd"/>
      <w:r>
        <w:rPr>
          <w:color w:val="000000"/>
          <w:shd w:val="clear" w:color="auto" w:fill="FFFFFF"/>
        </w:rPr>
        <w:t>]</w:t>
      </w:r>
      <w:r>
        <w:rPr>
          <w:color w:val="000000"/>
          <w:shd w:val="clear" w:color="auto" w:fill="FFFFFF"/>
          <w:lang w:val="cs-CZ"/>
        </w:rPr>
        <w:t xml:space="preserve">. </w:t>
      </w:r>
      <w:proofErr w:type="spellStart"/>
      <w:r>
        <w:rPr>
          <w:color w:val="000000"/>
          <w:shd w:val="clear" w:color="auto" w:fill="FFFFFF"/>
          <w:lang w:val="cs-CZ"/>
        </w:rPr>
        <w:t>Available</w:t>
      </w:r>
      <w:proofErr w:type="spellEnd"/>
      <w:r>
        <w:rPr>
          <w:color w:val="000000"/>
          <w:shd w:val="clear" w:color="auto" w:fill="FFFFFF"/>
          <w:lang w:val="cs-CZ"/>
        </w:rPr>
        <w:t xml:space="preserve"> </w:t>
      </w:r>
      <w:proofErr w:type="spellStart"/>
      <w:r>
        <w:rPr>
          <w:color w:val="000000"/>
          <w:shd w:val="clear" w:color="auto" w:fill="FFFFFF"/>
          <w:lang w:val="cs-CZ"/>
        </w:rPr>
        <w:t>at</w:t>
      </w:r>
      <w:proofErr w:type="spellEnd"/>
      <w:r>
        <w:rPr>
          <w:color w:val="000000"/>
          <w:shd w:val="clear" w:color="auto" w:fill="FFFFFF"/>
          <w:lang w:val="cs-CZ"/>
        </w:rPr>
        <w:t xml:space="preserve">: </w:t>
      </w:r>
      <w:hyperlink r:id="rId12" w:history="1">
        <w:r w:rsidRPr="000339C3">
          <w:rPr>
            <w:rStyle w:val="Hypertextovodkaz"/>
            <w:shd w:val="clear" w:color="auto" w:fill="FFFFFF"/>
            <w:lang w:val="cs-CZ"/>
          </w:rPr>
          <w:t>https://www.czso.cz/csu/res/registr_ekonomickych_subjektu</w:t>
        </w:r>
      </w:hyperlink>
      <w:r>
        <w:rPr>
          <w:color w:val="000000"/>
          <w:shd w:val="clear" w:color="auto" w:fill="FFFFFF"/>
          <w:lang w:val="cs-CZ"/>
        </w:rPr>
        <w:t xml:space="preserve"> </w:t>
      </w:r>
      <w:r>
        <w:rPr>
          <w:color w:val="000000"/>
          <w:shd w:val="clear" w:color="auto" w:fill="FFFFFF"/>
        </w:rPr>
        <w:t>[</w:t>
      </w:r>
      <w:proofErr w:type="spellStart"/>
      <w:r>
        <w:rPr>
          <w:color w:val="000000"/>
          <w:shd w:val="clear" w:color="auto" w:fill="FFFFFF"/>
          <w:lang w:val="cs-CZ"/>
        </w:rPr>
        <w:t>Accessed</w:t>
      </w:r>
      <w:proofErr w:type="spellEnd"/>
      <w:r>
        <w:rPr>
          <w:color w:val="000000"/>
          <w:shd w:val="clear" w:color="auto" w:fill="FFFFFF"/>
          <w:lang w:val="cs-CZ"/>
        </w:rPr>
        <w:t>: 2016-01-15</w:t>
      </w:r>
      <w:r>
        <w:rPr>
          <w:color w:val="000000"/>
          <w:shd w:val="clear" w:color="auto" w:fill="FFFFFF"/>
        </w:rPr>
        <w:t>]</w:t>
      </w:r>
    </w:p>
    <w:p w:rsidR="0030249D" w:rsidRPr="0030249D" w:rsidRDefault="0030249D" w:rsidP="0030249D">
      <w:pPr>
        <w:pStyle w:val="Seznamcitac"/>
        <w:numPr>
          <w:ilvl w:val="0"/>
          <w:numId w:val="0"/>
        </w:numPr>
        <w:spacing w:line="276" w:lineRule="auto"/>
      </w:pPr>
      <w:r w:rsidRPr="009B6969">
        <w:rPr>
          <w:color w:val="000000"/>
          <w:shd w:val="clear" w:color="auto" w:fill="FFFFFF"/>
        </w:rPr>
        <w:t>GOOLSBEE, A. 1998. Taxes, organizational form, and the deadweight loss of the corporate income tax.</w:t>
      </w:r>
      <w:r w:rsidRPr="009B6969">
        <w:rPr>
          <w:rStyle w:val="apple-converted-space"/>
          <w:color w:val="000000"/>
          <w:shd w:val="clear" w:color="auto" w:fill="FFFFFF"/>
        </w:rPr>
        <w:t> </w:t>
      </w:r>
      <w:r w:rsidRPr="009B6969">
        <w:rPr>
          <w:i/>
          <w:iCs/>
          <w:color w:val="000000"/>
          <w:shd w:val="clear" w:color="auto" w:fill="FFFFFF"/>
        </w:rPr>
        <w:t>Journal of Public Economics</w:t>
      </w:r>
      <w:r w:rsidRPr="009B6969">
        <w:rPr>
          <w:color w:val="000000"/>
          <w:shd w:val="clear" w:color="auto" w:fill="FFFFFF"/>
        </w:rPr>
        <w:t>, 69. [</w:t>
      </w:r>
      <w:proofErr w:type="gramStart"/>
      <w:r w:rsidRPr="009B6969">
        <w:rPr>
          <w:color w:val="000000"/>
          <w:shd w:val="clear" w:color="auto" w:fill="FFFFFF"/>
        </w:rPr>
        <w:t>online</w:t>
      </w:r>
      <w:proofErr w:type="gramEnd"/>
      <w:r w:rsidRPr="009B6969">
        <w:rPr>
          <w:color w:val="000000"/>
          <w:shd w:val="clear" w:color="auto" w:fill="FFFFFF"/>
        </w:rPr>
        <w:t>]. Available at:</w:t>
      </w:r>
      <w:r w:rsidRPr="009B6969">
        <w:rPr>
          <w:rStyle w:val="apple-converted-space"/>
          <w:color w:val="000000"/>
          <w:shd w:val="clear" w:color="auto" w:fill="FFFFFF"/>
        </w:rPr>
        <w:t> </w:t>
      </w:r>
      <w:hyperlink r:id="rId13" w:history="1">
        <w:r w:rsidRPr="009B6969">
          <w:rPr>
            <w:rStyle w:val="Hypertextovodkaz"/>
            <w:color w:val="000000"/>
            <w:shd w:val="clear" w:color="auto" w:fill="FFFFFF"/>
          </w:rPr>
          <w:t>http://ac.els-cdn.com/S0047272798000097/1-s2.0-S0047272798000097-main.pdf?_tid=29128244-7a2a-11e4-8cf8-00000aab0f6c&amp;acdnat=1417528402_78e1e95e8fb3071d98586ea0b78001df</w:t>
        </w:r>
      </w:hyperlink>
      <w:r w:rsidRPr="009B6969">
        <w:rPr>
          <w:rStyle w:val="Hypertextovodkaz"/>
          <w:color w:val="000000"/>
          <w:shd w:val="clear" w:color="auto" w:fill="FFFFFF"/>
        </w:rPr>
        <w:t xml:space="preserve"> </w:t>
      </w:r>
      <w:r>
        <w:rPr>
          <w:color w:val="000000"/>
          <w:shd w:val="clear" w:color="auto" w:fill="FFFFFF"/>
        </w:rPr>
        <w:t>[Accessed: 2016-02-15</w:t>
      </w:r>
      <w:r w:rsidRPr="009B6969">
        <w:rPr>
          <w:color w:val="000000"/>
          <w:shd w:val="clear" w:color="auto" w:fill="FFFFFF"/>
        </w:rPr>
        <w:t>]</w:t>
      </w:r>
    </w:p>
    <w:p w:rsidR="00B77C83" w:rsidRDefault="00A3725F" w:rsidP="0030249D">
      <w:pPr>
        <w:spacing w:line="276" w:lineRule="auto"/>
      </w:pPr>
      <w:r w:rsidRPr="009B6969">
        <w:t xml:space="preserve">GORDON, R. and MACKIE-MASON, J. 1991. Taxes and the choice of organizational form. </w:t>
      </w:r>
      <w:r w:rsidRPr="009B6969">
        <w:rPr>
          <w:i/>
        </w:rPr>
        <w:t>NBER Working Paper,</w:t>
      </w:r>
      <w:r w:rsidRPr="009B6969">
        <w:t xml:space="preserve"> 3781. [</w:t>
      </w:r>
      <w:proofErr w:type="gramStart"/>
      <w:r w:rsidRPr="009B6969">
        <w:t>online</w:t>
      </w:r>
      <w:proofErr w:type="gramEnd"/>
      <w:r w:rsidRPr="009B6969">
        <w:t xml:space="preserve">]. Available at: </w:t>
      </w:r>
      <w:hyperlink r:id="rId14" w:history="1">
        <w:r w:rsidRPr="009B6969">
          <w:rPr>
            <w:rStyle w:val="Hypertextovodkaz"/>
          </w:rPr>
          <w:t>http://www.nber.org/papers/w3781.pdf</w:t>
        </w:r>
      </w:hyperlink>
      <w:r w:rsidR="0030249D">
        <w:t xml:space="preserve"> [Accessed: 2016-01-30</w:t>
      </w:r>
      <w:r w:rsidRPr="009B6969">
        <w:t>].</w:t>
      </w:r>
    </w:p>
    <w:p w:rsidR="0030249D" w:rsidRDefault="0030249D" w:rsidP="0030249D">
      <w:pPr>
        <w:spacing w:line="276" w:lineRule="auto"/>
        <w:rPr>
          <w:rStyle w:val="Hypertextovodkaz"/>
        </w:rPr>
      </w:pPr>
      <w:r w:rsidRPr="009B6969">
        <w:t xml:space="preserve">GORDON, R. and MACKIE-MASON, J. 1994. Tax distortions to the choice of organizational form. </w:t>
      </w:r>
      <w:r w:rsidRPr="009B6969">
        <w:rPr>
          <w:i/>
        </w:rPr>
        <w:t>Journal of Public Economics</w:t>
      </w:r>
      <w:r w:rsidRPr="009B6969">
        <w:t>, 55. [</w:t>
      </w:r>
      <w:proofErr w:type="gramStart"/>
      <w:r w:rsidRPr="009B6969">
        <w:t>online</w:t>
      </w:r>
      <w:proofErr w:type="gramEnd"/>
      <w:r w:rsidRPr="009B6969">
        <w:t xml:space="preserve">]. Available at: </w:t>
      </w:r>
      <w:hyperlink r:id="rId15" w:history="1">
        <w:r w:rsidRPr="009B6969">
          <w:rPr>
            <w:rStyle w:val="Hypertextovodkaz"/>
          </w:rPr>
          <w:t>http://www.nber.org/papers/w4227</w:t>
        </w:r>
      </w:hyperlink>
      <w:r w:rsidRPr="009B6969">
        <w:rPr>
          <w:rStyle w:val="Hypertextovodkaz"/>
        </w:rPr>
        <w:t xml:space="preserve"> [Accessed: 2015-10-10].</w:t>
      </w:r>
    </w:p>
    <w:p w:rsidR="0030249D" w:rsidRDefault="0030249D" w:rsidP="0030249D">
      <w:pPr>
        <w:spacing w:line="276" w:lineRule="auto"/>
      </w:pPr>
      <w:bookmarkStart w:id="2" w:name="_Ref390624154"/>
      <w:r w:rsidRPr="009B6969">
        <w:t xml:space="preserve">HRDÝ, M. 2011. </w:t>
      </w:r>
      <w:proofErr w:type="spellStart"/>
      <w:r w:rsidRPr="009B6969">
        <w:t>Vliv</w:t>
      </w:r>
      <w:proofErr w:type="spellEnd"/>
      <w:r w:rsidRPr="009B6969">
        <w:t xml:space="preserve"> </w:t>
      </w:r>
      <w:proofErr w:type="spellStart"/>
      <w:r w:rsidRPr="009B6969">
        <w:t>daní</w:t>
      </w:r>
      <w:proofErr w:type="spellEnd"/>
      <w:r w:rsidRPr="009B6969">
        <w:t xml:space="preserve"> </w:t>
      </w:r>
      <w:proofErr w:type="spellStart"/>
      <w:proofErr w:type="gramStart"/>
      <w:r w:rsidRPr="009B6969">
        <w:t>na</w:t>
      </w:r>
      <w:proofErr w:type="spellEnd"/>
      <w:proofErr w:type="gramEnd"/>
      <w:r w:rsidRPr="009B6969">
        <w:t xml:space="preserve"> </w:t>
      </w:r>
      <w:proofErr w:type="spellStart"/>
      <w:r w:rsidRPr="009B6969">
        <w:t>finanční</w:t>
      </w:r>
      <w:proofErr w:type="spellEnd"/>
      <w:r w:rsidRPr="009B6969">
        <w:t xml:space="preserve"> </w:t>
      </w:r>
      <w:proofErr w:type="spellStart"/>
      <w:r w:rsidRPr="009B6969">
        <w:t>řízení</w:t>
      </w:r>
      <w:proofErr w:type="spellEnd"/>
      <w:r w:rsidRPr="009B6969">
        <w:t xml:space="preserve"> a </w:t>
      </w:r>
      <w:proofErr w:type="spellStart"/>
      <w:r w:rsidRPr="009B6969">
        <w:t>rozhodování</w:t>
      </w:r>
      <w:proofErr w:type="spellEnd"/>
      <w:r w:rsidRPr="009B6969">
        <w:t xml:space="preserve"> </w:t>
      </w:r>
      <w:proofErr w:type="spellStart"/>
      <w:r w:rsidRPr="009B6969">
        <w:t>podniku</w:t>
      </w:r>
      <w:proofErr w:type="spellEnd"/>
      <w:r w:rsidRPr="009B6969">
        <w:t xml:space="preserve">. </w:t>
      </w:r>
      <w:proofErr w:type="spellStart"/>
      <w:r w:rsidRPr="009B6969">
        <w:rPr>
          <w:i/>
          <w:iCs/>
        </w:rPr>
        <w:t>Český</w:t>
      </w:r>
      <w:proofErr w:type="spellEnd"/>
      <w:r w:rsidRPr="009B6969">
        <w:rPr>
          <w:i/>
          <w:iCs/>
        </w:rPr>
        <w:t xml:space="preserve"> </w:t>
      </w:r>
      <w:proofErr w:type="spellStart"/>
      <w:r w:rsidRPr="009B6969">
        <w:rPr>
          <w:i/>
          <w:iCs/>
        </w:rPr>
        <w:t>finanční</w:t>
      </w:r>
      <w:proofErr w:type="spellEnd"/>
      <w:r w:rsidRPr="009B6969">
        <w:rPr>
          <w:i/>
          <w:iCs/>
        </w:rPr>
        <w:t xml:space="preserve"> </w:t>
      </w:r>
      <w:proofErr w:type="gramStart"/>
      <w:r w:rsidRPr="009B6969">
        <w:rPr>
          <w:i/>
          <w:iCs/>
        </w:rPr>
        <w:t>a</w:t>
      </w:r>
      <w:proofErr w:type="gramEnd"/>
      <w:r w:rsidRPr="009B6969">
        <w:rPr>
          <w:i/>
          <w:iCs/>
        </w:rPr>
        <w:t xml:space="preserve"> </w:t>
      </w:r>
      <w:proofErr w:type="spellStart"/>
      <w:r w:rsidRPr="009B6969">
        <w:rPr>
          <w:i/>
          <w:iCs/>
        </w:rPr>
        <w:t>účetní</w:t>
      </w:r>
      <w:proofErr w:type="spellEnd"/>
      <w:r w:rsidRPr="009B6969">
        <w:rPr>
          <w:i/>
          <w:iCs/>
        </w:rPr>
        <w:t xml:space="preserve"> </w:t>
      </w:r>
      <w:proofErr w:type="spellStart"/>
      <w:r w:rsidRPr="009B6969">
        <w:rPr>
          <w:i/>
          <w:iCs/>
        </w:rPr>
        <w:t>časopis</w:t>
      </w:r>
      <w:proofErr w:type="spellEnd"/>
      <w:r w:rsidRPr="009B6969">
        <w:t>, 3. [</w:t>
      </w:r>
      <w:proofErr w:type="gramStart"/>
      <w:r w:rsidRPr="009B6969">
        <w:t>online</w:t>
      </w:r>
      <w:proofErr w:type="gramEnd"/>
      <w:r w:rsidRPr="009B6969">
        <w:t xml:space="preserve">].  Available at: </w:t>
      </w:r>
      <w:hyperlink r:id="rId16" w:history="1">
        <w:r w:rsidRPr="009B6969">
          <w:rPr>
            <w:rStyle w:val="Hypertextovodkaz"/>
          </w:rPr>
          <w:t>www.vse.cz/polek/download.php?jnl=cfuc&amp;pdf=124.pdf</w:t>
        </w:r>
        <w:bookmarkEnd w:id="2"/>
      </w:hyperlink>
      <w:r w:rsidRPr="009B6969">
        <w:rPr>
          <w:rStyle w:val="Hypertextovodkaz"/>
        </w:rPr>
        <w:t xml:space="preserve"> </w:t>
      </w:r>
      <w:r>
        <w:t>[Accessed: 2016-02</w:t>
      </w:r>
      <w:r w:rsidRPr="009B6969">
        <w:t>-13].</w:t>
      </w:r>
    </w:p>
    <w:p w:rsidR="0030249D" w:rsidRDefault="0030249D" w:rsidP="0030249D">
      <w:pPr>
        <w:spacing w:line="276" w:lineRule="auto"/>
        <w:rPr>
          <w:color w:val="000000"/>
          <w:shd w:val="clear" w:color="auto" w:fill="FFFFFF"/>
        </w:rPr>
      </w:pPr>
      <w:r w:rsidRPr="009B6969">
        <w:rPr>
          <w:color w:val="000000"/>
          <w:shd w:val="clear" w:color="auto" w:fill="FFFFFF"/>
        </w:rPr>
        <w:t xml:space="preserve">KARIN E. and GORDON, R. 2013. The choice of organizational form by closely-held firms in Sweden: tax versus non-tax determinants. </w:t>
      </w:r>
      <w:r w:rsidRPr="009B6969">
        <w:rPr>
          <w:i/>
          <w:iCs/>
          <w:color w:val="000000"/>
          <w:shd w:val="clear" w:color="auto" w:fill="FFFFFF"/>
        </w:rPr>
        <w:t>Oxford journals</w:t>
      </w:r>
      <w:r w:rsidRPr="009B6969">
        <w:rPr>
          <w:color w:val="000000"/>
          <w:shd w:val="clear" w:color="auto" w:fill="FFFFFF"/>
        </w:rPr>
        <w:t>. [</w:t>
      </w:r>
      <w:proofErr w:type="gramStart"/>
      <w:r w:rsidRPr="009B6969">
        <w:rPr>
          <w:color w:val="000000"/>
          <w:shd w:val="clear" w:color="auto" w:fill="FFFFFF"/>
        </w:rPr>
        <w:t>online</w:t>
      </w:r>
      <w:proofErr w:type="gramEnd"/>
      <w:r w:rsidRPr="009B6969">
        <w:rPr>
          <w:color w:val="000000"/>
          <w:shd w:val="clear" w:color="auto" w:fill="FFFFFF"/>
        </w:rPr>
        <w:t>] Available at:</w:t>
      </w:r>
      <w:r w:rsidRPr="009B6969">
        <w:rPr>
          <w:rStyle w:val="apple-converted-space"/>
          <w:color w:val="000000"/>
          <w:shd w:val="clear" w:color="auto" w:fill="FFFFFF"/>
        </w:rPr>
        <w:t> </w:t>
      </w:r>
      <w:hyperlink r:id="rId17" w:history="1">
        <w:r w:rsidRPr="009B6969">
          <w:rPr>
            <w:rStyle w:val="Hypertextovodkaz"/>
            <w:color w:val="000000"/>
            <w:shd w:val="clear" w:color="auto" w:fill="FFFFFF"/>
          </w:rPr>
          <w:t>http://icc.oxfordjournals.org/content/22/1/219.full</w:t>
        </w:r>
      </w:hyperlink>
      <w:r w:rsidRPr="009B6969">
        <w:rPr>
          <w:rStyle w:val="Hypertextovodkaz"/>
          <w:color w:val="000000"/>
          <w:shd w:val="clear" w:color="auto" w:fill="FFFFFF"/>
        </w:rPr>
        <w:t xml:space="preserve"> </w:t>
      </w:r>
      <w:r>
        <w:rPr>
          <w:color w:val="000000"/>
          <w:shd w:val="clear" w:color="auto" w:fill="FFFFFF"/>
        </w:rPr>
        <w:t>[Accessed: 2016-02-10</w:t>
      </w:r>
      <w:r w:rsidRPr="009B6969">
        <w:rPr>
          <w:color w:val="000000"/>
          <w:shd w:val="clear" w:color="auto" w:fill="FFFFFF"/>
        </w:rPr>
        <w:t>].</w:t>
      </w:r>
    </w:p>
    <w:p w:rsidR="0030249D" w:rsidRDefault="0030249D" w:rsidP="0030249D">
      <w:pPr>
        <w:spacing w:line="276" w:lineRule="auto"/>
      </w:pPr>
      <w:bookmarkStart w:id="3" w:name="_Ref390624222"/>
      <w:r w:rsidRPr="009B6969">
        <w:t xml:space="preserve">LUNA, L. and MURRAY, M. 2008. Effect of state tax structure on </w:t>
      </w:r>
      <w:proofErr w:type="spellStart"/>
      <w:r w:rsidRPr="009B6969">
        <w:t>bussiness</w:t>
      </w:r>
      <w:proofErr w:type="spellEnd"/>
      <w:r w:rsidRPr="009B6969">
        <w:t xml:space="preserve"> organizational form. </w:t>
      </w:r>
      <w:r w:rsidRPr="009B6969">
        <w:rPr>
          <w:i/>
          <w:iCs/>
        </w:rPr>
        <w:t>University of Tennessee</w:t>
      </w:r>
      <w:r w:rsidRPr="009B6969">
        <w:t xml:space="preserve"> [online]. Available at: </w:t>
      </w:r>
      <w:hyperlink r:id="rId18" w:history="1">
        <w:r w:rsidRPr="009B6969">
          <w:rPr>
            <w:rStyle w:val="Hypertextovodkaz"/>
          </w:rPr>
          <w:t>http://cber.bus.utk.edu/confpapers/LunaMurray.pdf</w:t>
        </w:r>
      </w:hyperlink>
      <w:bookmarkEnd w:id="3"/>
      <w:r w:rsidRPr="009B6969">
        <w:rPr>
          <w:rStyle w:val="Hypertextovodkaz"/>
        </w:rPr>
        <w:t xml:space="preserve"> </w:t>
      </w:r>
      <w:r>
        <w:t>[Accessed: 2016-02</w:t>
      </w:r>
      <w:r w:rsidRPr="009B6969">
        <w:t>-14]</w:t>
      </w:r>
    </w:p>
    <w:p w:rsidR="00FD7766" w:rsidRPr="00FD7766" w:rsidRDefault="00FD7766" w:rsidP="0030249D">
      <w:pPr>
        <w:spacing w:line="276" w:lineRule="auto"/>
        <w:rPr>
          <w:lang w:val="cs-CZ"/>
        </w:rPr>
      </w:pPr>
      <w:r>
        <w:t xml:space="preserve">MINISTERTVO FINANCÍ. 2016. </w:t>
      </w:r>
      <w:proofErr w:type="spellStart"/>
      <w:r>
        <w:rPr>
          <w:i/>
        </w:rPr>
        <w:t>Makroekonomická</w:t>
      </w:r>
      <w:proofErr w:type="spellEnd"/>
      <w:r>
        <w:rPr>
          <w:i/>
        </w:rPr>
        <w:t xml:space="preserve"> </w:t>
      </w:r>
      <w:proofErr w:type="spellStart"/>
      <w:r>
        <w:rPr>
          <w:i/>
        </w:rPr>
        <w:t>predikce</w:t>
      </w:r>
      <w:proofErr w:type="spellEnd"/>
      <w:r>
        <w:rPr>
          <w:i/>
        </w:rPr>
        <w:t xml:space="preserve">. </w:t>
      </w:r>
      <w:r>
        <w:t>[</w:t>
      </w:r>
      <w:proofErr w:type="gramStart"/>
      <w:r>
        <w:rPr>
          <w:lang w:val="cs-CZ"/>
        </w:rPr>
        <w:t>online</w:t>
      </w:r>
      <w:proofErr w:type="gramEnd"/>
      <w:r>
        <w:t>]</w:t>
      </w:r>
      <w:r>
        <w:rPr>
          <w:lang w:val="cs-CZ"/>
        </w:rPr>
        <w:t xml:space="preserve">. </w:t>
      </w:r>
      <w:proofErr w:type="spellStart"/>
      <w:r>
        <w:rPr>
          <w:lang w:val="cs-CZ"/>
        </w:rPr>
        <w:t>Available</w:t>
      </w:r>
      <w:proofErr w:type="spellEnd"/>
      <w:r>
        <w:rPr>
          <w:lang w:val="cs-CZ"/>
        </w:rPr>
        <w:t xml:space="preserve"> </w:t>
      </w:r>
      <w:proofErr w:type="spellStart"/>
      <w:r>
        <w:rPr>
          <w:lang w:val="cs-CZ"/>
        </w:rPr>
        <w:t>at</w:t>
      </w:r>
      <w:proofErr w:type="spellEnd"/>
      <w:r>
        <w:rPr>
          <w:lang w:val="cs-CZ"/>
        </w:rPr>
        <w:t xml:space="preserve">: </w:t>
      </w:r>
      <w:hyperlink r:id="rId19" w:history="1">
        <w:r w:rsidRPr="000339C3">
          <w:rPr>
            <w:rStyle w:val="Hypertextovodkaz"/>
            <w:lang w:val="cs-CZ"/>
          </w:rPr>
          <w:t>http://www.mfcr.cz/cs/verejny-sektor/makroekonomika/makroekonomicka-predikce</w:t>
        </w:r>
      </w:hyperlink>
      <w:r>
        <w:rPr>
          <w:lang w:val="cs-CZ"/>
        </w:rPr>
        <w:t xml:space="preserve"> </w:t>
      </w:r>
      <w:r>
        <w:t>[Accessed</w:t>
      </w:r>
      <w:r>
        <w:rPr>
          <w:lang w:val="cs-CZ"/>
        </w:rPr>
        <w:t>:</w:t>
      </w:r>
      <w:r>
        <w:t>2016-01-16]</w:t>
      </w:r>
      <w:r>
        <w:rPr>
          <w:lang w:val="cs-CZ"/>
        </w:rPr>
        <w:t>.</w:t>
      </w:r>
    </w:p>
    <w:p w:rsidR="0030249D" w:rsidRDefault="0030249D" w:rsidP="00B77C83"/>
    <w:p w:rsidR="0030249D" w:rsidRDefault="0030249D" w:rsidP="00B77C83"/>
    <w:p w:rsidR="0030249D" w:rsidRPr="0052403C" w:rsidRDefault="0030249D" w:rsidP="00B77C83"/>
    <w:sectPr w:rsidR="0030249D" w:rsidRPr="0052403C" w:rsidSect="003309EA">
      <w:headerReference w:type="even" r:id="rId20"/>
      <w:headerReference w:type="default" r:id="rId21"/>
      <w:footerReference w:type="even" r:id="rId22"/>
      <w:footerReference w:type="default" r:id="rId23"/>
      <w:headerReference w:type="first" r:id="rId24"/>
      <w:footerReference w:type="first" r:id="rId2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42D4" w:rsidRDefault="008D42D4">
      <w:r>
        <w:separator/>
      </w:r>
    </w:p>
  </w:endnote>
  <w:endnote w:type="continuationSeparator" w:id="0">
    <w:p w:rsidR="008D42D4" w:rsidRDefault="008D42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EE"/>
    <w:family w:val="roman"/>
    <w:pitch w:val="variable"/>
    <w:sig w:usb0="E00002FF" w:usb1="42002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7D23" w:rsidRDefault="00557D23">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7D23" w:rsidRDefault="00557D23">
    <w:pPr>
      <w:pStyle w:val="Zp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7D23" w:rsidRDefault="00557D23">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42D4" w:rsidRDefault="008D42D4">
      <w:r>
        <w:separator/>
      </w:r>
    </w:p>
  </w:footnote>
  <w:footnote w:type="continuationSeparator" w:id="0">
    <w:p w:rsidR="008D42D4" w:rsidRDefault="008D42D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7D23" w:rsidRDefault="00557D23">
    <w:pPr>
      <w:pStyle w:val="Zhlav"/>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7D23" w:rsidRDefault="00557D23">
    <w:pPr>
      <w:pStyle w:val="Zhlav"/>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7D23" w:rsidRDefault="00557D23">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9252CC54"/>
    <w:lvl w:ilvl="0">
      <w:start w:val="1"/>
      <w:numFmt w:val="decimal"/>
      <w:lvlText w:val="%1."/>
      <w:lvlJc w:val="left"/>
      <w:pPr>
        <w:tabs>
          <w:tab w:val="num" w:pos="1492"/>
        </w:tabs>
        <w:ind w:left="1492" w:hanging="360"/>
      </w:pPr>
    </w:lvl>
  </w:abstractNum>
  <w:abstractNum w:abstractNumId="1">
    <w:nsid w:val="FFFFFF7D"/>
    <w:multiLevelType w:val="singleLevel"/>
    <w:tmpl w:val="A3126D02"/>
    <w:lvl w:ilvl="0">
      <w:start w:val="1"/>
      <w:numFmt w:val="decimal"/>
      <w:lvlText w:val="%1."/>
      <w:lvlJc w:val="left"/>
      <w:pPr>
        <w:tabs>
          <w:tab w:val="num" w:pos="1209"/>
        </w:tabs>
        <w:ind w:left="1209" w:hanging="360"/>
      </w:pPr>
    </w:lvl>
  </w:abstractNum>
  <w:abstractNum w:abstractNumId="2">
    <w:nsid w:val="FFFFFF7E"/>
    <w:multiLevelType w:val="singleLevel"/>
    <w:tmpl w:val="CD667D0A"/>
    <w:lvl w:ilvl="0">
      <w:start w:val="1"/>
      <w:numFmt w:val="decimal"/>
      <w:lvlText w:val="%1."/>
      <w:lvlJc w:val="left"/>
      <w:pPr>
        <w:tabs>
          <w:tab w:val="num" w:pos="926"/>
        </w:tabs>
        <w:ind w:left="926" w:hanging="360"/>
      </w:pPr>
    </w:lvl>
  </w:abstractNum>
  <w:abstractNum w:abstractNumId="3">
    <w:nsid w:val="FFFFFF7F"/>
    <w:multiLevelType w:val="singleLevel"/>
    <w:tmpl w:val="65B8DE90"/>
    <w:lvl w:ilvl="0">
      <w:start w:val="1"/>
      <w:numFmt w:val="decimal"/>
      <w:lvlText w:val="%1."/>
      <w:lvlJc w:val="left"/>
      <w:pPr>
        <w:tabs>
          <w:tab w:val="num" w:pos="643"/>
        </w:tabs>
        <w:ind w:left="643" w:hanging="360"/>
      </w:pPr>
    </w:lvl>
  </w:abstractNum>
  <w:abstractNum w:abstractNumId="4">
    <w:nsid w:val="FFFFFF80"/>
    <w:multiLevelType w:val="singleLevel"/>
    <w:tmpl w:val="99C20CC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6E06778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3C20197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F1E6CC96"/>
    <w:lvl w:ilvl="0">
      <w:start w:val="1"/>
      <w:numFmt w:val="bullet"/>
      <w:lvlText w:val=""/>
      <w:lvlJc w:val="left"/>
      <w:pPr>
        <w:tabs>
          <w:tab w:val="num" w:pos="643"/>
        </w:tabs>
        <w:ind w:left="643" w:hanging="360"/>
      </w:pPr>
      <w:rPr>
        <w:rFonts w:ascii="Symbol" w:hAnsi="Symbol" w:hint="default"/>
      </w:rPr>
    </w:lvl>
  </w:abstractNum>
  <w:abstractNum w:abstractNumId="8">
    <w:nsid w:val="FFFFFF89"/>
    <w:multiLevelType w:val="singleLevel"/>
    <w:tmpl w:val="06DC6DE2"/>
    <w:lvl w:ilvl="0">
      <w:start w:val="1"/>
      <w:numFmt w:val="bullet"/>
      <w:pStyle w:val="Seznamsodrkami"/>
      <w:lvlText w:val=""/>
      <w:lvlJc w:val="left"/>
      <w:pPr>
        <w:tabs>
          <w:tab w:val="num" w:pos="300"/>
        </w:tabs>
        <w:ind w:left="300" w:hanging="300"/>
      </w:pPr>
      <w:rPr>
        <w:rFonts w:ascii="Symbol" w:hAnsi="Symbol" w:hint="default"/>
      </w:rPr>
    </w:lvl>
  </w:abstractNum>
  <w:abstractNum w:abstractNumId="9">
    <w:nsid w:val="01AC57D3"/>
    <w:multiLevelType w:val="hybridMultilevel"/>
    <w:tmpl w:val="24F64D0A"/>
    <w:lvl w:ilvl="0" w:tplc="04050001">
      <w:start w:val="1"/>
      <w:numFmt w:val="bullet"/>
      <w:lvlText w:val=""/>
      <w:lvlJc w:val="left"/>
      <w:pPr>
        <w:ind w:left="1020" w:hanging="360"/>
      </w:pPr>
      <w:rPr>
        <w:rFonts w:ascii="Symbol" w:hAnsi="Symbol" w:hint="default"/>
      </w:rPr>
    </w:lvl>
    <w:lvl w:ilvl="1" w:tplc="04050003" w:tentative="1">
      <w:start w:val="1"/>
      <w:numFmt w:val="bullet"/>
      <w:lvlText w:val="o"/>
      <w:lvlJc w:val="left"/>
      <w:pPr>
        <w:ind w:left="1740" w:hanging="360"/>
      </w:pPr>
      <w:rPr>
        <w:rFonts w:ascii="Courier New" w:hAnsi="Courier New" w:cs="Courier New" w:hint="default"/>
      </w:rPr>
    </w:lvl>
    <w:lvl w:ilvl="2" w:tplc="04050005" w:tentative="1">
      <w:start w:val="1"/>
      <w:numFmt w:val="bullet"/>
      <w:lvlText w:val=""/>
      <w:lvlJc w:val="left"/>
      <w:pPr>
        <w:ind w:left="2460" w:hanging="360"/>
      </w:pPr>
      <w:rPr>
        <w:rFonts w:ascii="Wingdings" w:hAnsi="Wingdings" w:hint="default"/>
      </w:rPr>
    </w:lvl>
    <w:lvl w:ilvl="3" w:tplc="04050001" w:tentative="1">
      <w:start w:val="1"/>
      <w:numFmt w:val="bullet"/>
      <w:lvlText w:val=""/>
      <w:lvlJc w:val="left"/>
      <w:pPr>
        <w:ind w:left="3180" w:hanging="360"/>
      </w:pPr>
      <w:rPr>
        <w:rFonts w:ascii="Symbol" w:hAnsi="Symbol" w:hint="default"/>
      </w:rPr>
    </w:lvl>
    <w:lvl w:ilvl="4" w:tplc="04050003" w:tentative="1">
      <w:start w:val="1"/>
      <w:numFmt w:val="bullet"/>
      <w:lvlText w:val="o"/>
      <w:lvlJc w:val="left"/>
      <w:pPr>
        <w:ind w:left="3900" w:hanging="360"/>
      </w:pPr>
      <w:rPr>
        <w:rFonts w:ascii="Courier New" w:hAnsi="Courier New" w:cs="Courier New" w:hint="default"/>
      </w:rPr>
    </w:lvl>
    <w:lvl w:ilvl="5" w:tplc="04050005" w:tentative="1">
      <w:start w:val="1"/>
      <w:numFmt w:val="bullet"/>
      <w:lvlText w:val=""/>
      <w:lvlJc w:val="left"/>
      <w:pPr>
        <w:ind w:left="4620" w:hanging="360"/>
      </w:pPr>
      <w:rPr>
        <w:rFonts w:ascii="Wingdings" w:hAnsi="Wingdings" w:hint="default"/>
      </w:rPr>
    </w:lvl>
    <w:lvl w:ilvl="6" w:tplc="04050001" w:tentative="1">
      <w:start w:val="1"/>
      <w:numFmt w:val="bullet"/>
      <w:lvlText w:val=""/>
      <w:lvlJc w:val="left"/>
      <w:pPr>
        <w:ind w:left="5340" w:hanging="360"/>
      </w:pPr>
      <w:rPr>
        <w:rFonts w:ascii="Symbol" w:hAnsi="Symbol" w:hint="default"/>
      </w:rPr>
    </w:lvl>
    <w:lvl w:ilvl="7" w:tplc="04050003" w:tentative="1">
      <w:start w:val="1"/>
      <w:numFmt w:val="bullet"/>
      <w:lvlText w:val="o"/>
      <w:lvlJc w:val="left"/>
      <w:pPr>
        <w:ind w:left="6060" w:hanging="360"/>
      </w:pPr>
      <w:rPr>
        <w:rFonts w:ascii="Courier New" w:hAnsi="Courier New" w:cs="Courier New" w:hint="default"/>
      </w:rPr>
    </w:lvl>
    <w:lvl w:ilvl="8" w:tplc="04050005" w:tentative="1">
      <w:start w:val="1"/>
      <w:numFmt w:val="bullet"/>
      <w:lvlText w:val=""/>
      <w:lvlJc w:val="left"/>
      <w:pPr>
        <w:ind w:left="6780" w:hanging="360"/>
      </w:pPr>
      <w:rPr>
        <w:rFonts w:ascii="Wingdings" w:hAnsi="Wingdings" w:hint="default"/>
      </w:rPr>
    </w:lvl>
  </w:abstractNum>
  <w:abstractNum w:abstractNumId="10">
    <w:nsid w:val="05966DAE"/>
    <w:multiLevelType w:val="multilevel"/>
    <w:tmpl w:val="0B8E86F6"/>
    <w:lvl w:ilvl="0">
      <w:start w:val="1"/>
      <w:numFmt w:val="decimal"/>
      <w:lvlText w:val="%1."/>
      <w:lvlJc w:val="left"/>
      <w:pPr>
        <w:tabs>
          <w:tab w:val="num" w:pos="300"/>
        </w:tabs>
        <w:ind w:left="300" w:hanging="30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
    <w:nsid w:val="0CAE1B73"/>
    <w:multiLevelType w:val="hybridMultilevel"/>
    <w:tmpl w:val="0D04B6CC"/>
    <w:lvl w:ilvl="0" w:tplc="0405000F">
      <w:start w:val="1"/>
      <w:numFmt w:val="decimal"/>
      <w:lvlText w:val="%1."/>
      <w:lvlJc w:val="left"/>
      <w:pPr>
        <w:ind w:left="947" w:hanging="360"/>
      </w:pPr>
    </w:lvl>
    <w:lvl w:ilvl="1" w:tplc="04050019" w:tentative="1">
      <w:start w:val="1"/>
      <w:numFmt w:val="lowerLetter"/>
      <w:lvlText w:val="%2."/>
      <w:lvlJc w:val="left"/>
      <w:pPr>
        <w:ind w:left="1667" w:hanging="360"/>
      </w:pPr>
    </w:lvl>
    <w:lvl w:ilvl="2" w:tplc="0405001B" w:tentative="1">
      <w:start w:val="1"/>
      <w:numFmt w:val="lowerRoman"/>
      <w:lvlText w:val="%3."/>
      <w:lvlJc w:val="right"/>
      <w:pPr>
        <w:ind w:left="2387" w:hanging="180"/>
      </w:pPr>
    </w:lvl>
    <w:lvl w:ilvl="3" w:tplc="0405000F" w:tentative="1">
      <w:start w:val="1"/>
      <w:numFmt w:val="decimal"/>
      <w:lvlText w:val="%4."/>
      <w:lvlJc w:val="left"/>
      <w:pPr>
        <w:ind w:left="3107" w:hanging="360"/>
      </w:pPr>
    </w:lvl>
    <w:lvl w:ilvl="4" w:tplc="04050019" w:tentative="1">
      <w:start w:val="1"/>
      <w:numFmt w:val="lowerLetter"/>
      <w:lvlText w:val="%5."/>
      <w:lvlJc w:val="left"/>
      <w:pPr>
        <w:ind w:left="3827" w:hanging="360"/>
      </w:pPr>
    </w:lvl>
    <w:lvl w:ilvl="5" w:tplc="0405001B" w:tentative="1">
      <w:start w:val="1"/>
      <w:numFmt w:val="lowerRoman"/>
      <w:lvlText w:val="%6."/>
      <w:lvlJc w:val="right"/>
      <w:pPr>
        <w:ind w:left="4547" w:hanging="180"/>
      </w:pPr>
    </w:lvl>
    <w:lvl w:ilvl="6" w:tplc="0405000F" w:tentative="1">
      <w:start w:val="1"/>
      <w:numFmt w:val="decimal"/>
      <w:lvlText w:val="%7."/>
      <w:lvlJc w:val="left"/>
      <w:pPr>
        <w:ind w:left="5267" w:hanging="360"/>
      </w:pPr>
    </w:lvl>
    <w:lvl w:ilvl="7" w:tplc="04050019" w:tentative="1">
      <w:start w:val="1"/>
      <w:numFmt w:val="lowerLetter"/>
      <w:lvlText w:val="%8."/>
      <w:lvlJc w:val="left"/>
      <w:pPr>
        <w:ind w:left="5987" w:hanging="360"/>
      </w:pPr>
    </w:lvl>
    <w:lvl w:ilvl="8" w:tplc="0405001B" w:tentative="1">
      <w:start w:val="1"/>
      <w:numFmt w:val="lowerRoman"/>
      <w:lvlText w:val="%9."/>
      <w:lvlJc w:val="right"/>
      <w:pPr>
        <w:ind w:left="6707" w:hanging="180"/>
      </w:pPr>
    </w:lvl>
  </w:abstractNum>
  <w:abstractNum w:abstractNumId="12">
    <w:nsid w:val="0D4C5F6D"/>
    <w:multiLevelType w:val="multilevel"/>
    <w:tmpl w:val="0405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nsid w:val="13140B44"/>
    <w:multiLevelType w:val="hybridMultilevel"/>
    <w:tmpl w:val="D44C214C"/>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nsid w:val="194D4D8E"/>
    <w:multiLevelType w:val="multilevel"/>
    <w:tmpl w:val="0C30CF10"/>
    <w:styleLink w:val="HeadingNumbers"/>
    <w:lvl w:ilvl="0">
      <w:start w:val="1"/>
      <w:numFmt w:val="decimal"/>
      <w:pStyle w:val="Nadpis1"/>
      <w:lvlText w:val="%1"/>
      <w:lvlJc w:val="left"/>
      <w:pPr>
        <w:tabs>
          <w:tab w:val="num" w:pos="432"/>
        </w:tabs>
        <w:ind w:left="432" w:hanging="432"/>
      </w:pPr>
      <w:rPr>
        <w:rFonts w:hint="default"/>
      </w:rPr>
    </w:lvl>
    <w:lvl w:ilvl="1">
      <w:start w:val="1"/>
      <w:numFmt w:val="decimal"/>
      <w:pStyle w:val="Nadpis2"/>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nsid w:val="20D67851"/>
    <w:multiLevelType w:val="multilevel"/>
    <w:tmpl w:val="E7927D4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3007424C"/>
    <w:multiLevelType w:val="hybridMultilevel"/>
    <w:tmpl w:val="4642E7AE"/>
    <w:lvl w:ilvl="0" w:tplc="5052C266">
      <w:start w:val="1"/>
      <w:numFmt w:val="decimal"/>
      <w:pStyle w:val="Seznamcitac"/>
      <w:lvlText w:val="[%1]"/>
      <w:lvlJc w:val="left"/>
      <w:pPr>
        <w:tabs>
          <w:tab w:val="num" w:pos="397"/>
        </w:tabs>
        <w:ind w:left="397" w:hanging="39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30F7581"/>
    <w:multiLevelType w:val="multilevel"/>
    <w:tmpl w:val="E7927D4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5E0653A6"/>
    <w:multiLevelType w:val="multilevel"/>
    <w:tmpl w:val="0405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5040"/>
        </w:tabs>
        <w:ind w:left="3744" w:hanging="1224"/>
      </w:pPr>
    </w:lvl>
    <w:lvl w:ilvl="8">
      <w:start w:val="1"/>
      <w:numFmt w:val="decimal"/>
      <w:lvlText w:val="%1.%2.%3.%4.%5.%6.%7.%8.%9."/>
      <w:lvlJc w:val="left"/>
      <w:pPr>
        <w:tabs>
          <w:tab w:val="num" w:pos="5400"/>
        </w:tabs>
        <w:ind w:left="4320" w:hanging="1440"/>
      </w:pPr>
    </w:lvl>
  </w:abstractNum>
  <w:abstractNum w:abstractNumId="19">
    <w:nsid w:val="5EC87015"/>
    <w:multiLevelType w:val="multilevel"/>
    <w:tmpl w:val="E7927D4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67FC7782"/>
    <w:multiLevelType w:val="multilevel"/>
    <w:tmpl w:val="F77E57D2"/>
    <w:lvl w:ilvl="0">
      <w:start w:val="1"/>
      <w:numFmt w:val="decimal"/>
      <w:pStyle w:val="slovanseznam"/>
      <w:lvlText w:val="%1."/>
      <w:lvlJc w:val="left"/>
      <w:pPr>
        <w:tabs>
          <w:tab w:val="num" w:pos="300"/>
        </w:tabs>
        <w:ind w:left="300" w:hanging="300"/>
      </w:pPr>
      <w:rPr>
        <w:rFonts w:hint="default"/>
      </w:rPr>
    </w:lvl>
    <w:lvl w:ilvl="1">
      <w:start w:val="1"/>
      <w:numFmt w:val="lowerLetter"/>
      <w:lvlText w:val="%2)"/>
      <w:lvlJc w:val="left"/>
      <w:pPr>
        <w:tabs>
          <w:tab w:val="num" w:pos="607"/>
        </w:tabs>
        <w:ind w:left="607" w:hanging="596"/>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1">
    <w:nsid w:val="76572D06"/>
    <w:multiLevelType w:val="multilevel"/>
    <w:tmpl w:val="47B8AB58"/>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num w:numId="1">
    <w:abstractNumId w:val="20"/>
  </w:num>
  <w:num w:numId="2">
    <w:abstractNumId w:val="3"/>
  </w:num>
  <w:num w:numId="3">
    <w:abstractNumId w:val="2"/>
  </w:num>
  <w:num w:numId="4">
    <w:abstractNumId w:val="1"/>
  </w:num>
  <w:num w:numId="5">
    <w:abstractNumId w:val="0"/>
  </w:num>
  <w:num w:numId="6">
    <w:abstractNumId w:val="8"/>
  </w:num>
  <w:num w:numId="7">
    <w:abstractNumId w:val="7"/>
  </w:num>
  <w:num w:numId="8">
    <w:abstractNumId w:val="6"/>
  </w:num>
  <w:num w:numId="9">
    <w:abstractNumId w:val="5"/>
  </w:num>
  <w:num w:numId="10">
    <w:abstractNumId w:val="4"/>
  </w:num>
  <w:num w:numId="11">
    <w:abstractNumId w:val="18"/>
  </w:num>
  <w:num w:numId="12">
    <w:abstractNumId w:val="15"/>
  </w:num>
  <w:num w:numId="13">
    <w:abstractNumId w:val="17"/>
  </w:num>
  <w:num w:numId="14">
    <w:abstractNumId w:val="19"/>
  </w:num>
  <w:num w:numId="15">
    <w:abstractNumId w:val="14"/>
  </w:num>
  <w:num w:numId="16">
    <w:abstractNumId w:val="12"/>
  </w:num>
  <w:num w:numId="17">
    <w:abstractNumId w:val="16"/>
  </w:num>
  <w:num w:numId="18">
    <w:abstractNumId w:val="21"/>
  </w:num>
  <w:num w:numId="19">
    <w:abstractNumId w:val="10"/>
  </w:num>
  <w:num w:numId="20">
    <w:abstractNumId w:val="11"/>
  </w:num>
  <w:num w:numId="21">
    <w:abstractNumId w:val="13"/>
  </w:num>
  <w:num w:numId="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8"/>
  <w:autoHyphenation/>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087C"/>
    <w:rsid w:val="000307C0"/>
    <w:rsid w:val="000404D7"/>
    <w:rsid w:val="000653F8"/>
    <w:rsid w:val="00087EF8"/>
    <w:rsid w:val="00095525"/>
    <w:rsid w:val="000A5F6D"/>
    <w:rsid w:val="000B119D"/>
    <w:rsid w:val="000B5C60"/>
    <w:rsid w:val="000D273A"/>
    <w:rsid w:val="000D5D6A"/>
    <w:rsid w:val="000E38FA"/>
    <w:rsid w:val="000E6822"/>
    <w:rsid w:val="000F1406"/>
    <w:rsid w:val="00111355"/>
    <w:rsid w:val="00116452"/>
    <w:rsid w:val="00125467"/>
    <w:rsid w:val="001360B3"/>
    <w:rsid w:val="001408CF"/>
    <w:rsid w:val="00180BB1"/>
    <w:rsid w:val="001C5D70"/>
    <w:rsid w:val="001D0407"/>
    <w:rsid w:val="001F4355"/>
    <w:rsid w:val="002037A2"/>
    <w:rsid w:val="00216FD2"/>
    <w:rsid w:val="00234A48"/>
    <w:rsid w:val="00240E82"/>
    <w:rsid w:val="0024597A"/>
    <w:rsid w:val="00253848"/>
    <w:rsid w:val="0026423F"/>
    <w:rsid w:val="00270724"/>
    <w:rsid w:val="0029097E"/>
    <w:rsid w:val="00293247"/>
    <w:rsid w:val="00293AA4"/>
    <w:rsid w:val="002B6885"/>
    <w:rsid w:val="002B72C4"/>
    <w:rsid w:val="0030249D"/>
    <w:rsid w:val="003054EA"/>
    <w:rsid w:val="00314B79"/>
    <w:rsid w:val="003309EA"/>
    <w:rsid w:val="00332B1E"/>
    <w:rsid w:val="003330CA"/>
    <w:rsid w:val="00346DBB"/>
    <w:rsid w:val="0034726F"/>
    <w:rsid w:val="00356926"/>
    <w:rsid w:val="003606FC"/>
    <w:rsid w:val="003626B9"/>
    <w:rsid w:val="00363B76"/>
    <w:rsid w:val="00364EF1"/>
    <w:rsid w:val="00366D21"/>
    <w:rsid w:val="0037285A"/>
    <w:rsid w:val="003813A6"/>
    <w:rsid w:val="0038209D"/>
    <w:rsid w:val="00393141"/>
    <w:rsid w:val="003A26A7"/>
    <w:rsid w:val="003C7589"/>
    <w:rsid w:val="003C7A64"/>
    <w:rsid w:val="003D01DD"/>
    <w:rsid w:val="003D17BC"/>
    <w:rsid w:val="003E7D69"/>
    <w:rsid w:val="003F6626"/>
    <w:rsid w:val="004021BF"/>
    <w:rsid w:val="00405E47"/>
    <w:rsid w:val="0042429D"/>
    <w:rsid w:val="00431703"/>
    <w:rsid w:val="00440BC3"/>
    <w:rsid w:val="004535BD"/>
    <w:rsid w:val="00457E57"/>
    <w:rsid w:val="00462C66"/>
    <w:rsid w:val="0047274B"/>
    <w:rsid w:val="0048000F"/>
    <w:rsid w:val="0048228D"/>
    <w:rsid w:val="00493190"/>
    <w:rsid w:val="004A133D"/>
    <w:rsid w:val="004B16DC"/>
    <w:rsid w:val="004B3854"/>
    <w:rsid w:val="004B4580"/>
    <w:rsid w:val="004C197D"/>
    <w:rsid w:val="004C3B17"/>
    <w:rsid w:val="004C6C73"/>
    <w:rsid w:val="004D0896"/>
    <w:rsid w:val="004E2F6C"/>
    <w:rsid w:val="004F4ABA"/>
    <w:rsid w:val="00501F75"/>
    <w:rsid w:val="00503D14"/>
    <w:rsid w:val="00504F35"/>
    <w:rsid w:val="00504FA0"/>
    <w:rsid w:val="00517A0B"/>
    <w:rsid w:val="00520847"/>
    <w:rsid w:val="0052403C"/>
    <w:rsid w:val="005247D2"/>
    <w:rsid w:val="00525EEA"/>
    <w:rsid w:val="00541430"/>
    <w:rsid w:val="0054195D"/>
    <w:rsid w:val="0055515D"/>
    <w:rsid w:val="00557D23"/>
    <w:rsid w:val="005618C6"/>
    <w:rsid w:val="00582BAE"/>
    <w:rsid w:val="00591685"/>
    <w:rsid w:val="005A428E"/>
    <w:rsid w:val="005C66F6"/>
    <w:rsid w:val="005D5BD7"/>
    <w:rsid w:val="005D5E41"/>
    <w:rsid w:val="005E10DC"/>
    <w:rsid w:val="005E139A"/>
    <w:rsid w:val="005E1BA2"/>
    <w:rsid w:val="005E1F51"/>
    <w:rsid w:val="005E5D63"/>
    <w:rsid w:val="005F619F"/>
    <w:rsid w:val="005F77FA"/>
    <w:rsid w:val="00600F64"/>
    <w:rsid w:val="00602D26"/>
    <w:rsid w:val="006034E5"/>
    <w:rsid w:val="00603813"/>
    <w:rsid w:val="006044EC"/>
    <w:rsid w:val="00615BFE"/>
    <w:rsid w:val="00631C9B"/>
    <w:rsid w:val="00634BB5"/>
    <w:rsid w:val="00643584"/>
    <w:rsid w:val="006763D7"/>
    <w:rsid w:val="00677B53"/>
    <w:rsid w:val="00697C84"/>
    <w:rsid w:val="006B7B02"/>
    <w:rsid w:val="006C26FD"/>
    <w:rsid w:val="006D67D4"/>
    <w:rsid w:val="006E6750"/>
    <w:rsid w:val="00701CE5"/>
    <w:rsid w:val="00724CCD"/>
    <w:rsid w:val="00725E7D"/>
    <w:rsid w:val="00730E93"/>
    <w:rsid w:val="00733526"/>
    <w:rsid w:val="00735548"/>
    <w:rsid w:val="00740B92"/>
    <w:rsid w:val="007545FF"/>
    <w:rsid w:val="00760D60"/>
    <w:rsid w:val="00772B83"/>
    <w:rsid w:val="00775769"/>
    <w:rsid w:val="00780B2A"/>
    <w:rsid w:val="00791CE2"/>
    <w:rsid w:val="00792687"/>
    <w:rsid w:val="007929A1"/>
    <w:rsid w:val="007A708D"/>
    <w:rsid w:val="007B15F7"/>
    <w:rsid w:val="007B2987"/>
    <w:rsid w:val="007C28F4"/>
    <w:rsid w:val="007D2796"/>
    <w:rsid w:val="007E1B59"/>
    <w:rsid w:val="007F5131"/>
    <w:rsid w:val="008045BB"/>
    <w:rsid w:val="00806666"/>
    <w:rsid w:val="00824C48"/>
    <w:rsid w:val="00824FBA"/>
    <w:rsid w:val="00830370"/>
    <w:rsid w:val="00830408"/>
    <w:rsid w:val="00844CA5"/>
    <w:rsid w:val="008551EF"/>
    <w:rsid w:val="008736E5"/>
    <w:rsid w:val="00874E65"/>
    <w:rsid w:val="008A4660"/>
    <w:rsid w:val="008B562A"/>
    <w:rsid w:val="008C7F20"/>
    <w:rsid w:val="008D087C"/>
    <w:rsid w:val="008D42D4"/>
    <w:rsid w:val="008D47EE"/>
    <w:rsid w:val="008D70B3"/>
    <w:rsid w:val="008E1DC8"/>
    <w:rsid w:val="009056E5"/>
    <w:rsid w:val="0093439A"/>
    <w:rsid w:val="00935FDF"/>
    <w:rsid w:val="009436BD"/>
    <w:rsid w:val="00944449"/>
    <w:rsid w:val="009444FB"/>
    <w:rsid w:val="00975E79"/>
    <w:rsid w:val="00977967"/>
    <w:rsid w:val="009C7F09"/>
    <w:rsid w:val="009E487F"/>
    <w:rsid w:val="00A0523D"/>
    <w:rsid w:val="00A133BF"/>
    <w:rsid w:val="00A16BBC"/>
    <w:rsid w:val="00A23055"/>
    <w:rsid w:val="00A275CD"/>
    <w:rsid w:val="00A310F8"/>
    <w:rsid w:val="00A3725F"/>
    <w:rsid w:val="00A72CD5"/>
    <w:rsid w:val="00A82A32"/>
    <w:rsid w:val="00AB1577"/>
    <w:rsid w:val="00AD7102"/>
    <w:rsid w:val="00AF6646"/>
    <w:rsid w:val="00B0029C"/>
    <w:rsid w:val="00B12E46"/>
    <w:rsid w:val="00B1602E"/>
    <w:rsid w:val="00B24D45"/>
    <w:rsid w:val="00B33CD0"/>
    <w:rsid w:val="00B526EA"/>
    <w:rsid w:val="00B607B6"/>
    <w:rsid w:val="00B65B6F"/>
    <w:rsid w:val="00B679B1"/>
    <w:rsid w:val="00B74D4F"/>
    <w:rsid w:val="00B77C83"/>
    <w:rsid w:val="00B96B1A"/>
    <w:rsid w:val="00BA3711"/>
    <w:rsid w:val="00BA57EF"/>
    <w:rsid w:val="00BB1490"/>
    <w:rsid w:val="00BE19EB"/>
    <w:rsid w:val="00BE38F4"/>
    <w:rsid w:val="00BE4FA7"/>
    <w:rsid w:val="00C15735"/>
    <w:rsid w:val="00C173CF"/>
    <w:rsid w:val="00C20012"/>
    <w:rsid w:val="00C33093"/>
    <w:rsid w:val="00C415E8"/>
    <w:rsid w:val="00C54E7E"/>
    <w:rsid w:val="00C56F44"/>
    <w:rsid w:val="00C610E1"/>
    <w:rsid w:val="00C65AA8"/>
    <w:rsid w:val="00CB0B4F"/>
    <w:rsid w:val="00CC7F73"/>
    <w:rsid w:val="00CD3552"/>
    <w:rsid w:val="00CE5B5A"/>
    <w:rsid w:val="00CF05DA"/>
    <w:rsid w:val="00CF0BF5"/>
    <w:rsid w:val="00CF49BF"/>
    <w:rsid w:val="00D05012"/>
    <w:rsid w:val="00D378B0"/>
    <w:rsid w:val="00D5321A"/>
    <w:rsid w:val="00D764EE"/>
    <w:rsid w:val="00D83310"/>
    <w:rsid w:val="00D83E7F"/>
    <w:rsid w:val="00D943C3"/>
    <w:rsid w:val="00D97CDC"/>
    <w:rsid w:val="00DA3586"/>
    <w:rsid w:val="00DA6561"/>
    <w:rsid w:val="00DB30DF"/>
    <w:rsid w:val="00E01DCB"/>
    <w:rsid w:val="00E06517"/>
    <w:rsid w:val="00E165C1"/>
    <w:rsid w:val="00E239E9"/>
    <w:rsid w:val="00E24346"/>
    <w:rsid w:val="00E34BEB"/>
    <w:rsid w:val="00E40A02"/>
    <w:rsid w:val="00E52F74"/>
    <w:rsid w:val="00E65AA9"/>
    <w:rsid w:val="00E713FD"/>
    <w:rsid w:val="00E72198"/>
    <w:rsid w:val="00E770EC"/>
    <w:rsid w:val="00E774CB"/>
    <w:rsid w:val="00E83519"/>
    <w:rsid w:val="00E85D2A"/>
    <w:rsid w:val="00E8732E"/>
    <w:rsid w:val="00E925C2"/>
    <w:rsid w:val="00EB1B9F"/>
    <w:rsid w:val="00EB1BDE"/>
    <w:rsid w:val="00EB5C5F"/>
    <w:rsid w:val="00EC1B2D"/>
    <w:rsid w:val="00EC33BA"/>
    <w:rsid w:val="00ED6B20"/>
    <w:rsid w:val="00EE53A0"/>
    <w:rsid w:val="00EF1068"/>
    <w:rsid w:val="00F01FA0"/>
    <w:rsid w:val="00F05B6B"/>
    <w:rsid w:val="00F219A7"/>
    <w:rsid w:val="00F24DF8"/>
    <w:rsid w:val="00F36750"/>
    <w:rsid w:val="00F367EA"/>
    <w:rsid w:val="00F51987"/>
    <w:rsid w:val="00F54698"/>
    <w:rsid w:val="00F54A9E"/>
    <w:rsid w:val="00F65F6F"/>
    <w:rsid w:val="00F806FD"/>
    <w:rsid w:val="00F823D4"/>
    <w:rsid w:val="00F83350"/>
    <w:rsid w:val="00F90823"/>
    <w:rsid w:val="00F9412C"/>
    <w:rsid w:val="00F97505"/>
    <w:rsid w:val="00FB0831"/>
    <w:rsid w:val="00FB183F"/>
    <w:rsid w:val="00FB325D"/>
    <w:rsid w:val="00FC6522"/>
    <w:rsid w:val="00FD7766"/>
    <w:rsid w:val="00FE2F21"/>
    <w:rsid w:val="00FF75B3"/>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582BAE"/>
    <w:rPr>
      <w:szCs w:val="24"/>
      <w:lang w:val="en-US"/>
    </w:rPr>
  </w:style>
  <w:style w:type="paragraph" w:styleId="Nadpis1">
    <w:name w:val="heading 1"/>
    <w:basedOn w:val="Normln"/>
    <w:next w:val="Zkladntext"/>
    <w:qFormat/>
    <w:rsid w:val="00EB1BDE"/>
    <w:pPr>
      <w:keepNext/>
      <w:numPr>
        <w:numId w:val="15"/>
      </w:numPr>
      <w:spacing w:before="240" w:after="60"/>
      <w:outlineLvl w:val="0"/>
    </w:pPr>
    <w:rPr>
      <w:rFonts w:cs="Arial"/>
      <w:b/>
      <w:bCs/>
      <w:kern w:val="32"/>
      <w:sz w:val="28"/>
      <w:szCs w:val="32"/>
    </w:rPr>
  </w:style>
  <w:style w:type="paragraph" w:styleId="Nadpis2">
    <w:name w:val="heading 2"/>
    <w:basedOn w:val="Normln"/>
    <w:next w:val="Zkladntext"/>
    <w:qFormat/>
    <w:rsid w:val="00EB1BDE"/>
    <w:pPr>
      <w:keepNext/>
      <w:numPr>
        <w:ilvl w:val="1"/>
        <w:numId w:val="15"/>
      </w:numPr>
      <w:spacing w:before="240" w:after="60"/>
      <w:outlineLvl w:val="1"/>
    </w:pPr>
    <w:rPr>
      <w:rFonts w:cs="Arial"/>
      <w:b/>
      <w:bCs/>
      <w:iCs/>
      <w:sz w:val="24"/>
      <w:szCs w:val="28"/>
    </w:rPr>
  </w:style>
  <w:style w:type="paragraph" w:styleId="Nadpis3">
    <w:name w:val="heading 3"/>
    <w:basedOn w:val="Normln"/>
    <w:next w:val="Zkladntext"/>
    <w:qFormat/>
    <w:rsid w:val="00EB1BDE"/>
    <w:pPr>
      <w:keepNext/>
      <w:spacing w:before="240" w:after="60"/>
      <w:outlineLvl w:val="2"/>
    </w:pPr>
    <w:rPr>
      <w:rFonts w:cs="Arial"/>
      <w:b/>
      <w:bCs/>
      <w:szCs w:val="26"/>
    </w:rPr>
  </w:style>
  <w:style w:type="paragraph" w:styleId="Nadpis6">
    <w:name w:val="heading 6"/>
    <w:basedOn w:val="Normln"/>
    <w:next w:val="Normln"/>
    <w:link w:val="Nadpis6Char"/>
    <w:semiHidden/>
    <w:unhideWhenUsed/>
    <w:qFormat/>
    <w:rsid w:val="005618C6"/>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zev">
    <w:name w:val="Title"/>
    <w:basedOn w:val="Normln"/>
    <w:next w:val="Author"/>
    <w:qFormat/>
    <w:rsid w:val="00E83519"/>
    <w:pPr>
      <w:spacing w:before="240" w:after="60"/>
      <w:jc w:val="center"/>
      <w:outlineLvl w:val="0"/>
    </w:pPr>
    <w:rPr>
      <w:rFonts w:cs="Arial"/>
      <w:b/>
      <w:bCs/>
      <w:kern w:val="28"/>
      <w:sz w:val="32"/>
      <w:szCs w:val="32"/>
    </w:rPr>
  </w:style>
  <w:style w:type="paragraph" w:customStyle="1" w:styleId="Author">
    <w:name w:val="Author"/>
    <w:basedOn w:val="Articlehead"/>
    <w:rsid w:val="00B74D4F"/>
    <w:pPr>
      <w:jc w:val="center"/>
    </w:pPr>
    <w:rPr>
      <w:sz w:val="24"/>
    </w:rPr>
  </w:style>
  <w:style w:type="paragraph" w:customStyle="1" w:styleId="Articlehead">
    <w:name w:val="Article head"/>
    <w:basedOn w:val="Normln"/>
    <w:rsid w:val="00D5321A"/>
    <w:pPr>
      <w:ind w:left="1134" w:right="1134"/>
      <w:jc w:val="both"/>
    </w:pPr>
  </w:style>
  <w:style w:type="character" w:customStyle="1" w:styleId="AbstractHeader">
    <w:name w:val="Abstract Header"/>
    <w:basedOn w:val="Standardnpsmoodstavce"/>
    <w:rsid w:val="00216FD2"/>
    <w:rPr>
      <w:b/>
    </w:rPr>
  </w:style>
  <w:style w:type="paragraph" w:customStyle="1" w:styleId="Abstract">
    <w:name w:val="Abstract"/>
    <w:basedOn w:val="Articlehead"/>
    <w:rsid w:val="00216FD2"/>
    <w:pPr>
      <w:spacing w:before="120"/>
      <w:contextualSpacing/>
    </w:pPr>
  </w:style>
  <w:style w:type="paragraph" w:customStyle="1" w:styleId="Keywords">
    <w:name w:val="Keywords"/>
    <w:basedOn w:val="Articlehead"/>
    <w:rsid w:val="00363B76"/>
    <w:pPr>
      <w:spacing w:before="120" w:after="120"/>
      <w:contextualSpacing/>
    </w:pPr>
  </w:style>
  <w:style w:type="character" w:customStyle="1" w:styleId="KeywordsHeader">
    <w:name w:val="Keywords Header"/>
    <w:basedOn w:val="Standardnpsmoodstavce"/>
    <w:rsid w:val="00E01DCB"/>
    <w:rPr>
      <w:b/>
    </w:rPr>
  </w:style>
  <w:style w:type="numbering" w:customStyle="1" w:styleId="HeadingNumbers">
    <w:name w:val="Heading Numbers"/>
    <w:basedOn w:val="Bezseznamu"/>
    <w:rsid w:val="005A428E"/>
    <w:pPr>
      <w:numPr>
        <w:numId w:val="15"/>
      </w:numPr>
    </w:pPr>
  </w:style>
  <w:style w:type="paragraph" w:styleId="Zkladntext">
    <w:name w:val="Body Text"/>
    <w:basedOn w:val="Normln"/>
    <w:next w:val="Zkladntext-prvnodsazen"/>
    <w:link w:val="ZkladntextChar"/>
    <w:rsid w:val="00EB5C5F"/>
    <w:pPr>
      <w:spacing w:before="120"/>
      <w:jc w:val="both"/>
    </w:pPr>
  </w:style>
  <w:style w:type="paragraph" w:styleId="Zkladntext-prvnodsazen">
    <w:name w:val="Body Text First Indent"/>
    <w:basedOn w:val="Zkladntext"/>
    <w:rsid w:val="00D05012"/>
    <w:pPr>
      <w:ind w:firstLine="300"/>
    </w:pPr>
  </w:style>
  <w:style w:type="character" w:styleId="Zvraznn">
    <w:name w:val="Emphasis"/>
    <w:basedOn w:val="Standardnpsmoodstavce"/>
    <w:qFormat/>
    <w:rsid w:val="00EB1BDE"/>
    <w:rPr>
      <w:i/>
      <w:iCs/>
    </w:rPr>
  </w:style>
  <w:style w:type="character" w:styleId="Siln">
    <w:name w:val="Strong"/>
    <w:basedOn w:val="Standardnpsmoodstavce"/>
    <w:qFormat/>
    <w:rsid w:val="00EB1BDE"/>
    <w:rPr>
      <w:b/>
      <w:bCs/>
    </w:rPr>
  </w:style>
  <w:style w:type="paragraph" w:styleId="Seznamsodrkami">
    <w:name w:val="List Bullet"/>
    <w:basedOn w:val="Normln"/>
    <w:rsid w:val="00BE38F4"/>
    <w:pPr>
      <w:numPr>
        <w:numId w:val="6"/>
      </w:numPr>
    </w:pPr>
  </w:style>
  <w:style w:type="paragraph" w:styleId="slovanseznam">
    <w:name w:val="List Number"/>
    <w:basedOn w:val="Normln"/>
    <w:rsid w:val="00BE38F4"/>
    <w:pPr>
      <w:numPr>
        <w:numId w:val="1"/>
      </w:numPr>
    </w:pPr>
  </w:style>
  <w:style w:type="paragraph" w:customStyle="1" w:styleId="CenteredObject">
    <w:name w:val="Centered Object"/>
    <w:basedOn w:val="Normln"/>
    <w:rsid w:val="005618C6"/>
    <w:pPr>
      <w:spacing w:before="120" w:after="120"/>
      <w:jc w:val="center"/>
    </w:pPr>
    <w:rPr>
      <w:b/>
    </w:rPr>
  </w:style>
  <w:style w:type="paragraph" w:styleId="Titulek">
    <w:name w:val="caption"/>
    <w:basedOn w:val="CenteredObject"/>
    <w:next w:val="Zkladntext-prvnodsazen"/>
    <w:qFormat/>
    <w:rsid w:val="00791CE2"/>
    <w:rPr>
      <w:bCs/>
      <w:szCs w:val="20"/>
    </w:rPr>
  </w:style>
  <w:style w:type="character" w:customStyle="1" w:styleId="CaptionHeader">
    <w:name w:val="Caption Header"/>
    <w:basedOn w:val="Standardnpsmoodstavce"/>
    <w:rsid w:val="005618C6"/>
    <w:rPr>
      <w:rFonts w:ascii="Times New Roman" w:hAnsi="Times New Roman"/>
      <w:b/>
      <w:dstrike w:val="0"/>
      <w:sz w:val="20"/>
      <w:vertAlign w:val="baseline"/>
    </w:rPr>
  </w:style>
  <w:style w:type="paragraph" w:customStyle="1" w:styleId="EquationNumber">
    <w:name w:val="Equation Number"/>
    <w:basedOn w:val="CenteredObject"/>
    <w:rsid w:val="00EB1B9F"/>
    <w:pPr>
      <w:jc w:val="right"/>
    </w:pPr>
  </w:style>
  <w:style w:type="paragraph" w:customStyle="1" w:styleId="Tablecenteredtext">
    <w:name w:val="Table centered text"/>
    <w:basedOn w:val="Normln"/>
    <w:rsid w:val="008045BB"/>
    <w:pPr>
      <w:jc w:val="center"/>
    </w:pPr>
  </w:style>
  <w:style w:type="character" w:customStyle="1" w:styleId="TheoremHeader">
    <w:name w:val="Theorem Header"/>
    <w:basedOn w:val="Standardnpsmoodstavce"/>
    <w:rsid w:val="005E1F51"/>
    <w:rPr>
      <w:b/>
      <w:i/>
    </w:rPr>
  </w:style>
  <w:style w:type="paragraph" w:customStyle="1" w:styleId="Proof">
    <w:name w:val="Proof"/>
    <w:basedOn w:val="Zkladntext"/>
    <w:link w:val="ProofChar"/>
    <w:rsid w:val="005E1F51"/>
  </w:style>
  <w:style w:type="character" w:customStyle="1" w:styleId="ZkladntextChar">
    <w:name w:val="Základní text Char"/>
    <w:basedOn w:val="Standardnpsmoodstavce"/>
    <w:link w:val="Zkladntext"/>
    <w:rsid w:val="005E1F51"/>
    <w:rPr>
      <w:szCs w:val="24"/>
      <w:lang w:val="en-US" w:eastAsia="cs-CZ" w:bidi="ar-SA"/>
    </w:rPr>
  </w:style>
  <w:style w:type="character" w:customStyle="1" w:styleId="ProofChar">
    <w:name w:val="Proof Char"/>
    <w:basedOn w:val="ZkladntextChar"/>
    <w:link w:val="Proof"/>
    <w:rsid w:val="005E1F51"/>
    <w:rPr>
      <w:szCs w:val="24"/>
      <w:lang w:val="en-US" w:eastAsia="cs-CZ" w:bidi="ar-SA"/>
    </w:rPr>
  </w:style>
  <w:style w:type="character" w:customStyle="1" w:styleId="ProofHeader">
    <w:name w:val="Proof Header"/>
    <w:basedOn w:val="ProofChar"/>
    <w:rsid w:val="005E1F51"/>
    <w:rPr>
      <w:i/>
      <w:szCs w:val="24"/>
      <w:lang w:val="en-US" w:eastAsia="cs-CZ" w:bidi="ar-SA"/>
    </w:rPr>
  </w:style>
  <w:style w:type="paragraph" w:customStyle="1" w:styleId="Theorem">
    <w:name w:val="Theorem"/>
    <w:basedOn w:val="Zkladntext"/>
    <w:rsid w:val="00A82A32"/>
    <w:rPr>
      <w:i/>
    </w:rPr>
  </w:style>
  <w:style w:type="character" w:customStyle="1" w:styleId="TheoremName">
    <w:name w:val="Theorem Name"/>
    <w:basedOn w:val="Standardnpsmoodstavce"/>
    <w:rsid w:val="004E2F6C"/>
    <w:rPr>
      <w:i/>
    </w:rPr>
  </w:style>
  <w:style w:type="paragraph" w:customStyle="1" w:styleId="Example">
    <w:name w:val="Example"/>
    <w:basedOn w:val="Zkladntext"/>
    <w:rsid w:val="004E2F6C"/>
  </w:style>
  <w:style w:type="character" w:customStyle="1" w:styleId="ExampleHeader">
    <w:name w:val="Example Header"/>
    <w:basedOn w:val="Standardnpsmoodstavce"/>
    <w:rsid w:val="004E2F6C"/>
    <w:rPr>
      <w:b/>
    </w:rPr>
  </w:style>
  <w:style w:type="paragraph" w:customStyle="1" w:styleId="Remark">
    <w:name w:val="Remark"/>
    <w:basedOn w:val="Zkladntext"/>
    <w:rsid w:val="004E2F6C"/>
  </w:style>
  <w:style w:type="character" w:customStyle="1" w:styleId="RemarkHeader">
    <w:name w:val="Remark Header"/>
    <w:basedOn w:val="Standardnpsmoodstavce"/>
    <w:rsid w:val="004E2F6C"/>
    <w:rPr>
      <w:b/>
    </w:rPr>
  </w:style>
  <w:style w:type="paragraph" w:customStyle="1" w:styleId="Acknowledgements">
    <w:name w:val="Acknowledgements"/>
    <w:basedOn w:val="Nadpis2"/>
    <w:next w:val="Zkladntext"/>
    <w:rsid w:val="0052403C"/>
    <w:pPr>
      <w:numPr>
        <w:ilvl w:val="0"/>
        <w:numId w:val="0"/>
      </w:numPr>
    </w:pPr>
  </w:style>
  <w:style w:type="paragraph" w:customStyle="1" w:styleId="ReferencesHeader">
    <w:name w:val="References Header"/>
    <w:basedOn w:val="Nadpis2"/>
    <w:next w:val="Seznamcitac"/>
    <w:rsid w:val="0052403C"/>
    <w:pPr>
      <w:numPr>
        <w:ilvl w:val="0"/>
        <w:numId w:val="0"/>
      </w:numPr>
    </w:pPr>
  </w:style>
  <w:style w:type="paragraph" w:styleId="Textpoznpodarou">
    <w:name w:val="footnote text"/>
    <w:basedOn w:val="Normln"/>
    <w:semiHidden/>
    <w:rsid w:val="00363B76"/>
    <w:rPr>
      <w:szCs w:val="20"/>
    </w:rPr>
  </w:style>
  <w:style w:type="paragraph" w:styleId="Seznamcitac">
    <w:name w:val="table of authorities"/>
    <w:basedOn w:val="Normln"/>
    <w:semiHidden/>
    <w:rsid w:val="0052403C"/>
    <w:pPr>
      <w:numPr>
        <w:numId w:val="17"/>
      </w:numPr>
    </w:pPr>
  </w:style>
  <w:style w:type="character" w:styleId="Znakapoznpodarou">
    <w:name w:val="footnote reference"/>
    <w:basedOn w:val="Standardnpsmoodstavce"/>
    <w:semiHidden/>
    <w:rsid w:val="00363B76"/>
    <w:rPr>
      <w:vertAlign w:val="superscript"/>
    </w:rPr>
  </w:style>
  <w:style w:type="paragraph" w:customStyle="1" w:styleId="Classifications">
    <w:name w:val="Classifications"/>
    <w:basedOn w:val="Keywords"/>
    <w:rsid w:val="00363B76"/>
  </w:style>
  <w:style w:type="paragraph" w:styleId="Zhlav">
    <w:name w:val="header"/>
    <w:basedOn w:val="Normln"/>
    <w:link w:val="ZhlavChar"/>
    <w:rsid w:val="00557D23"/>
    <w:pPr>
      <w:tabs>
        <w:tab w:val="center" w:pos="4536"/>
        <w:tab w:val="right" w:pos="9072"/>
      </w:tabs>
    </w:pPr>
  </w:style>
  <w:style w:type="character" w:customStyle="1" w:styleId="ZhlavChar">
    <w:name w:val="Záhlaví Char"/>
    <w:basedOn w:val="Standardnpsmoodstavce"/>
    <w:link w:val="Zhlav"/>
    <w:rsid w:val="00557D23"/>
    <w:rPr>
      <w:szCs w:val="24"/>
      <w:lang w:val="en-US"/>
    </w:rPr>
  </w:style>
  <w:style w:type="paragraph" w:styleId="Zpat">
    <w:name w:val="footer"/>
    <w:basedOn w:val="Normln"/>
    <w:link w:val="ZpatChar"/>
    <w:rsid w:val="00557D23"/>
    <w:pPr>
      <w:tabs>
        <w:tab w:val="center" w:pos="4536"/>
        <w:tab w:val="right" w:pos="9072"/>
      </w:tabs>
    </w:pPr>
  </w:style>
  <w:style w:type="character" w:customStyle="1" w:styleId="ZpatChar">
    <w:name w:val="Zápatí Char"/>
    <w:basedOn w:val="Standardnpsmoodstavce"/>
    <w:link w:val="Zpat"/>
    <w:rsid w:val="00557D23"/>
    <w:rPr>
      <w:szCs w:val="24"/>
      <w:lang w:val="en-US"/>
    </w:rPr>
  </w:style>
  <w:style w:type="paragraph" w:styleId="Textbubliny">
    <w:name w:val="Balloon Text"/>
    <w:basedOn w:val="Normln"/>
    <w:link w:val="TextbublinyChar"/>
    <w:rsid w:val="00E83519"/>
    <w:rPr>
      <w:rFonts w:ascii="Tahoma" w:hAnsi="Tahoma" w:cs="Tahoma"/>
      <w:sz w:val="16"/>
      <w:szCs w:val="16"/>
    </w:rPr>
  </w:style>
  <w:style w:type="character" w:customStyle="1" w:styleId="TextbublinyChar">
    <w:name w:val="Text bubliny Char"/>
    <w:basedOn w:val="Standardnpsmoodstavce"/>
    <w:link w:val="Textbubliny"/>
    <w:rsid w:val="00E83519"/>
    <w:rPr>
      <w:rFonts w:ascii="Tahoma" w:hAnsi="Tahoma" w:cs="Tahoma"/>
      <w:sz w:val="16"/>
      <w:szCs w:val="16"/>
      <w:lang w:val="en-US"/>
    </w:rPr>
  </w:style>
  <w:style w:type="character" w:styleId="Hypertextovodkaz">
    <w:name w:val="Hyperlink"/>
    <w:basedOn w:val="Standardnpsmoodstavce"/>
    <w:rsid w:val="00C56F44"/>
    <w:rPr>
      <w:color w:val="0000FF" w:themeColor="hyperlink"/>
      <w:u w:val="single"/>
    </w:rPr>
  </w:style>
  <w:style w:type="character" w:customStyle="1" w:styleId="Nadpis6Char">
    <w:name w:val="Nadpis 6 Char"/>
    <w:basedOn w:val="Standardnpsmoodstavce"/>
    <w:link w:val="Nadpis6"/>
    <w:semiHidden/>
    <w:rsid w:val="005618C6"/>
    <w:rPr>
      <w:rFonts w:asciiTheme="majorHAnsi" w:eastAsiaTheme="majorEastAsia" w:hAnsiTheme="majorHAnsi" w:cstheme="majorBidi"/>
      <w:i/>
      <w:iCs/>
      <w:color w:val="243F60" w:themeColor="accent1" w:themeShade="7F"/>
      <w:szCs w:val="24"/>
      <w:lang w:val="en-US"/>
    </w:rPr>
  </w:style>
  <w:style w:type="paragraph" w:customStyle="1" w:styleId="Odstavecprograf">
    <w:name w:val="Odstavec pro graf"/>
    <w:basedOn w:val="Normln"/>
    <w:rsid w:val="005618C6"/>
    <w:pPr>
      <w:spacing w:before="120" w:after="120"/>
      <w:jc w:val="center"/>
    </w:pPr>
    <w:rPr>
      <w:szCs w:val="20"/>
    </w:rPr>
  </w:style>
  <w:style w:type="paragraph" w:customStyle="1" w:styleId="Formula-notes">
    <w:name w:val="Formula - notes"/>
    <w:basedOn w:val="Normln"/>
    <w:rsid w:val="006C26FD"/>
    <w:pPr>
      <w:jc w:val="both"/>
    </w:pPr>
    <w:rPr>
      <w:sz w:val="22"/>
      <w:szCs w:val="20"/>
      <w:lang w:val="en-GB"/>
    </w:rPr>
  </w:style>
  <w:style w:type="paragraph" w:styleId="Odstavecseseznamem">
    <w:name w:val="List Paragraph"/>
    <w:basedOn w:val="Normln"/>
    <w:uiPriority w:val="34"/>
    <w:qFormat/>
    <w:rsid w:val="006C26FD"/>
    <w:pPr>
      <w:ind w:left="720"/>
      <w:contextualSpacing/>
    </w:pPr>
  </w:style>
  <w:style w:type="paragraph" w:customStyle="1" w:styleId="Formula">
    <w:name w:val="Formula"/>
    <w:basedOn w:val="Normln"/>
    <w:rsid w:val="00520847"/>
    <w:pPr>
      <w:spacing w:before="60" w:after="60"/>
      <w:jc w:val="center"/>
    </w:pPr>
    <w:rPr>
      <w:sz w:val="22"/>
      <w:szCs w:val="20"/>
    </w:rPr>
  </w:style>
  <w:style w:type="character" w:customStyle="1" w:styleId="apple-converted-space">
    <w:name w:val="apple-converted-space"/>
    <w:basedOn w:val="Standardnpsmoodstavce"/>
    <w:rsid w:val="0030249D"/>
  </w:style>
  <w:style w:type="table" w:styleId="Mkatabulky">
    <w:name w:val="Table Grid"/>
    <w:basedOn w:val="Normlntabulka"/>
    <w:rsid w:val="005D5E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edovanodkaz">
    <w:name w:val="FollowedHyperlink"/>
    <w:basedOn w:val="Standardnpsmoodstavce"/>
    <w:rsid w:val="00792687"/>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582BAE"/>
    <w:rPr>
      <w:szCs w:val="24"/>
      <w:lang w:val="en-US"/>
    </w:rPr>
  </w:style>
  <w:style w:type="paragraph" w:styleId="Nadpis1">
    <w:name w:val="heading 1"/>
    <w:basedOn w:val="Normln"/>
    <w:next w:val="Zkladntext"/>
    <w:qFormat/>
    <w:rsid w:val="00EB1BDE"/>
    <w:pPr>
      <w:keepNext/>
      <w:numPr>
        <w:numId w:val="15"/>
      </w:numPr>
      <w:spacing w:before="240" w:after="60"/>
      <w:outlineLvl w:val="0"/>
    </w:pPr>
    <w:rPr>
      <w:rFonts w:cs="Arial"/>
      <w:b/>
      <w:bCs/>
      <w:kern w:val="32"/>
      <w:sz w:val="28"/>
      <w:szCs w:val="32"/>
    </w:rPr>
  </w:style>
  <w:style w:type="paragraph" w:styleId="Nadpis2">
    <w:name w:val="heading 2"/>
    <w:basedOn w:val="Normln"/>
    <w:next w:val="Zkladntext"/>
    <w:qFormat/>
    <w:rsid w:val="00EB1BDE"/>
    <w:pPr>
      <w:keepNext/>
      <w:numPr>
        <w:ilvl w:val="1"/>
        <w:numId w:val="15"/>
      </w:numPr>
      <w:spacing w:before="240" w:after="60"/>
      <w:outlineLvl w:val="1"/>
    </w:pPr>
    <w:rPr>
      <w:rFonts w:cs="Arial"/>
      <w:b/>
      <w:bCs/>
      <w:iCs/>
      <w:sz w:val="24"/>
      <w:szCs w:val="28"/>
    </w:rPr>
  </w:style>
  <w:style w:type="paragraph" w:styleId="Nadpis3">
    <w:name w:val="heading 3"/>
    <w:basedOn w:val="Normln"/>
    <w:next w:val="Zkladntext"/>
    <w:qFormat/>
    <w:rsid w:val="00EB1BDE"/>
    <w:pPr>
      <w:keepNext/>
      <w:spacing w:before="240" w:after="60"/>
      <w:outlineLvl w:val="2"/>
    </w:pPr>
    <w:rPr>
      <w:rFonts w:cs="Arial"/>
      <w:b/>
      <w:bCs/>
      <w:szCs w:val="26"/>
    </w:rPr>
  </w:style>
  <w:style w:type="paragraph" w:styleId="Nadpis6">
    <w:name w:val="heading 6"/>
    <w:basedOn w:val="Normln"/>
    <w:next w:val="Normln"/>
    <w:link w:val="Nadpis6Char"/>
    <w:semiHidden/>
    <w:unhideWhenUsed/>
    <w:qFormat/>
    <w:rsid w:val="005618C6"/>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zev">
    <w:name w:val="Title"/>
    <w:basedOn w:val="Normln"/>
    <w:next w:val="Author"/>
    <w:qFormat/>
    <w:rsid w:val="00E83519"/>
    <w:pPr>
      <w:spacing w:before="240" w:after="60"/>
      <w:jc w:val="center"/>
      <w:outlineLvl w:val="0"/>
    </w:pPr>
    <w:rPr>
      <w:rFonts w:cs="Arial"/>
      <w:b/>
      <w:bCs/>
      <w:kern w:val="28"/>
      <w:sz w:val="32"/>
      <w:szCs w:val="32"/>
    </w:rPr>
  </w:style>
  <w:style w:type="paragraph" w:customStyle="1" w:styleId="Author">
    <w:name w:val="Author"/>
    <w:basedOn w:val="Articlehead"/>
    <w:rsid w:val="00B74D4F"/>
    <w:pPr>
      <w:jc w:val="center"/>
    </w:pPr>
    <w:rPr>
      <w:sz w:val="24"/>
    </w:rPr>
  </w:style>
  <w:style w:type="paragraph" w:customStyle="1" w:styleId="Articlehead">
    <w:name w:val="Article head"/>
    <w:basedOn w:val="Normln"/>
    <w:rsid w:val="00D5321A"/>
    <w:pPr>
      <w:ind w:left="1134" w:right="1134"/>
      <w:jc w:val="both"/>
    </w:pPr>
  </w:style>
  <w:style w:type="character" w:customStyle="1" w:styleId="AbstractHeader">
    <w:name w:val="Abstract Header"/>
    <w:basedOn w:val="Standardnpsmoodstavce"/>
    <w:rsid w:val="00216FD2"/>
    <w:rPr>
      <w:b/>
    </w:rPr>
  </w:style>
  <w:style w:type="paragraph" w:customStyle="1" w:styleId="Abstract">
    <w:name w:val="Abstract"/>
    <w:basedOn w:val="Articlehead"/>
    <w:rsid w:val="00216FD2"/>
    <w:pPr>
      <w:spacing w:before="120"/>
      <w:contextualSpacing/>
    </w:pPr>
  </w:style>
  <w:style w:type="paragraph" w:customStyle="1" w:styleId="Keywords">
    <w:name w:val="Keywords"/>
    <w:basedOn w:val="Articlehead"/>
    <w:rsid w:val="00363B76"/>
    <w:pPr>
      <w:spacing w:before="120" w:after="120"/>
      <w:contextualSpacing/>
    </w:pPr>
  </w:style>
  <w:style w:type="character" w:customStyle="1" w:styleId="KeywordsHeader">
    <w:name w:val="Keywords Header"/>
    <w:basedOn w:val="Standardnpsmoodstavce"/>
    <w:rsid w:val="00E01DCB"/>
    <w:rPr>
      <w:b/>
    </w:rPr>
  </w:style>
  <w:style w:type="numbering" w:customStyle="1" w:styleId="HeadingNumbers">
    <w:name w:val="Heading Numbers"/>
    <w:basedOn w:val="Bezseznamu"/>
    <w:rsid w:val="005A428E"/>
    <w:pPr>
      <w:numPr>
        <w:numId w:val="15"/>
      </w:numPr>
    </w:pPr>
  </w:style>
  <w:style w:type="paragraph" w:styleId="Zkladntext">
    <w:name w:val="Body Text"/>
    <w:basedOn w:val="Normln"/>
    <w:next w:val="Zkladntext-prvnodsazen"/>
    <w:link w:val="ZkladntextChar"/>
    <w:rsid w:val="00EB5C5F"/>
    <w:pPr>
      <w:spacing w:before="120"/>
      <w:jc w:val="both"/>
    </w:pPr>
  </w:style>
  <w:style w:type="paragraph" w:styleId="Zkladntext-prvnodsazen">
    <w:name w:val="Body Text First Indent"/>
    <w:basedOn w:val="Zkladntext"/>
    <w:rsid w:val="00D05012"/>
    <w:pPr>
      <w:ind w:firstLine="300"/>
    </w:pPr>
  </w:style>
  <w:style w:type="character" w:styleId="Zvraznn">
    <w:name w:val="Emphasis"/>
    <w:basedOn w:val="Standardnpsmoodstavce"/>
    <w:qFormat/>
    <w:rsid w:val="00EB1BDE"/>
    <w:rPr>
      <w:i/>
      <w:iCs/>
    </w:rPr>
  </w:style>
  <w:style w:type="character" w:styleId="Siln">
    <w:name w:val="Strong"/>
    <w:basedOn w:val="Standardnpsmoodstavce"/>
    <w:qFormat/>
    <w:rsid w:val="00EB1BDE"/>
    <w:rPr>
      <w:b/>
      <w:bCs/>
    </w:rPr>
  </w:style>
  <w:style w:type="paragraph" w:styleId="Seznamsodrkami">
    <w:name w:val="List Bullet"/>
    <w:basedOn w:val="Normln"/>
    <w:rsid w:val="00BE38F4"/>
    <w:pPr>
      <w:numPr>
        <w:numId w:val="6"/>
      </w:numPr>
    </w:pPr>
  </w:style>
  <w:style w:type="paragraph" w:styleId="slovanseznam">
    <w:name w:val="List Number"/>
    <w:basedOn w:val="Normln"/>
    <w:rsid w:val="00BE38F4"/>
    <w:pPr>
      <w:numPr>
        <w:numId w:val="1"/>
      </w:numPr>
    </w:pPr>
  </w:style>
  <w:style w:type="paragraph" w:customStyle="1" w:styleId="CenteredObject">
    <w:name w:val="Centered Object"/>
    <w:basedOn w:val="Normln"/>
    <w:rsid w:val="005618C6"/>
    <w:pPr>
      <w:spacing w:before="120" w:after="120"/>
      <w:jc w:val="center"/>
    </w:pPr>
    <w:rPr>
      <w:b/>
    </w:rPr>
  </w:style>
  <w:style w:type="paragraph" w:styleId="Titulek">
    <w:name w:val="caption"/>
    <w:basedOn w:val="CenteredObject"/>
    <w:next w:val="Zkladntext-prvnodsazen"/>
    <w:qFormat/>
    <w:rsid w:val="00791CE2"/>
    <w:rPr>
      <w:bCs/>
      <w:szCs w:val="20"/>
    </w:rPr>
  </w:style>
  <w:style w:type="character" w:customStyle="1" w:styleId="CaptionHeader">
    <w:name w:val="Caption Header"/>
    <w:basedOn w:val="Standardnpsmoodstavce"/>
    <w:rsid w:val="005618C6"/>
    <w:rPr>
      <w:rFonts w:ascii="Times New Roman" w:hAnsi="Times New Roman"/>
      <w:b/>
      <w:dstrike w:val="0"/>
      <w:sz w:val="20"/>
      <w:vertAlign w:val="baseline"/>
    </w:rPr>
  </w:style>
  <w:style w:type="paragraph" w:customStyle="1" w:styleId="EquationNumber">
    <w:name w:val="Equation Number"/>
    <w:basedOn w:val="CenteredObject"/>
    <w:rsid w:val="00EB1B9F"/>
    <w:pPr>
      <w:jc w:val="right"/>
    </w:pPr>
  </w:style>
  <w:style w:type="paragraph" w:customStyle="1" w:styleId="Tablecenteredtext">
    <w:name w:val="Table centered text"/>
    <w:basedOn w:val="Normln"/>
    <w:rsid w:val="008045BB"/>
    <w:pPr>
      <w:jc w:val="center"/>
    </w:pPr>
  </w:style>
  <w:style w:type="character" w:customStyle="1" w:styleId="TheoremHeader">
    <w:name w:val="Theorem Header"/>
    <w:basedOn w:val="Standardnpsmoodstavce"/>
    <w:rsid w:val="005E1F51"/>
    <w:rPr>
      <w:b/>
      <w:i/>
    </w:rPr>
  </w:style>
  <w:style w:type="paragraph" w:customStyle="1" w:styleId="Proof">
    <w:name w:val="Proof"/>
    <w:basedOn w:val="Zkladntext"/>
    <w:link w:val="ProofChar"/>
    <w:rsid w:val="005E1F51"/>
  </w:style>
  <w:style w:type="character" w:customStyle="1" w:styleId="ZkladntextChar">
    <w:name w:val="Základní text Char"/>
    <w:basedOn w:val="Standardnpsmoodstavce"/>
    <w:link w:val="Zkladntext"/>
    <w:rsid w:val="005E1F51"/>
    <w:rPr>
      <w:szCs w:val="24"/>
      <w:lang w:val="en-US" w:eastAsia="cs-CZ" w:bidi="ar-SA"/>
    </w:rPr>
  </w:style>
  <w:style w:type="character" w:customStyle="1" w:styleId="ProofChar">
    <w:name w:val="Proof Char"/>
    <w:basedOn w:val="ZkladntextChar"/>
    <w:link w:val="Proof"/>
    <w:rsid w:val="005E1F51"/>
    <w:rPr>
      <w:szCs w:val="24"/>
      <w:lang w:val="en-US" w:eastAsia="cs-CZ" w:bidi="ar-SA"/>
    </w:rPr>
  </w:style>
  <w:style w:type="character" w:customStyle="1" w:styleId="ProofHeader">
    <w:name w:val="Proof Header"/>
    <w:basedOn w:val="ProofChar"/>
    <w:rsid w:val="005E1F51"/>
    <w:rPr>
      <w:i/>
      <w:szCs w:val="24"/>
      <w:lang w:val="en-US" w:eastAsia="cs-CZ" w:bidi="ar-SA"/>
    </w:rPr>
  </w:style>
  <w:style w:type="paragraph" w:customStyle="1" w:styleId="Theorem">
    <w:name w:val="Theorem"/>
    <w:basedOn w:val="Zkladntext"/>
    <w:rsid w:val="00A82A32"/>
    <w:rPr>
      <w:i/>
    </w:rPr>
  </w:style>
  <w:style w:type="character" w:customStyle="1" w:styleId="TheoremName">
    <w:name w:val="Theorem Name"/>
    <w:basedOn w:val="Standardnpsmoodstavce"/>
    <w:rsid w:val="004E2F6C"/>
    <w:rPr>
      <w:i/>
    </w:rPr>
  </w:style>
  <w:style w:type="paragraph" w:customStyle="1" w:styleId="Example">
    <w:name w:val="Example"/>
    <w:basedOn w:val="Zkladntext"/>
    <w:rsid w:val="004E2F6C"/>
  </w:style>
  <w:style w:type="character" w:customStyle="1" w:styleId="ExampleHeader">
    <w:name w:val="Example Header"/>
    <w:basedOn w:val="Standardnpsmoodstavce"/>
    <w:rsid w:val="004E2F6C"/>
    <w:rPr>
      <w:b/>
    </w:rPr>
  </w:style>
  <w:style w:type="paragraph" w:customStyle="1" w:styleId="Remark">
    <w:name w:val="Remark"/>
    <w:basedOn w:val="Zkladntext"/>
    <w:rsid w:val="004E2F6C"/>
  </w:style>
  <w:style w:type="character" w:customStyle="1" w:styleId="RemarkHeader">
    <w:name w:val="Remark Header"/>
    <w:basedOn w:val="Standardnpsmoodstavce"/>
    <w:rsid w:val="004E2F6C"/>
    <w:rPr>
      <w:b/>
    </w:rPr>
  </w:style>
  <w:style w:type="paragraph" w:customStyle="1" w:styleId="Acknowledgements">
    <w:name w:val="Acknowledgements"/>
    <w:basedOn w:val="Nadpis2"/>
    <w:next w:val="Zkladntext"/>
    <w:rsid w:val="0052403C"/>
    <w:pPr>
      <w:numPr>
        <w:ilvl w:val="0"/>
        <w:numId w:val="0"/>
      </w:numPr>
    </w:pPr>
  </w:style>
  <w:style w:type="paragraph" w:customStyle="1" w:styleId="ReferencesHeader">
    <w:name w:val="References Header"/>
    <w:basedOn w:val="Nadpis2"/>
    <w:next w:val="Seznamcitac"/>
    <w:rsid w:val="0052403C"/>
    <w:pPr>
      <w:numPr>
        <w:ilvl w:val="0"/>
        <w:numId w:val="0"/>
      </w:numPr>
    </w:pPr>
  </w:style>
  <w:style w:type="paragraph" w:styleId="Textpoznpodarou">
    <w:name w:val="footnote text"/>
    <w:basedOn w:val="Normln"/>
    <w:semiHidden/>
    <w:rsid w:val="00363B76"/>
    <w:rPr>
      <w:szCs w:val="20"/>
    </w:rPr>
  </w:style>
  <w:style w:type="paragraph" w:styleId="Seznamcitac">
    <w:name w:val="table of authorities"/>
    <w:basedOn w:val="Normln"/>
    <w:semiHidden/>
    <w:rsid w:val="0052403C"/>
    <w:pPr>
      <w:numPr>
        <w:numId w:val="17"/>
      </w:numPr>
    </w:pPr>
  </w:style>
  <w:style w:type="character" w:styleId="Znakapoznpodarou">
    <w:name w:val="footnote reference"/>
    <w:basedOn w:val="Standardnpsmoodstavce"/>
    <w:semiHidden/>
    <w:rsid w:val="00363B76"/>
    <w:rPr>
      <w:vertAlign w:val="superscript"/>
    </w:rPr>
  </w:style>
  <w:style w:type="paragraph" w:customStyle="1" w:styleId="Classifications">
    <w:name w:val="Classifications"/>
    <w:basedOn w:val="Keywords"/>
    <w:rsid w:val="00363B76"/>
  </w:style>
  <w:style w:type="paragraph" w:styleId="Zhlav">
    <w:name w:val="header"/>
    <w:basedOn w:val="Normln"/>
    <w:link w:val="ZhlavChar"/>
    <w:rsid w:val="00557D23"/>
    <w:pPr>
      <w:tabs>
        <w:tab w:val="center" w:pos="4536"/>
        <w:tab w:val="right" w:pos="9072"/>
      </w:tabs>
    </w:pPr>
  </w:style>
  <w:style w:type="character" w:customStyle="1" w:styleId="ZhlavChar">
    <w:name w:val="Záhlaví Char"/>
    <w:basedOn w:val="Standardnpsmoodstavce"/>
    <w:link w:val="Zhlav"/>
    <w:rsid w:val="00557D23"/>
    <w:rPr>
      <w:szCs w:val="24"/>
      <w:lang w:val="en-US"/>
    </w:rPr>
  </w:style>
  <w:style w:type="paragraph" w:styleId="Zpat">
    <w:name w:val="footer"/>
    <w:basedOn w:val="Normln"/>
    <w:link w:val="ZpatChar"/>
    <w:rsid w:val="00557D23"/>
    <w:pPr>
      <w:tabs>
        <w:tab w:val="center" w:pos="4536"/>
        <w:tab w:val="right" w:pos="9072"/>
      </w:tabs>
    </w:pPr>
  </w:style>
  <w:style w:type="character" w:customStyle="1" w:styleId="ZpatChar">
    <w:name w:val="Zápatí Char"/>
    <w:basedOn w:val="Standardnpsmoodstavce"/>
    <w:link w:val="Zpat"/>
    <w:rsid w:val="00557D23"/>
    <w:rPr>
      <w:szCs w:val="24"/>
      <w:lang w:val="en-US"/>
    </w:rPr>
  </w:style>
  <w:style w:type="paragraph" w:styleId="Textbubliny">
    <w:name w:val="Balloon Text"/>
    <w:basedOn w:val="Normln"/>
    <w:link w:val="TextbublinyChar"/>
    <w:rsid w:val="00E83519"/>
    <w:rPr>
      <w:rFonts w:ascii="Tahoma" w:hAnsi="Tahoma" w:cs="Tahoma"/>
      <w:sz w:val="16"/>
      <w:szCs w:val="16"/>
    </w:rPr>
  </w:style>
  <w:style w:type="character" w:customStyle="1" w:styleId="TextbublinyChar">
    <w:name w:val="Text bubliny Char"/>
    <w:basedOn w:val="Standardnpsmoodstavce"/>
    <w:link w:val="Textbubliny"/>
    <w:rsid w:val="00E83519"/>
    <w:rPr>
      <w:rFonts w:ascii="Tahoma" w:hAnsi="Tahoma" w:cs="Tahoma"/>
      <w:sz w:val="16"/>
      <w:szCs w:val="16"/>
      <w:lang w:val="en-US"/>
    </w:rPr>
  </w:style>
  <w:style w:type="character" w:styleId="Hypertextovodkaz">
    <w:name w:val="Hyperlink"/>
    <w:basedOn w:val="Standardnpsmoodstavce"/>
    <w:rsid w:val="00C56F44"/>
    <w:rPr>
      <w:color w:val="0000FF" w:themeColor="hyperlink"/>
      <w:u w:val="single"/>
    </w:rPr>
  </w:style>
  <w:style w:type="character" w:customStyle="1" w:styleId="Nadpis6Char">
    <w:name w:val="Nadpis 6 Char"/>
    <w:basedOn w:val="Standardnpsmoodstavce"/>
    <w:link w:val="Nadpis6"/>
    <w:semiHidden/>
    <w:rsid w:val="005618C6"/>
    <w:rPr>
      <w:rFonts w:asciiTheme="majorHAnsi" w:eastAsiaTheme="majorEastAsia" w:hAnsiTheme="majorHAnsi" w:cstheme="majorBidi"/>
      <w:i/>
      <w:iCs/>
      <w:color w:val="243F60" w:themeColor="accent1" w:themeShade="7F"/>
      <w:szCs w:val="24"/>
      <w:lang w:val="en-US"/>
    </w:rPr>
  </w:style>
  <w:style w:type="paragraph" w:customStyle="1" w:styleId="Odstavecprograf">
    <w:name w:val="Odstavec pro graf"/>
    <w:basedOn w:val="Normln"/>
    <w:rsid w:val="005618C6"/>
    <w:pPr>
      <w:spacing w:before="120" w:after="120"/>
      <w:jc w:val="center"/>
    </w:pPr>
    <w:rPr>
      <w:szCs w:val="20"/>
    </w:rPr>
  </w:style>
  <w:style w:type="paragraph" w:customStyle="1" w:styleId="Formula-notes">
    <w:name w:val="Formula - notes"/>
    <w:basedOn w:val="Normln"/>
    <w:rsid w:val="006C26FD"/>
    <w:pPr>
      <w:jc w:val="both"/>
    </w:pPr>
    <w:rPr>
      <w:sz w:val="22"/>
      <w:szCs w:val="20"/>
      <w:lang w:val="en-GB"/>
    </w:rPr>
  </w:style>
  <w:style w:type="paragraph" w:styleId="Odstavecseseznamem">
    <w:name w:val="List Paragraph"/>
    <w:basedOn w:val="Normln"/>
    <w:uiPriority w:val="34"/>
    <w:qFormat/>
    <w:rsid w:val="006C26FD"/>
    <w:pPr>
      <w:ind w:left="720"/>
      <w:contextualSpacing/>
    </w:pPr>
  </w:style>
  <w:style w:type="paragraph" w:customStyle="1" w:styleId="Formula">
    <w:name w:val="Formula"/>
    <w:basedOn w:val="Normln"/>
    <w:rsid w:val="00520847"/>
    <w:pPr>
      <w:spacing w:before="60" w:after="60"/>
      <w:jc w:val="center"/>
    </w:pPr>
    <w:rPr>
      <w:sz w:val="22"/>
      <w:szCs w:val="20"/>
    </w:rPr>
  </w:style>
  <w:style w:type="character" w:customStyle="1" w:styleId="apple-converted-space">
    <w:name w:val="apple-converted-space"/>
    <w:basedOn w:val="Standardnpsmoodstavce"/>
    <w:rsid w:val="0030249D"/>
  </w:style>
  <w:style w:type="table" w:styleId="Mkatabulky">
    <w:name w:val="Table Grid"/>
    <w:basedOn w:val="Normlntabulka"/>
    <w:rsid w:val="005D5E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edovanodkaz">
    <w:name w:val="FollowedHyperlink"/>
    <w:basedOn w:val="Standardnpsmoodstavce"/>
    <w:rsid w:val="0079268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4711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ac.els-cdn.com/S0047272798000097/1-s2.0-S0047272798000097-main.pdf?_tid=29128244-7a2a-11e4-8cf8-00000aab0f6c&amp;acdnat=1417528402_78e1e95e8fb3071d98586ea0b78001df" TargetMode="External"/><Relationship Id="rId18" Type="http://schemas.openxmlformats.org/officeDocument/2006/relationships/hyperlink" Target="http://cber.bus.utk.edu/confpapers/LunaMurray.pd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s://www.czso.cz/csu/res/registr_ekonomickych_subjektu" TargetMode="External"/><Relationship Id="rId17" Type="http://schemas.openxmlformats.org/officeDocument/2006/relationships/hyperlink" Target="http://icc.oxfordjournals.org/content/22/1/219.full"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www.vse.cz/polek/download.php?jnl=cfuc&amp;pdf=124.pdf"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axfoundation.org/sites/taxfoundation.org/files/docs/sr181.pdf" TargetMode="External"/><Relationship Id="rId24"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hyperlink" Target="http://www.nber.org/papers/w4227" TargetMode="External"/><Relationship Id="rId23" Type="http://schemas.openxmlformats.org/officeDocument/2006/relationships/footer" Target="footer2.xml"/><Relationship Id="rId10" Type="http://schemas.openxmlformats.org/officeDocument/2006/relationships/hyperlink" Target="http://www.researchgate.net/publication/240161271_Organizational_form_and_taxes_an_empirical_analysis_of_small_businesses" TargetMode="External"/><Relationship Id="rId19" Type="http://schemas.openxmlformats.org/officeDocument/2006/relationships/hyperlink" Target="http://www.mfcr.cz/cs/verejny-sektor/makroekonomika/makroekonomicka-predikce"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www.nber.org/papers/w3781.pdf" TargetMode="External"/><Relationship Id="rId22" Type="http://schemas.openxmlformats.org/officeDocument/2006/relationships/footer" Target="footer1.xml"/><Relationship Id="rId27"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E:\Vym&#283;niteln&#253;%20disk\konference\TaPVF%202012\TPAVF%20sample2012.dot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147.32.68.33\storage\Working\Svobodova\graf%20do%20efai.xlsm"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'[graf do efai.xlsm]List1'!$N$2</c:f>
              <c:strCache>
                <c:ptCount val="1"/>
                <c:pt idx="0">
                  <c:v>average tax rate for C corporations</c:v>
                </c:pt>
              </c:strCache>
            </c:strRef>
          </c:tx>
          <c:spPr>
            <a:ln>
              <a:solidFill>
                <a:sysClr val="windowText" lastClr="000000"/>
              </a:solidFill>
              <a:prstDash val="sysDot"/>
            </a:ln>
          </c:spPr>
          <c:marker>
            <c:symbol val="none"/>
          </c:marker>
          <c:cat>
            <c:numRef>
              <c:f>'[graf do efai.xlsm]List1'!$A$3:$A$35</c:f>
              <c:numCache>
                <c:formatCode>#,##0</c:formatCode>
                <c:ptCount val="33"/>
                <c:pt idx="0">
                  <c:v>100000</c:v>
                </c:pt>
                <c:pt idx="1">
                  <c:v>200000</c:v>
                </c:pt>
                <c:pt idx="2">
                  <c:v>300000</c:v>
                </c:pt>
                <c:pt idx="3">
                  <c:v>400000</c:v>
                </c:pt>
                <c:pt idx="4">
                  <c:v>500000</c:v>
                </c:pt>
                <c:pt idx="5">
                  <c:v>600000</c:v>
                </c:pt>
                <c:pt idx="6">
                  <c:v>700000</c:v>
                </c:pt>
                <c:pt idx="7">
                  <c:v>800000</c:v>
                </c:pt>
                <c:pt idx="8">
                  <c:v>900000</c:v>
                </c:pt>
                <c:pt idx="9">
                  <c:v>1000000</c:v>
                </c:pt>
                <c:pt idx="10">
                  <c:v>1100000</c:v>
                </c:pt>
                <c:pt idx="11">
                  <c:v>1200000</c:v>
                </c:pt>
                <c:pt idx="12">
                  <c:v>1300000</c:v>
                </c:pt>
                <c:pt idx="13">
                  <c:v>1400000</c:v>
                </c:pt>
                <c:pt idx="14">
                  <c:v>1500000</c:v>
                </c:pt>
                <c:pt idx="15">
                  <c:v>1600000</c:v>
                </c:pt>
                <c:pt idx="16">
                  <c:v>1700000</c:v>
                </c:pt>
                <c:pt idx="17">
                  <c:v>1800000</c:v>
                </c:pt>
                <c:pt idx="18">
                  <c:v>1900000</c:v>
                </c:pt>
                <c:pt idx="19">
                  <c:v>2000000</c:v>
                </c:pt>
                <c:pt idx="20">
                  <c:v>2100000</c:v>
                </c:pt>
                <c:pt idx="21">
                  <c:v>2200000</c:v>
                </c:pt>
                <c:pt idx="22">
                  <c:v>2300000</c:v>
                </c:pt>
                <c:pt idx="23">
                  <c:v>2400000</c:v>
                </c:pt>
                <c:pt idx="24">
                  <c:v>2500000</c:v>
                </c:pt>
                <c:pt idx="25">
                  <c:v>2600000</c:v>
                </c:pt>
                <c:pt idx="26">
                  <c:v>2700000</c:v>
                </c:pt>
                <c:pt idx="27">
                  <c:v>2800000</c:v>
                </c:pt>
                <c:pt idx="28">
                  <c:v>2900000</c:v>
                </c:pt>
                <c:pt idx="29">
                  <c:v>3000000</c:v>
                </c:pt>
                <c:pt idx="30">
                  <c:v>5000000</c:v>
                </c:pt>
                <c:pt idx="31">
                  <c:v>10000000</c:v>
                </c:pt>
                <c:pt idx="32">
                  <c:v>20000000</c:v>
                </c:pt>
              </c:numCache>
            </c:numRef>
          </c:cat>
          <c:val>
            <c:numRef>
              <c:f>'[graf do efai.xlsm]List1'!$N$3:$N$35</c:f>
              <c:numCache>
                <c:formatCode>General</c:formatCode>
                <c:ptCount val="33"/>
                <c:pt idx="0">
                  <c:v>31.15</c:v>
                </c:pt>
                <c:pt idx="1">
                  <c:v>31.15</c:v>
                </c:pt>
                <c:pt idx="2">
                  <c:v>31.15</c:v>
                </c:pt>
                <c:pt idx="3">
                  <c:v>31.15</c:v>
                </c:pt>
                <c:pt idx="4">
                  <c:v>31.15</c:v>
                </c:pt>
                <c:pt idx="5">
                  <c:v>31.15</c:v>
                </c:pt>
                <c:pt idx="6">
                  <c:v>31.15</c:v>
                </c:pt>
                <c:pt idx="7">
                  <c:v>31.15</c:v>
                </c:pt>
                <c:pt idx="8">
                  <c:v>31.15</c:v>
                </c:pt>
                <c:pt idx="9">
                  <c:v>31.15</c:v>
                </c:pt>
                <c:pt idx="10">
                  <c:v>31.15</c:v>
                </c:pt>
                <c:pt idx="11">
                  <c:v>31.15</c:v>
                </c:pt>
                <c:pt idx="12">
                  <c:v>31.15</c:v>
                </c:pt>
                <c:pt idx="13">
                  <c:v>31.15</c:v>
                </c:pt>
                <c:pt idx="14">
                  <c:v>31.15</c:v>
                </c:pt>
                <c:pt idx="15">
                  <c:v>31.15</c:v>
                </c:pt>
                <c:pt idx="16">
                  <c:v>31.15</c:v>
                </c:pt>
                <c:pt idx="17">
                  <c:v>31.15</c:v>
                </c:pt>
                <c:pt idx="18">
                  <c:v>31.15</c:v>
                </c:pt>
                <c:pt idx="19">
                  <c:v>31.15</c:v>
                </c:pt>
                <c:pt idx="20">
                  <c:v>31.15</c:v>
                </c:pt>
                <c:pt idx="21">
                  <c:v>31.15</c:v>
                </c:pt>
                <c:pt idx="22">
                  <c:v>31.15</c:v>
                </c:pt>
                <c:pt idx="23">
                  <c:v>31.15</c:v>
                </c:pt>
                <c:pt idx="24">
                  <c:v>31.15</c:v>
                </c:pt>
                <c:pt idx="25">
                  <c:v>31.15</c:v>
                </c:pt>
                <c:pt idx="26">
                  <c:v>31.15</c:v>
                </c:pt>
                <c:pt idx="27">
                  <c:v>31.15</c:v>
                </c:pt>
                <c:pt idx="28">
                  <c:v>31.15</c:v>
                </c:pt>
                <c:pt idx="29">
                  <c:v>31.15</c:v>
                </c:pt>
                <c:pt idx="30">
                  <c:v>31.15</c:v>
                </c:pt>
                <c:pt idx="31">
                  <c:v>31.15</c:v>
                </c:pt>
                <c:pt idx="32">
                  <c:v>31.15</c:v>
                </c:pt>
              </c:numCache>
            </c:numRef>
          </c:val>
          <c:smooth val="1"/>
        </c:ser>
        <c:ser>
          <c:idx val="1"/>
          <c:order val="1"/>
          <c:tx>
            <c:strRef>
              <c:f>'[graf do efai.xlsm]List1'!$G$2</c:f>
              <c:strCache>
                <c:ptCount val="1"/>
                <c:pt idx="0">
                  <c:v>average tax rate for S corporations</c:v>
                </c:pt>
              </c:strCache>
            </c:strRef>
          </c:tx>
          <c:spPr>
            <a:ln>
              <a:solidFill>
                <a:sysClr val="windowText" lastClr="000000"/>
              </a:solidFill>
              <a:prstDash val="sysDash"/>
            </a:ln>
          </c:spPr>
          <c:marker>
            <c:symbol val="none"/>
          </c:marker>
          <c:cat>
            <c:numRef>
              <c:f>'[graf do efai.xlsm]List1'!$A$3:$A$35</c:f>
              <c:numCache>
                <c:formatCode>#,##0</c:formatCode>
                <c:ptCount val="33"/>
                <c:pt idx="0">
                  <c:v>100000</c:v>
                </c:pt>
                <c:pt idx="1">
                  <c:v>200000</c:v>
                </c:pt>
                <c:pt idx="2">
                  <c:v>300000</c:v>
                </c:pt>
                <c:pt idx="3">
                  <c:v>400000</c:v>
                </c:pt>
                <c:pt idx="4">
                  <c:v>500000</c:v>
                </c:pt>
                <c:pt idx="5">
                  <c:v>600000</c:v>
                </c:pt>
                <c:pt idx="6">
                  <c:v>700000</c:v>
                </c:pt>
                <c:pt idx="7">
                  <c:v>800000</c:v>
                </c:pt>
                <c:pt idx="8">
                  <c:v>900000</c:v>
                </c:pt>
                <c:pt idx="9">
                  <c:v>1000000</c:v>
                </c:pt>
                <c:pt idx="10">
                  <c:v>1100000</c:v>
                </c:pt>
                <c:pt idx="11">
                  <c:v>1200000</c:v>
                </c:pt>
                <c:pt idx="12">
                  <c:v>1300000</c:v>
                </c:pt>
                <c:pt idx="13">
                  <c:v>1400000</c:v>
                </c:pt>
                <c:pt idx="14">
                  <c:v>1500000</c:v>
                </c:pt>
                <c:pt idx="15">
                  <c:v>1600000</c:v>
                </c:pt>
                <c:pt idx="16">
                  <c:v>1700000</c:v>
                </c:pt>
                <c:pt idx="17">
                  <c:v>1800000</c:v>
                </c:pt>
                <c:pt idx="18">
                  <c:v>1900000</c:v>
                </c:pt>
                <c:pt idx="19">
                  <c:v>2000000</c:v>
                </c:pt>
                <c:pt idx="20">
                  <c:v>2100000</c:v>
                </c:pt>
                <c:pt idx="21">
                  <c:v>2200000</c:v>
                </c:pt>
                <c:pt idx="22">
                  <c:v>2300000</c:v>
                </c:pt>
                <c:pt idx="23">
                  <c:v>2400000</c:v>
                </c:pt>
                <c:pt idx="24">
                  <c:v>2500000</c:v>
                </c:pt>
                <c:pt idx="25">
                  <c:v>2600000</c:v>
                </c:pt>
                <c:pt idx="26">
                  <c:v>2700000</c:v>
                </c:pt>
                <c:pt idx="27">
                  <c:v>2800000</c:v>
                </c:pt>
                <c:pt idx="28">
                  <c:v>2900000</c:v>
                </c:pt>
                <c:pt idx="29">
                  <c:v>3000000</c:v>
                </c:pt>
                <c:pt idx="30">
                  <c:v>5000000</c:v>
                </c:pt>
                <c:pt idx="31">
                  <c:v>10000000</c:v>
                </c:pt>
                <c:pt idx="32">
                  <c:v>20000000</c:v>
                </c:pt>
              </c:numCache>
            </c:numRef>
          </c:cat>
          <c:val>
            <c:numRef>
              <c:f>'[graf do efai.xlsm]List1'!$G$3:$G$35</c:f>
              <c:numCache>
                <c:formatCode>0.00</c:formatCode>
                <c:ptCount val="33"/>
                <c:pt idx="0">
                  <c:v>58.739964000000015</c:v>
                </c:pt>
                <c:pt idx="1">
                  <c:v>40.10651</c:v>
                </c:pt>
                <c:pt idx="2">
                  <c:v>36.604340000000001</c:v>
                </c:pt>
                <c:pt idx="3">
                  <c:v>36.35</c:v>
                </c:pt>
                <c:pt idx="4">
                  <c:v>36.35</c:v>
                </c:pt>
                <c:pt idx="5">
                  <c:v>36.35</c:v>
                </c:pt>
                <c:pt idx="6">
                  <c:v>36.35</c:v>
                </c:pt>
                <c:pt idx="7">
                  <c:v>36.35</c:v>
                </c:pt>
                <c:pt idx="8">
                  <c:v>36.35</c:v>
                </c:pt>
                <c:pt idx="9">
                  <c:v>36.35</c:v>
                </c:pt>
                <c:pt idx="10">
                  <c:v>36.35</c:v>
                </c:pt>
                <c:pt idx="11">
                  <c:v>36.35</c:v>
                </c:pt>
                <c:pt idx="12">
                  <c:v>36.644990769230766</c:v>
                </c:pt>
                <c:pt idx="13">
                  <c:v>37.123919999999998</c:v>
                </c:pt>
                <c:pt idx="14">
                  <c:v>37.538992</c:v>
                </c:pt>
                <c:pt idx="15">
                  <c:v>37.902180000000001</c:v>
                </c:pt>
                <c:pt idx="16">
                  <c:v>38.222640000000006</c:v>
                </c:pt>
                <c:pt idx="17">
                  <c:v>38.507493333333329</c:v>
                </c:pt>
                <c:pt idx="18">
                  <c:v>38.762362105263158</c:v>
                </c:pt>
                <c:pt idx="19">
                  <c:v>38.991743999999997</c:v>
                </c:pt>
                <c:pt idx="20">
                  <c:v>39.199279999999995</c:v>
                </c:pt>
                <c:pt idx="21">
                  <c:v>39.387949090909089</c:v>
                </c:pt>
                <c:pt idx="22">
                  <c:v>39.560212173913044</c:v>
                </c:pt>
                <c:pt idx="23">
                  <c:v>39.718119999999999</c:v>
                </c:pt>
                <c:pt idx="24">
                  <c:v>39.807518080000001</c:v>
                </c:pt>
                <c:pt idx="25">
                  <c:v>39.382228923076923</c:v>
                </c:pt>
                <c:pt idx="26">
                  <c:v>38.988442666666664</c:v>
                </c:pt>
                <c:pt idx="27">
                  <c:v>38.622784000000003</c:v>
                </c:pt>
                <c:pt idx="28">
                  <c:v>38.282343172413796</c:v>
                </c:pt>
                <c:pt idx="29">
                  <c:v>37.9645984</c:v>
                </c:pt>
                <c:pt idx="30">
                  <c:v>34.278759040000004</c:v>
                </c:pt>
                <c:pt idx="31">
                  <c:v>31.514379520000002</c:v>
                </c:pt>
                <c:pt idx="32">
                  <c:v>30.132189759999999</c:v>
                </c:pt>
              </c:numCache>
            </c:numRef>
          </c:val>
          <c:smooth val="0"/>
        </c:ser>
        <c:dLbls>
          <c:showLegendKey val="0"/>
          <c:showVal val="0"/>
          <c:showCatName val="0"/>
          <c:showSerName val="0"/>
          <c:showPercent val="0"/>
          <c:showBubbleSize val="0"/>
        </c:dLbls>
        <c:marker val="1"/>
        <c:smooth val="0"/>
        <c:axId val="92677248"/>
        <c:axId val="92679168"/>
      </c:lineChart>
      <c:catAx>
        <c:axId val="92677248"/>
        <c:scaling>
          <c:orientation val="minMax"/>
        </c:scaling>
        <c:delete val="0"/>
        <c:axPos val="b"/>
        <c:title>
          <c:tx>
            <c:rich>
              <a:bodyPr/>
              <a:lstStyle/>
              <a:p>
                <a:pPr>
                  <a:defRPr/>
                </a:pPr>
                <a:r>
                  <a:rPr lang="cs-CZ"/>
                  <a:t>Income</a:t>
                </a:r>
                <a:r>
                  <a:rPr lang="cs-CZ" baseline="0"/>
                  <a:t> (CZK)</a:t>
                </a:r>
                <a:endParaRPr lang="cs-CZ"/>
              </a:p>
            </c:rich>
          </c:tx>
          <c:layout/>
          <c:overlay val="0"/>
        </c:title>
        <c:numFmt formatCode="#,##0" sourceLinked="1"/>
        <c:majorTickMark val="out"/>
        <c:minorTickMark val="none"/>
        <c:tickLblPos val="nextTo"/>
        <c:crossAx val="92679168"/>
        <c:crosses val="autoZero"/>
        <c:auto val="1"/>
        <c:lblAlgn val="ctr"/>
        <c:lblOffset val="100"/>
        <c:noMultiLvlLbl val="0"/>
      </c:catAx>
      <c:valAx>
        <c:axId val="92679168"/>
        <c:scaling>
          <c:orientation val="minMax"/>
        </c:scaling>
        <c:delete val="0"/>
        <c:axPos val="l"/>
        <c:majorGridlines/>
        <c:title>
          <c:tx>
            <c:rich>
              <a:bodyPr rot="-5400000" vert="horz"/>
              <a:lstStyle/>
              <a:p>
                <a:pPr>
                  <a:defRPr/>
                </a:pPr>
                <a:r>
                  <a:rPr lang="cs-CZ"/>
                  <a:t>Tax rate (%)</a:t>
                </a:r>
              </a:p>
            </c:rich>
          </c:tx>
          <c:layout/>
          <c:overlay val="0"/>
        </c:title>
        <c:numFmt formatCode="General" sourceLinked="1"/>
        <c:majorTickMark val="out"/>
        <c:minorTickMark val="none"/>
        <c:tickLblPos val="nextTo"/>
        <c:crossAx val="92677248"/>
        <c:crosses val="autoZero"/>
        <c:crossBetween val="between"/>
      </c:valAx>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A1138F-88E9-4599-A233-A9141F20F1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TPAVF sample2012.dotx</Template>
  <TotalTime>0</TotalTime>
  <Pages>5</Pages>
  <Words>3266</Words>
  <Characters>19426</Characters>
  <Application>Microsoft Office Word</Application>
  <DocSecurity>4</DocSecurity>
  <Lines>161</Lines>
  <Paragraphs>45</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LinksUpToDate>false</LinksUpToDate>
  <CharactersWithSpaces>22647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2016-05-09T12:08:00Z</dcterms:created>
  <dcterms:modified xsi:type="dcterms:W3CDTF">2016-05-09T12:08:00Z</dcterms:modified>
</cp:coreProperties>
</file>