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7FA691" w14:textId="77777777" w:rsidR="004B2EA6" w:rsidRPr="00120D5F" w:rsidRDefault="004B2EA6" w:rsidP="004B2EA6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1C25EDE8" w14:textId="77777777" w:rsidR="004B2EA6" w:rsidRPr="00120D5F" w:rsidRDefault="004B2EA6" w:rsidP="004B2EA6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76249FF7" w14:textId="436E412C" w:rsidR="004B2EA6" w:rsidRDefault="004B2EA6" w:rsidP="004B2EA6">
      <w:pPr>
        <w:jc w:val="left"/>
        <w:rPr>
          <w:rFonts w:eastAsia="Calibri"/>
          <w:i/>
          <w:iCs/>
          <w:szCs w:val="24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r w:rsidR="00DB36D4" w:rsidRPr="00DB36D4">
        <w:rPr>
          <w:rFonts w:eastAsia="Calibri"/>
          <w:i/>
          <w:iCs/>
          <w:szCs w:val="24"/>
        </w:rPr>
        <w:t xml:space="preserve">Women's Empowerment in YA Fantasy </w:t>
      </w:r>
    </w:p>
    <w:p w14:paraId="7619B9E4" w14:textId="677DEAB7" w:rsidR="004B2EA6" w:rsidRPr="000D71AE" w:rsidRDefault="004B2EA6" w:rsidP="004B2EA6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DB36D4">
        <w:rPr>
          <w:rFonts w:eastAsia="Calibri"/>
          <w:szCs w:val="24"/>
        </w:rPr>
        <w:t>Kateřina Kuntová</w:t>
      </w:r>
    </w:p>
    <w:p w14:paraId="53FD6713" w14:textId="77777777" w:rsidR="004B2EA6" w:rsidRPr="00120D5F" w:rsidRDefault="004B2EA6" w:rsidP="004B2EA6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>
        <w:rPr>
          <w:rFonts w:eastAsia="Calibri"/>
          <w:szCs w:val="24"/>
        </w:rPr>
        <w:t>á filologie</w:t>
      </w:r>
    </w:p>
    <w:p w14:paraId="3B68187F" w14:textId="77777777" w:rsidR="004B2EA6" w:rsidRPr="00120D5F" w:rsidRDefault="004B2EA6" w:rsidP="004B2EA6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23809CC0" w14:textId="5F19600B" w:rsidR="004B2EA6" w:rsidRPr="00A50C25" w:rsidRDefault="004B2EA6" w:rsidP="004B2EA6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Pr="00A50C25">
        <w:rPr>
          <w:szCs w:val="24"/>
        </w:rPr>
        <w:t xml:space="preserve">Mgr. </w:t>
      </w:r>
      <w:r w:rsidR="005A0E22">
        <w:rPr>
          <w:szCs w:val="24"/>
        </w:rPr>
        <w:t>Petra Kalavská</w:t>
      </w:r>
      <w:r w:rsidRPr="00A50C25">
        <w:rPr>
          <w:szCs w:val="24"/>
        </w:rPr>
        <w:t>, Ph.D.</w:t>
      </w:r>
      <w:r>
        <w:rPr>
          <w:szCs w:val="24"/>
        </w:rPr>
        <w:t xml:space="preserve"> </w:t>
      </w:r>
    </w:p>
    <w:p w14:paraId="180A38B6" w14:textId="77777777" w:rsidR="004B2EA6" w:rsidRPr="00120D5F" w:rsidRDefault="004B2EA6" w:rsidP="004B2EA6">
      <w:pPr>
        <w:rPr>
          <w:rFonts w:eastAsia="Calibri"/>
          <w:szCs w:val="24"/>
        </w:rPr>
      </w:pPr>
    </w:p>
    <w:p w14:paraId="26B79ED9" w14:textId="0B98449E" w:rsidR="00D140B5" w:rsidRDefault="004B2EA6" w:rsidP="004B2EA6">
      <w:pPr>
        <w:rPr>
          <w:rFonts w:eastAsia="Calibri"/>
          <w:szCs w:val="24"/>
        </w:rPr>
      </w:pPr>
      <w:r>
        <w:rPr>
          <w:rFonts w:eastAsia="Calibri"/>
          <w:szCs w:val="24"/>
        </w:rPr>
        <w:t>Předložená d</w:t>
      </w:r>
      <w:r w:rsidRPr="00120D5F">
        <w:rPr>
          <w:rFonts w:eastAsia="Calibri"/>
          <w:szCs w:val="24"/>
        </w:rPr>
        <w:t>iplomov</w:t>
      </w:r>
      <w:r>
        <w:rPr>
          <w:rFonts w:eastAsia="Calibri"/>
          <w:szCs w:val="24"/>
        </w:rPr>
        <w:t>á</w:t>
      </w:r>
      <w:r w:rsidRPr="00120D5F">
        <w:rPr>
          <w:rFonts w:eastAsia="Calibri"/>
          <w:szCs w:val="24"/>
        </w:rPr>
        <w:t xml:space="preserve"> práce </w:t>
      </w:r>
      <w:r>
        <w:rPr>
          <w:rFonts w:eastAsia="Calibri"/>
          <w:szCs w:val="24"/>
        </w:rPr>
        <w:t xml:space="preserve">se věnuje </w:t>
      </w:r>
      <w:r w:rsidR="00151966">
        <w:rPr>
          <w:rFonts w:eastAsia="Calibri"/>
          <w:szCs w:val="24"/>
        </w:rPr>
        <w:t xml:space="preserve">analýze moci </w:t>
      </w:r>
      <w:r w:rsidR="001D15F9">
        <w:rPr>
          <w:rFonts w:eastAsia="Calibri"/>
          <w:szCs w:val="24"/>
        </w:rPr>
        <w:t>a</w:t>
      </w:r>
      <w:r w:rsidR="00151966">
        <w:rPr>
          <w:rFonts w:eastAsia="Calibri"/>
          <w:szCs w:val="24"/>
        </w:rPr>
        <w:t xml:space="preserve"> síly ženských postav v žánru </w:t>
      </w:r>
      <w:r w:rsidR="00153E3B">
        <w:rPr>
          <w:rFonts w:eastAsia="Calibri"/>
          <w:szCs w:val="24"/>
        </w:rPr>
        <w:t>fantasy cíleném na dospívající</w:t>
      </w:r>
      <w:r w:rsidR="003B0A02">
        <w:rPr>
          <w:rFonts w:eastAsia="Calibri"/>
          <w:szCs w:val="24"/>
        </w:rPr>
        <w:t xml:space="preserve"> čtenáře</w:t>
      </w:r>
      <w:r w:rsidR="00153E3B">
        <w:rPr>
          <w:rFonts w:eastAsia="Calibri"/>
          <w:szCs w:val="24"/>
        </w:rPr>
        <w:t xml:space="preserve">. V úvodu práce diplomantka </w:t>
      </w:r>
      <w:r w:rsidR="00113B21">
        <w:rPr>
          <w:rFonts w:eastAsia="Calibri"/>
          <w:szCs w:val="24"/>
        </w:rPr>
        <w:t xml:space="preserve">pečlivě zpracovala </w:t>
      </w:r>
      <w:r w:rsidR="00924509">
        <w:rPr>
          <w:rFonts w:eastAsia="Calibri"/>
          <w:szCs w:val="24"/>
        </w:rPr>
        <w:t>charakteristiku</w:t>
      </w:r>
      <w:r w:rsidR="00113B21">
        <w:rPr>
          <w:rFonts w:eastAsia="Calibri"/>
          <w:szCs w:val="24"/>
        </w:rPr>
        <w:t xml:space="preserve"> žánru fantasy</w:t>
      </w:r>
      <w:r w:rsidR="00924509">
        <w:rPr>
          <w:rFonts w:eastAsia="Calibri"/>
          <w:szCs w:val="24"/>
        </w:rPr>
        <w:t xml:space="preserve"> a</w:t>
      </w:r>
      <w:r w:rsidR="00F51843">
        <w:rPr>
          <w:rFonts w:eastAsia="Calibri"/>
          <w:szCs w:val="24"/>
        </w:rPr>
        <w:t xml:space="preserve"> různ</w:t>
      </w:r>
      <w:r w:rsidR="00924509">
        <w:rPr>
          <w:rFonts w:eastAsia="Calibri"/>
          <w:szCs w:val="24"/>
        </w:rPr>
        <w:t>ých</w:t>
      </w:r>
      <w:r w:rsidR="00F51843">
        <w:rPr>
          <w:rFonts w:eastAsia="Calibri"/>
          <w:szCs w:val="24"/>
        </w:rPr>
        <w:t xml:space="preserve"> poddruh</w:t>
      </w:r>
      <w:r w:rsidR="00924509">
        <w:rPr>
          <w:rFonts w:eastAsia="Calibri"/>
          <w:szCs w:val="24"/>
        </w:rPr>
        <w:t>ů</w:t>
      </w:r>
      <w:r w:rsidR="00F51843">
        <w:rPr>
          <w:rFonts w:eastAsia="Calibri"/>
          <w:szCs w:val="24"/>
        </w:rPr>
        <w:t xml:space="preserve"> žánru</w:t>
      </w:r>
      <w:r w:rsidR="00924509">
        <w:rPr>
          <w:rFonts w:eastAsia="Calibri"/>
          <w:szCs w:val="24"/>
        </w:rPr>
        <w:t xml:space="preserve">. Oceňuji šíři </w:t>
      </w:r>
      <w:r w:rsidR="007D30D0">
        <w:rPr>
          <w:rFonts w:eastAsia="Calibri"/>
          <w:szCs w:val="24"/>
        </w:rPr>
        <w:t xml:space="preserve">zdrojů, které v této části </w:t>
      </w:r>
      <w:r w:rsidR="002E31DD">
        <w:rPr>
          <w:rFonts w:eastAsia="Calibri"/>
          <w:szCs w:val="24"/>
        </w:rPr>
        <w:t>zpracovala – klasické</w:t>
      </w:r>
      <w:r w:rsidR="000A2158">
        <w:rPr>
          <w:rFonts w:eastAsia="Calibri"/>
          <w:szCs w:val="24"/>
        </w:rPr>
        <w:t xml:space="preserve"> </w:t>
      </w:r>
      <w:r w:rsidR="00306C4E">
        <w:rPr>
          <w:rFonts w:eastAsia="Calibri"/>
          <w:szCs w:val="24"/>
        </w:rPr>
        <w:t>odborn</w:t>
      </w:r>
      <w:r w:rsidR="00FA7650">
        <w:rPr>
          <w:rFonts w:eastAsia="Calibri"/>
          <w:szCs w:val="24"/>
        </w:rPr>
        <w:t>é</w:t>
      </w:r>
      <w:r w:rsidR="00306C4E">
        <w:rPr>
          <w:rFonts w:eastAsia="Calibri"/>
          <w:szCs w:val="24"/>
        </w:rPr>
        <w:t xml:space="preserve"> </w:t>
      </w:r>
      <w:r w:rsidR="000A2158">
        <w:rPr>
          <w:rFonts w:eastAsia="Calibri"/>
          <w:szCs w:val="24"/>
        </w:rPr>
        <w:t>text</w:t>
      </w:r>
      <w:r w:rsidR="00FA7650">
        <w:rPr>
          <w:rFonts w:eastAsia="Calibri"/>
          <w:szCs w:val="24"/>
        </w:rPr>
        <w:t>y</w:t>
      </w:r>
      <w:r w:rsidR="000A2158">
        <w:rPr>
          <w:rFonts w:eastAsia="Calibri"/>
          <w:szCs w:val="24"/>
        </w:rPr>
        <w:t xml:space="preserve"> </w:t>
      </w:r>
      <w:r w:rsidR="00306C4E">
        <w:rPr>
          <w:rFonts w:eastAsia="Calibri"/>
          <w:szCs w:val="24"/>
        </w:rPr>
        <w:t>(</w:t>
      </w:r>
      <w:r w:rsidR="002B05AC">
        <w:rPr>
          <w:rFonts w:eastAsia="Calibri"/>
          <w:szCs w:val="24"/>
        </w:rPr>
        <w:t xml:space="preserve">Timmerman, </w:t>
      </w:r>
      <w:r w:rsidR="00934578">
        <w:rPr>
          <w:rFonts w:eastAsia="Calibri"/>
          <w:szCs w:val="24"/>
        </w:rPr>
        <w:t>Matthews</w:t>
      </w:r>
      <w:r w:rsidR="00694E5B">
        <w:rPr>
          <w:rFonts w:eastAsia="Calibri"/>
          <w:szCs w:val="24"/>
        </w:rPr>
        <w:t xml:space="preserve">, </w:t>
      </w:r>
      <w:r w:rsidR="00A35E29">
        <w:rPr>
          <w:rFonts w:eastAsia="Calibri"/>
          <w:szCs w:val="24"/>
        </w:rPr>
        <w:t xml:space="preserve">Jackson, </w:t>
      </w:r>
      <w:r w:rsidR="00694E5B">
        <w:rPr>
          <w:rFonts w:eastAsia="Calibri"/>
          <w:szCs w:val="24"/>
        </w:rPr>
        <w:t>Hunt</w:t>
      </w:r>
      <w:r w:rsidR="000F27EF">
        <w:rPr>
          <w:rFonts w:eastAsia="Calibri"/>
          <w:szCs w:val="24"/>
        </w:rPr>
        <w:t xml:space="preserve">), ale </w:t>
      </w:r>
      <w:r w:rsidR="00512EF0">
        <w:rPr>
          <w:rFonts w:eastAsia="Calibri"/>
          <w:szCs w:val="24"/>
        </w:rPr>
        <w:t xml:space="preserve">např. </w:t>
      </w:r>
      <w:r w:rsidR="000F27EF">
        <w:rPr>
          <w:rFonts w:eastAsia="Calibri"/>
          <w:szCs w:val="24"/>
        </w:rPr>
        <w:t>i teoretick</w:t>
      </w:r>
      <w:r w:rsidR="00FA7650">
        <w:rPr>
          <w:rFonts w:eastAsia="Calibri"/>
          <w:szCs w:val="24"/>
        </w:rPr>
        <w:t>á</w:t>
      </w:r>
      <w:r w:rsidR="000F27EF">
        <w:rPr>
          <w:rFonts w:eastAsia="Calibri"/>
          <w:szCs w:val="24"/>
        </w:rPr>
        <w:t xml:space="preserve"> zamyšlení </w:t>
      </w:r>
      <w:r w:rsidR="00D605AE">
        <w:rPr>
          <w:rFonts w:eastAsia="Calibri"/>
          <w:szCs w:val="24"/>
        </w:rPr>
        <w:t xml:space="preserve">tradičních </w:t>
      </w:r>
      <w:r w:rsidR="000F27EF">
        <w:rPr>
          <w:rFonts w:eastAsia="Calibri"/>
          <w:szCs w:val="24"/>
        </w:rPr>
        <w:t>tvůrců fantasy (C.S. Lewis</w:t>
      </w:r>
      <w:r w:rsidR="00393526">
        <w:rPr>
          <w:rFonts w:eastAsia="Calibri"/>
          <w:szCs w:val="24"/>
        </w:rPr>
        <w:t>, Le Guin</w:t>
      </w:r>
      <w:r w:rsidR="000F27EF">
        <w:rPr>
          <w:rFonts w:eastAsia="Calibri"/>
          <w:szCs w:val="24"/>
        </w:rPr>
        <w:t>)</w:t>
      </w:r>
      <w:r w:rsidR="00512EF0">
        <w:rPr>
          <w:rFonts w:eastAsia="Calibri"/>
          <w:szCs w:val="24"/>
        </w:rPr>
        <w:t xml:space="preserve">. </w:t>
      </w:r>
      <w:r w:rsidR="00D65A08">
        <w:rPr>
          <w:rFonts w:eastAsia="Calibri"/>
          <w:szCs w:val="24"/>
        </w:rPr>
        <w:t xml:space="preserve">Zajímavé je mj. </w:t>
      </w:r>
      <w:r w:rsidR="00C022D8">
        <w:rPr>
          <w:rFonts w:eastAsia="Calibri"/>
          <w:szCs w:val="24"/>
        </w:rPr>
        <w:t xml:space="preserve">pojednání o </w:t>
      </w:r>
      <w:r w:rsidR="0097591C">
        <w:rPr>
          <w:rFonts w:eastAsia="Calibri"/>
          <w:szCs w:val="24"/>
        </w:rPr>
        <w:t>cílovém čtenářstvu YA – zde diplomatka vhodně použila i údaje z</w:t>
      </w:r>
      <w:r w:rsidR="00F32787">
        <w:rPr>
          <w:rFonts w:eastAsia="Calibri"/>
          <w:szCs w:val="24"/>
        </w:rPr>
        <w:t> knihovnických zdrojů a čtenářských webů</w:t>
      </w:r>
      <w:r w:rsidR="00294512">
        <w:rPr>
          <w:rFonts w:eastAsia="Calibri"/>
          <w:szCs w:val="24"/>
        </w:rPr>
        <w:t xml:space="preserve">. </w:t>
      </w:r>
      <w:r w:rsidR="00512EF0">
        <w:rPr>
          <w:rFonts w:eastAsia="Calibri"/>
          <w:szCs w:val="24"/>
        </w:rPr>
        <w:t xml:space="preserve">V závěru pak jasně formuluje definici YA fantasy, </w:t>
      </w:r>
      <w:r w:rsidR="00E9790F">
        <w:rPr>
          <w:rFonts w:eastAsia="Calibri"/>
          <w:szCs w:val="24"/>
        </w:rPr>
        <w:t>kterou použi</w:t>
      </w:r>
      <w:r w:rsidR="008553BA">
        <w:rPr>
          <w:rFonts w:eastAsia="Calibri"/>
          <w:szCs w:val="24"/>
        </w:rPr>
        <w:t>la</w:t>
      </w:r>
      <w:r w:rsidR="00E9790F">
        <w:rPr>
          <w:rFonts w:eastAsia="Calibri"/>
          <w:szCs w:val="24"/>
        </w:rPr>
        <w:t xml:space="preserve"> pro výběr </w:t>
      </w:r>
      <w:r w:rsidR="00C26583">
        <w:rPr>
          <w:rFonts w:eastAsia="Calibri"/>
          <w:szCs w:val="24"/>
        </w:rPr>
        <w:t>ve</w:t>
      </w:r>
      <w:r w:rsidR="00264665">
        <w:rPr>
          <w:rFonts w:eastAsia="Calibri"/>
          <w:szCs w:val="24"/>
        </w:rPr>
        <w:t>l</w:t>
      </w:r>
      <w:r w:rsidR="00C26583">
        <w:rPr>
          <w:rFonts w:eastAsia="Calibri"/>
          <w:szCs w:val="24"/>
        </w:rPr>
        <w:t xml:space="preserve">ice současných (a do češtiny dosud nepřeložených) </w:t>
      </w:r>
      <w:r w:rsidR="00E9790F">
        <w:rPr>
          <w:rFonts w:eastAsia="Calibri"/>
          <w:szCs w:val="24"/>
        </w:rPr>
        <w:t>primárních děl</w:t>
      </w:r>
      <w:r w:rsidR="00294512">
        <w:rPr>
          <w:rFonts w:eastAsia="Calibri"/>
          <w:szCs w:val="24"/>
        </w:rPr>
        <w:t xml:space="preserve"> </w:t>
      </w:r>
      <w:r w:rsidR="00395D42">
        <w:rPr>
          <w:rFonts w:eastAsia="Calibri"/>
          <w:szCs w:val="24"/>
        </w:rPr>
        <w:t>–</w:t>
      </w:r>
      <w:r w:rsidR="00294512">
        <w:rPr>
          <w:rFonts w:eastAsia="Calibri"/>
          <w:szCs w:val="24"/>
        </w:rPr>
        <w:t xml:space="preserve"> </w:t>
      </w:r>
      <w:r w:rsidR="00F35A91" w:rsidRPr="00395D42">
        <w:rPr>
          <w:rFonts w:eastAsia="Calibri"/>
          <w:i/>
          <w:iCs/>
          <w:szCs w:val="24"/>
        </w:rPr>
        <w:t>Throne of Glass</w:t>
      </w:r>
      <w:r w:rsidR="00F35A91">
        <w:rPr>
          <w:rFonts w:eastAsia="Calibri"/>
          <w:szCs w:val="24"/>
        </w:rPr>
        <w:t xml:space="preserve"> (</w:t>
      </w:r>
      <w:r w:rsidR="00F35A91" w:rsidRPr="00395D42">
        <w:rPr>
          <w:rFonts w:eastAsia="Calibri"/>
          <w:szCs w:val="24"/>
        </w:rPr>
        <w:t>2012</w:t>
      </w:r>
      <w:r w:rsidR="00F35A91">
        <w:rPr>
          <w:rFonts w:eastAsia="Calibri"/>
          <w:szCs w:val="24"/>
        </w:rPr>
        <w:t xml:space="preserve">) od </w:t>
      </w:r>
      <w:r w:rsidR="00F35A91" w:rsidRPr="00395D42">
        <w:rPr>
          <w:rFonts w:eastAsia="Calibri"/>
          <w:szCs w:val="24"/>
        </w:rPr>
        <w:t>Sarah J. Maas</w:t>
      </w:r>
      <w:r w:rsidR="00F35A91">
        <w:rPr>
          <w:rFonts w:eastAsia="Calibri"/>
          <w:szCs w:val="24"/>
        </w:rPr>
        <w:t xml:space="preserve">(ové), </w:t>
      </w:r>
      <w:r w:rsidR="00F35A91" w:rsidRPr="009E79E1">
        <w:rPr>
          <w:rFonts w:eastAsia="Calibri"/>
          <w:i/>
          <w:iCs/>
          <w:szCs w:val="24"/>
        </w:rPr>
        <w:t>Beyond the Black Door</w:t>
      </w:r>
      <w:r w:rsidR="00F35A91">
        <w:rPr>
          <w:rFonts w:eastAsia="Calibri"/>
          <w:i/>
          <w:iCs/>
          <w:szCs w:val="24"/>
        </w:rPr>
        <w:t xml:space="preserve"> </w:t>
      </w:r>
      <w:r w:rsidR="00F35A91" w:rsidRPr="009E79E1">
        <w:rPr>
          <w:rFonts w:eastAsia="Calibri"/>
          <w:szCs w:val="24"/>
        </w:rPr>
        <w:t>(</w:t>
      </w:r>
      <w:r w:rsidR="00F35A91" w:rsidRPr="00395D42">
        <w:rPr>
          <w:rFonts w:eastAsia="Calibri"/>
          <w:szCs w:val="24"/>
        </w:rPr>
        <w:t>2019</w:t>
      </w:r>
      <w:r w:rsidR="00F35A91">
        <w:rPr>
          <w:rFonts w:eastAsia="Calibri"/>
          <w:szCs w:val="24"/>
        </w:rPr>
        <w:t xml:space="preserve">) </w:t>
      </w:r>
      <w:r w:rsidR="00F35A91" w:rsidRPr="00395D42">
        <w:rPr>
          <w:rFonts w:eastAsia="Calibri"/>
          <w:szCs w:val="24"/>
        </w:rPr>
        <w:t>AdriAnne</w:t>
      </w:r>
      <w:r w:rsidR="00F35A91">
        <w:rPr>
          <w:rFonts w:eastAsia="Calibri"/>
          <w:szCs w:val="24"/>
        </w:rPr>
        <w:t xml:space="preserve"> </w:t>
      </w:r>
      <w:r w:rsidR="00F35A91" w:rsidRPr="00395D42">
        <w:rPr>
          <w:rFonts w:eastAsia="Calibri"/>
          <w:szCs w:val="24"/>
        </w:rPr>
        <w:t>Strickland</w:t>
      </w:r>
      <w:r w:rsidR="00F35A91">
        <w:rPr>
          <w:rFonts w:eastAsia="Calibri"/>
          <w:szCs w:val="24"/>
        </w:rPr>
        <w:t>(ové)</w:t>
      </w:r>
      <w:r w:rsidR="00DB3866">
        <w:rPr>
          <w:rFonts w:eastAsia="Calibri"/>
          <w:szCs w:val="24"/>
        </w:rPr>
        <w:t xml:space="preserve">, </w:t>
      </w:r>
      <w:r w:rsidR="00395D42" w:rsidRPr="00395D42">
        <w:rPr>
          <w:rFonts w:eastAsia="Calibri"/>
          <w:i/>
          <w:iCs/>
          <w:szCs w:val="24"/>
        </w:rPr>
        <w:t>The Gilded Ones</w:t>
      </w:r>
      <w:r w:rsidR="00395D42">
        <w:rPr>
          <w:rFonts w:eastAsia="Calibri"/>
          <w:i/>
          <w:iCs/>
          <w:szCs w:val="24"/>
        </w:rPr>
        <w:t xml:space="preserve"> </w:t>
      </w:r>
      <w:r w:rsidR="00395D42" w:rsidRPr="00395D42">
        <w:rPr>
          <w:rFonts w:eastAsia="Calibri"/>
          <w:szCs w:val="24"/>
        </w:rPr>
        <w:t>Namin</w:t>
      </w:r>
      <w:r w:rsidR="00395D42">
        <w:rPr>
          <w:rFonts w:eastAsia="Calibri"/>
          <w:szCs w:val="24"/>
        </w:rPr>
        <w:t xml:space="preserve">y </w:t>
      </w:r>
      <w:r w:rsidR="00395D42" w:rsidRPr="00395D42">
        <w:rPr>
          <w:rFonts w:eastAsia="Calibri"/>
          <w:szCs w:val="24"/>
        </w:rPr>
        <w:t>Forn</w:t>
      </w:r>
      <w:r w:rsidR="00395D42">
        <w:rPr>
          <w:rFonts w:eastAsia="Calibri"/>
          <w:szCs w:val="24"/>
        </w:rPr>
        <w:t>y (</w:t>
      </w:r>
      <w:r w:rsidR="00395D42" w:rsidRPr="00395D42">
        <w:rPr>
          <w:rFonts w:eastAsia="Calibri"/>
          <w:szCs w:val="24"/>
        </w:rPr>
        <w:t>2021</w:t>
      </w:r>
      <w:r w:rsidR="00395D42">
        <w:rPr>
          <w:rFonts w:eastAsia="Calibri"/>
          <w:szCs w:val="24"/>
        </w:rPr>
        <w:t>)</w:t>
      </w:r>
      <w:r w:rsidR="00DB3866">
        <w:rPr>
          <w:rFonts w:eastAsia="Calibri"/>
          <w:szCs w:val="24"/>
        </w:rPr>
        <w:t xml:space="preserve"> a</w:t>
      </w:r>
      <w:r w:rsidR="00395D42">
        <w:rPr>
          <w:rFonts w:eastAsia="Calibri"/>
          <w:szCs w:val="24"/>
        </w:rPr>
        <w:t xml:space="preserve"> </w:t>
      </w:r>
      <w:r w:rsidR="00DB3866" w:rsidRPr="00395D42">
        <w:rPr>
          <w:rFonts w:eastAsia="Calibri"/>
          <w:i/>
          <w:iCs/>
          <w:szCs w:val="24"/>
        </w:rPr>
        <w:t>The Final Strife</w:t>
      </w:r>
      <w:r w:rsidR="00DB3866">
        <w:rPr>
          <w:rFonts w:eastAsia="Calibri"/>
          <w:szCs w:val="24"/>
        </w:rPr>
        <w:t xml:space="preserve"> (</w:t>
      </w:r>
      <w:r w:rsidR="00DB3866" w:rsidRPr="00395D42">
        <w:rPr>
          <w:rFonts w:eastAsia="Calibri"/>
          <w:szCs w:val="24"/>
        </w:rPr>
        <w:t>2022</w:t>
      </w:r>
      <w:r w:rsidR="00DB3866">
        <w:rPr>
          <w:rFonts w:eastAsia="Calibri"/>
          <w:szCs w:val="24"/>
        </w:rPr>
        <w:t>)</w:t>
      </w:r>
      <w:r w:rsidR="00DB3866" w:rsidRPr="00395D42">
        <w:rPr>
          <w:rFonts w:eastAsia="Calibri"/>
          <w:szCs w:val="24"/>
        </w:rPr>
        <w:t xml:space="preserve"> Saar</w:t>
      </w:r>
      <w:r w:rsidR="00DB3866">
        <w:rPr>
          <w:rFonts w:eastAsia="Calibri"/>
          <w:szCs w:val="24"/>
        </w:rPr>
        <w:t xml:space="preserve">y </w:t>
      </w:r>
      <w:r w:rsidR="00DB3866" w:rsidRPr="00395D42">
        <w:rPr>
          <w:rFonts w:eastAsia="Calibri"/>
          <w:szCs w:val="24"/>
        </w:rPr>
        <w:t>El-Arifi</w:t>
      </w:r>
      <w:r w:rsidR="009E79E1">
        <w:rPr>
          <w:rFonts w:eastAsia="Calibri"/>
          <w:szCs w:val="24"/>
        </w:rPr>
        <w:t>.</w:t>
      </w:r>
      <w:r w:rsidR="00DB3866">
        <w:rPr>
          <w:rFonts w:eastAsia="Calibri"/>
          <w:szCs w:val="24"/>
        </w:rPr>
        <w:t xml:space="preserve"> </w:t>
      </w:r>
    </w:p>
    <w:p w14:paraId="21EA527F" w14:textId="18AC7467" w:rsidR="006B783B" w:rsidRDefault="0085672B" w:rsidP="00DE4073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Další kapitola práce pojednává o </w:t>
      </w:r>
      <w:r w:rsidR="00C0013A">
        <w:rPr>
          <w:rFonts w:eastAsia="Calibri"/>
          <w:szCs w:val="24"/>
        </w:rPr>
        <w:t>proměňující se roli žen ve společnosti, o hněvu jakožto silné a u žen často potlačované emoci</w:t>
      </w:r>
      <w:r w:rsidR="00246E6B">
        <w:rPr>
          <w:rFonts w:eastAsia="Calibri"/>
          <w:szCs w:val="24"/>
        </w:rPr>
        <w:t>, o moci a zneužívání moci (především v souvislosti s</w:t>
      </w:r>
      <w:r w:rsidR="00D3188F">
        <w:rPr>
          <w:rFonts w:eastAsia="Calibri"/>
          <w:szCs w:val="24"/>
        </w:rPr>
        <w:t> </w:t>
      </w:r>
      <w:r w:rsidR="00246E6B">
        <w:rPr>
          <w:rFonts w:eastAsia="Calibri"/>
          <w:szCs w:val="24"/>
        </w:rPr>
        <w:t>náboženstvím</w:t>
      </w:r>
      <w:r w:rsidR="00D3188F">
        <w:rPr>
          <w:rFonts w:eastAsia="Calibri"/>
          <w:szCs w:val="24"/>
        </w:rPr>
        <w:t>)</w:t>
      </w:r>
      <w:r w:rsidR="009F001A">
        <w:rPr>
          <w:rFonts w:eastAsia="Calibri"/>
          <w:szCs w:val="24"/>
        </w:rPr>
        <w:t xml:space="preserve">, o stereotypech, které mohou sloužit k utužování moci. </w:t>
      </w:r>
      <w:r w:rsidR="0056730C">
        <w:rPr>
          <w:rFonts w:eastAsia="Calibri"/>
          <w:szCs w:val="24"/>
        </w:rPr>
        <w:t>Tato část přináší řadu velmi zajímavých</w:t>
      </w:r>
      <w:r w:rsidR="001634B2">
        <w:rPr>
          <w:rFonts w:eastAsia="Calibri"/>
          <w:szCs w:val="24"/>
        </w:rPr>
        <w:t xml:space="preserve"> vhledů, </w:t>
      </w:r>
      <w:r w:rsidR="00D70623">
        <w:rPr>
          <w:rFonts w:eastAsia="Calibri"/>
          <w:szCs w:val="24"/>
        </w:rPr>
        <w:t>působí však poněkud roztříštěně</w:t>
      </w:r>
      <w:r w:rsidR="00CD4225">
        <w:rPr>
          <w:rFonts w:eastAsia="Calibri"/>
          <w:szCs w:val="24"/>
        </w:rPr>
        <w:t xml:space="preserve">; prospěla by jí větší koherence a jasnější propojení s hlavními </w:t>
      </w:r>
      <w:r w:rsidR="00852772">
        <w:rPr>
          <w:rFonts w:eastAsia="Calibri"/>
          <w:szCs w:val="24"/>
        </w:rPr>
        <w:t xml:space="preserve">tématy </w:t>
      </w:r>
      <w:r w:rsidR="00992075">
        <w:rPr>
          <w:rFonts w:eastAsia="Calibri"/>
          <w:szCs w:val="24"/>
        </w:rPr>
        <w:t xml:space="preserve">následujících analýz. </w:t>
      </w:r>
      <w:r w:rsidR="00D2197C">
        <w:rPr>
          <w:rFonts w:eastAsia="Calibri"/>
          <w:szCs w:val="24"/>
        </w:rPr>
        <w:t xml:space="preserve">V kapitole </w:t>
      </w:r>
      <w:r w:rsidR="0073522B">
        <w:rPr>
          <w:rFonts w:eastAsia="Calibri"/>
          <w:szCs w:val="24"/>
        </w:rPr>
        <w:t>nazvan</w:t>
      </w:r>
      <w:r w:rsidR="00D2197C">
        <w:rPr>
          <w:rFonts w:eastAsia="Calibri"/>
          <w:szCs w:val="24"/>
        </w:rPr>
        <w:t>é</w:t>
      </w:r>
      <w:r w:rsidR="0073522B">
        <w:rPr>
          <w:rFonts w:eastAsia="Calibri"/>
          <w:szCs w:val="24"/>
        </w:rPr>
        <w:t xml:space="preserve"> </w:t>
      </w:r>
      <w:r w:rsidR="002A555B">
        <w:rPr>
          <w:rFonts w:eastAsia="Calibri"/>
          <w:szCs w:val="24"/>
        </w:rPr>
        <w:t>„</w:t>
      </w:r>
      <w:r w:rsidR="0073522B">
        <w:rPr>
          <w:rFonts w:eastAsia="Calibri"/>
          <w:szCs w:val="24"/>
        </w:rPr>
        <w:t>Worldbuilding</w:t>
      </w:r>
      <w:r w:rsidR="002A555B">
        <w:rPr>
          <w:rFonts w:eastAsia="Calibri"/>
          <w:szCs w:val="24"/>
        </w:rPr>
        <w:t>“</w:t>
      </w:r>
      <w:r w:rsidR="0073522B">
        <w:rPr>
          <w:rFonts w:eastAsia="Calibri"/>
          <w:szCs w:val="24"/>
        </w:rPr>
        <w:t xml:space="preserve"> se</w:t>
      </w:r>
      <w:r w:rsidR="002A555B">
        <w:rPr>
          <w:rFonts w:eastAsia="Calibri"/>
          <w:szCs w:val="24"/>
        </w:rPr>
        <w:t xml:space="preserve"> </w:t>
      </w:r>
      <w:r w:rsidR="00D2197C">
        <w:rPr>
          <w:rFonts w:eastAsia="Calibri"/>
          <w:szCs w:val="24"/>
        </w:rPr>
        <w:t xml:space="preserve">diplomantka </w:t>
      </w:r>
      <w:r w:rsidR="002A555B">
        <w:rPr>
          <w:rFonts w:eastAsia="Calibri"/>
          <w:szCs w:val="24"/>
        </w:rPr>
        <w:t xml:space="preserve">zabývá způsoby, jimiž autoři tzv. high fantasy vytvářejí své alternativní světy. </w:t>
      </w:r>
      <w:r w:rsidR="00021795">
        <w:rPr>
          <w:rFonts w:eastAsia="Calibri"/>
          <w:szCs w:val="24"/>
        </w:rPr>
        <w:t>Seznámení čtenáře s</w:t>
      </w:r>
      <w:r w:rsidR="00DE6A7E">
        <w:rPr>
          <w:rFonts w:eastAsia="Calibri"/>
          <w:szCs w:val="24"/>
        </w:rPr>
        <w:t xml:space="preserve"> komplexním </w:t>
      </w:r>
      <w:r w:rsidR="00021795">
        <w:rPr>
          <w:rFonts w:eastAsia="Calibri"/>
          <w:szCs w:val="24"/>
        </w:rPr>
        <w:t xml:space="preserve">fantazijním světem konkrétního díla je jednoznačně </w:t>
      </w:r>
      <w:r w:rsidR="00DE6A7E">
        <w:rPr>
          <w:rFonts w:eastAsia="Calibri"/>
          <w:szCs w:val="24"/>
        </w:rPr>
        <w:t>nelehký úkol každého autora fantasy</w:t>
      </w:r>
      <w:r w:rsidR="00D00F5E">
        <w:rPr>
          <w:rFonts w:eastAsia="Calibri"/>
          <w:szCs w:val="24"/>
        </w:rPr>
        <w:t>, který může rozhodovat o</w:t>
      </w:r>
      <w:r w:rsidR="003621C3">
        <w:rPr>
          <w:rFonts w:eastAsia="Calibri"/>
          <w:szCs w:val="24"/>
        </w:rPr>
        <w:t xml:space="preserve"> jeho</w:t>
      </w:r>
      <w:r w:rsidR="00D00F5E">
        <w:rPr>
          <w:rFonts w:eastAsia="Calibri"/>
          <w:szCs w:val="24"/>
        </w:rPr>
        <w:t xml:space="preserve"> úspěšnosti </w:t>
      </w:r>
      <w:r w:rsidR="00A44959">
        <w:rPr>
          <w:rFonts w:eastAsia="Calibri"/>
          <w:szCs w:val="24"/>
        </w:rPr>
        <w:t>–</w:t>
      </w:r>
      <w:r w:rsidR="00D00F5E">
        <w:rPr>
          <w:rFonts w:eastAsia="Calibri"/>
          <w:szCs w:val="24"/>
        </w:rPr>
        <w:t xml:space="preserve"> </w:t>
      </w:r>
      <w:r w:rsidR="00A44959">
        <w:rPr>
          <w:rFonts w:eastAsia="Calibri"/>
          <w:szCs w:val="24"/>
        </w:rPr>
        <w:t xml:space="preserve">přesto se </w:t>
      </w:r>
      <w:r w:rsidR="003621C3">
        <w:rPr>
          <w:rFonts w:eastAsia="Calibri"/>
          <w:szCs w:val="24"/>
        </w:rPr>
        <w:t xml:space="preserve">málokdy </w:t>
      </w:r>
      <w:r w:rsidR="001B2F9F">
        <w:rPr>
          <w:rFonts w:eastAsia="Calibri"/>
          <w:szCs w:val="24"/>
        </w:rPr>
        <w:t>stává předmětem kritické reflexe. Oceňuji, že se o to diplomantka pokusila</w:t>
      </w:r>
      <w:r w:rsidR="0072285A">
        <w:rPr>
          <w:rFonts w:eastAsia="Calibri"/>
          <w:szCs w:val="24"/>
        </w:rPr>
        <w:t xml:space="preserve"> a rovněž že v této </w:t>
      </w:r>
      <w:r w:rsidR="00740C79">
        <w:rPr>
          <w:rFonts w:eastAsia="Calibri"/>
          <w:szCs w:val="24"/>
        </w:rPr>
        <w:t>souvislosti</w:t>
      </w:r>
      <w:r w:rsidR="0072285A">
        <w:rPr>
          <w:rFonts w:eastAsia="Calibri"/>
          <w:szCs w:val="24"/>
        </w:rPr>
        <w:t xml:space="preserve"> pojednala o paratextových </w:t>
      </w:r>
      <w:r w:rsidR="002A4680">
        <w:rPr>
          <w:rFonts w:eastAsia="Calibri"/>
          <w:szCs w:val="24"/>
        </w:rPr>
        <w:t xml:space="preserve">(nebo přesněji peritextových, v terminologii </w:t>
      </w:r>
      <w:r w:rsidR="00A84B29" w:rsidRPr="00A84B29">
        <w:rPr>
          <w:rFonts w:eastAsia="Calibri"/>
          <w:szCs w:val="24"/>
        </w:rPr>
        <w:t>Gérard</w:t>
      </w:r>
      <w:r w:rsidR="00A84B29">
        <w:rPr>
          <w:rFonts w:eastAsia="Calibri"/>
          <w:szCs w:val="24"/>
        </w:rPr>
        <w:t>a</w:t>
      </w:r>
      <w:r w:rsidR="00A84B29" w:rsidRPr="00A84B29">
        <w:rPr>
          <w:rFonts w:eastAsia="Calibri"/>
          <w:szCs w:val="24"/>
        </w:rPr>
        <w:t xml:space="preserve"> Genett</w:t>
      </w:r>
      <w:r w:rsidR="00A84B29">
        <w:rPr>
          <w:rFonts w:eastAsia="Calibri"/>
          <w:szCs w:val="24"/>
        </w:rPr>
        <w:t xml:space="preserve">a) </w:t>
      </w:r>
      <w:r w:rsidR="0072285A">
        <w:rPr>
          <w:rFonts w:eastAsia="Calibri"/>
          <w:szCs w:val="24"/>
        </w:rPr>
        <w:t>aspektech</w:t>
      </w:r>
      <w:r w:rsidR="00623A74">
        <w:rPr>
          <w:rFonts w:eastAsia="Calibri"/>
          <w:szCs w:val="24"/>
        </w:rPr>
        <w:t xml:space="preserve"> – mapách – a jejich využití ve zvolených dílech.</w:t>
      </w:r>
      <w:r w:rsidR="003A50EA">
        <w:rPr>
          <w:rFonts w:eastAsia="Calibri"/>
          <w:szCs w:val="24"/>
        </w:rPr>
        <w:t xml:space="preserve"> </w:t>
      </w:r>
      <w:r w:rsidR="00887776">
        <w:rPr>
          <w:rFonts w:eastAsia="Calibri"/>
          <w:szCs w:val="24"/>
        </w:rPr>
        <w:t xml:space="preserve">Čtvrtá kapitola představuje </w:t>
      </w:r>
      <w:r w:rsidR="007767B5">
        <w:rPr>
          <w:rFonts w:eastAsia="Calibri"/>
          <w:szCs w:val="24"/>
        </w:rPr>
        <w:t xml:space="preserve">analýzu </w:t>
      </w:r>
      <w:r w:rsidR="00144C3C">
        <w:rPr>
          <w:rFonts w:eastAsia="Calibri"/>
          <w:szCs w:val="24"/>
        </w:rPr>
        <w:t xml:space="preserve">ženských </w:t>
      </w:r>
      <w:r w:rsidR="007767B5">
        <w:rPr>
          <w:rFonts w:eastAsia="Calibri"/>
          <w:szCs w:val="24"/>
        </w:rPr>
        <w:t>postav</w:t>
      </w:r>
      <w:r w:rsidR="00144C3C">
        <w:rPr>
          <w:rFonts w:eastAsia="Calibri"/>
          <w:szCs w:val="24"/>
        </w:rPr>
        <w:t>.</w:t>
      </w:r>
      <w:r w:rsidR="00C26583">
        <w:rPr>
          <w:rFonts w:eastAsia="Calibri"/>
          <w:szCs w:val="24"/>
        </w:rPr>
        <w:t xml:space="preserve"> </w:t>
      </w:r>
      <w:r w:rsidR="00756C24">
        <w:rPr>
          <w:rFonts w:eastAsia="Calibri"/>
          <w:szCs w:val="24"/>
        </w:rPr>
        <w:t xml:space="preserve">Oceňuji, že </w:t>
      </w:r>
      <w:r w:rsidR="00E27B32">
        <w:rPr>
          <w:rFonts w:eastAsia="Calibri"/>
          <w:szCs w:val="24"/>
        </w:rPr>
        <w:t>při</w:t>
      </w:r>
      <w:r w:rsidR="00756C24">
        <w:rPr>
          <w:rFonts w:eastAsia="Calibri"/>
          <w:szCs w:val="24"/>
        </w:rPr>
        <w:t xml:space="preserve"> </w:t>
      </w:r>
      <w:r w:rsidR="00821718">
        <w:rPr>
          <w:rFonts w:eastAsia="Calibri"/>
          <w:szCs w:val="24"/>
        </w:rPr>
        <w:t xml:space="preserve">rozboru </w:t>
      </w:r>
      <w:r w:rsidR="00756C24">
        <w:rPr>
          <w:rFonts w:eastAsia="Calibri"/>
          <w:szCs w:val="24"/>
        </w:rPr>
        <w:t xml:space="preserve">současných děl, k nimž téměř neexistuje odborná sekundární literatura, </w:t>
      </w:r>
      <w:r w:rsidR="00E27B32">
        <w:rPr>
          <w:rFonts w:eastAsia="Calibri"/>
          <w:szCs w:val="24"/>
        </w:rPr>
        <w:t>se</w:t>
      </w:r>
      <w:r w:rsidR="00756C24">
        <w:rPr>
          <w:rFonts w:eastAsia="Calibri"/>
          <w:szCs w:val="24"/>
        </w:rPr>
        <w:t xml:space="preserve"> diplomantka </w:t>
      </w:r>
      <w:r w:rsidR="00F70C67">
        <w:rPr>
          <w:rFonts w:eastAsia="Calibri"/>
          <w:szCs w:val="24"/>
        </w:rPr>
        <w:t xml:space="preserve">vhodně </w:t>
      </w:r>
      <w:r w:rsidR="00E27B32">
        <w:rPr>
          <w:rFonts w:eastAsia="Calibri"/>
          <w:szCs w:val="24"/>
        </w:rPr>
        <w:t xml:space="preserve">opírá o zdroje </w:t>
      </w:r>
      <w:r w:rsidR="00112E99">
        <w:rPr>
          <w:rFonts w:eastAsia="Calibri"/>
          <w:szCs w:val="24"/>
        </w:rPr>
        <w:t>obecnější povahy</w:t>
      </w:r>
      <w:r w:rsidR="00F70C67">
        <w:rPr>
          <w:rFonts w:eastAsia="Calibri"/>
          <w:szCs w:val="24"/>
        </w:rPr>
        <w:t xml:space="preserve">. </w:t>
      </w:r>
      <w:r w:rsidR="009A38AF">
        <w:rPr>
          <w:rFonts w:eastAsia="Calibri"/>
          <w:szCs w:val="24"/>
        </w:rPr>
        <w:t xml:space="preserve">Rovněž </w:t>
      </w:r>
      <w:r w:rsidR="003E2536">
        <w:rPr>
          <w:rFonts w:eastAsia="Calibri"/>
          <w:szCs w:val="24"/>
        </w:rPr>
        <w:t xml:space="preserve">zajímavě ukazuje, v čem konkrétní postavy mohou oslovit své dospívající čtenáře a jak tedy může YA fantasy </w:t>
      </w:r>
      <w:r w:rsidR="00FD17CF">
        <w:rPr>
          <w:rFonts w:eastAsia="Calibri"/>
          <w:szCs w:val="24"/>
        </w:rPr>
        <w:t xml:space="preserve">plnit i jakousi terapeutickou funkci. </w:t>
      </w:r>
      <w:r w:rsidR="00EA0291">
        <w:rPr>
          <w:rFonts w:eastAsia="Calibri"/>
          <w:szCs w:val="24"/>
        </w:rPr>
        <w:t>Třetí a</w:t>
      </w:r>
      <w:r w:rsidR="00DE4073">
        <w:rPr>
          <w:rFonts w:eastAsia="Calibri"/>
          <w:szCs w:val="24"/>
        </w:rPr>
        <w:t xml:space="preserve"> čtvrtá kapitola </w:t>
      </w:r>
      <w:r w:rsidR="003D3D13">
        <w:rPr>
          <w:rFonts w:eastAsia="Calibri"/>
          <w:szCs w:val="24"/>
        </w:rPr>
        <w:t xml:space="preserve">přináší poměrně </w:t>
      </w:r>
      <w:r w:rsidR="00001CEC">
        <w:rPr>
          <w:rFonts w:eastAsia="Calibri"/>
          <w:szCs w:val="24"/>
        </w:rPr>
        <w:t>zdařil</w:t>
      </w:r>
      <w:r w:rsidR="003D3D13">
        <w:rPr>
          <w:rFonts w:eastAsia="Calibri"/>
          <w:szCs w:val="24"/>
        </w:rPr>
        <w:t>é</w:t>
      </w:r>
      <w:r w:rsidR="00001CEC">
        <w:rPr>
          <w:rFonts w:eastAsia="Calibri"/>
          <w:szCs w:val="24"/>
        </w:rPr>
        <w:t xml:space="preserve"> analýz</w:t>
      </w:r>
      <w:r w:rsidR="003D3D13">
        <w:rPr>
          <w:rFonts w:eastAsia="Calibri"/>
          <w:szCs w:val="24"/>
        </w:rPr>
        <w:t>y</w:t>
      </w:r>
      <w:r w:rsidR="00C273F3">
        <w:rPr>
          <w:rFonts w:eastAsia="Calibri"/>
          <w:szCs w:val="24"/>
        </w:rPr>
        <w:t>, obvykle přiměřeně opřené o ukázky z děl</w:t>
      </w:r>
      <w:r w:rsidR="00D102B9">
        <w:rPr>
          <w:rFonts w:eastAsia="Calibri"/>
          <w:szCs w:val="24"/>
        </w:rPr>
        <w:t>.</w:t>
      </w:r>
      <w:r w:rsidR="003D3D13">
        <w:rPr>
          <w:rFonts w:eastAsia="Calibri"/>
          <w:szCs w:val="24"/>
        </w:rPr>
        <w:t xml:space="preserve"> </w:t>
      </w:r>
      <w:r w:rsidR="00D102B9">
        <w:rPr>
          <w:rFonts w:eastAsia="Calibri"/>
          <w:szCs w:val="24"/>
        </w:rPr>
        <w:t>M</w:t>
      </w:r>
      <w:r w:rsidR="00B65B8D">
        <w:rPr>
          <w:rFonts w:eastAsia="Calibri"/>
          <w:szCs w:val="24"/>
        </w:rPr>
        <w:t xml:space="preserve">ísty je </w:t>
      </w:r>
      <w:r w:rsidR="00994F28">
        <w:rPr>
          <w:rFonts w:eastAsia="Calibri"/>
          <w:szCs w:val="24"/>
        </w:rPr>
        <w:t xml:space="preserve">však </w:t>
      </w:r>
      <w:r w:rsidR="00B65B8D">
        <w:rPr>
          <w:rFonts w:eastAsia="Calibri"/>
          <w:szCs w:val="24"/>
        </w:rPr>
        <w:t xml:space="preserve">text nepřehledný a hlavní linie </w:t>
      </w:r>
      <w:r w:rsidR="00F9014E">
        <w:rPr>
          <w:rFonts w:eastAsia="Calibri"/>
          <w:szCs w:val="24"/>
        </w:rPr>
        <w:t>argumentu se v něm ztrácí</w:t>
      </w:r>
      <w:r w:rsidR="001950A5">
        <w:rPr>
          <w:rFonts w:eastAsia="Calibri"/>
          <w:szCs w:val="24"/>
        </w:rPr>
        <w:t xml:space="preserve">. To </w:t>
      </w:r>
      <w:r w:rsidR="00F9014E">
        <w:rPr>
          <w:rFonts w:eastAsia="Calibri"/>
          <w:szCs w:val="24"/>
        </w:rPr>
        <w:t>je v některých částech způsobeno rozsahem primárního materiálu</w:t>
      </w:r>
      <w:r w:rsidR="006255CD">
        <w:rPr>
          <w:rFonts w:eastAsia="Calibri"/>
          <w:szCs w:val="24"/>
        </w:rPr>
        <w:t xml:space="preserve">, </w:t>
      </w:r>
      <w:r w:rsidR="001950A5">
        <w:rPr>
          <w:rFonts w:eastAsia="Calibri"/>
          <w:szCs w:val="24"/>
        </w:rPr>
        <w:t xml:space="preserve">složitostí fantazijních světů, které se ne vždy </w:t>
      </w:r>
      <w:r w:rsidR="00256F78">
        <w:rPr>
          <w:rFonts w:eastAsia="Calibri"/>
          <w:szCs w:val="24"/>
        </w:rPr>
        <w:t xml:space="preserve">diplomantce </w:t>
      </w:r>
      <w:r w:rsidR="001950A5">
        <w:rPr>
          <w:rFonts w:eastAsia="Calibri"/>
          <w:szCs w:val="24"/>
        </w:rPr>
        <w:t>daří představit ve srozumitelné zkratce</w:t>
      </w:r>
      <w:r w:rsidR="006255CD">
        <w:rPr>
          <w:rFonts w:eastAsia="Calibri"/>
          <w:szCs w:val="24"/>
        </w:rPr>
        <w:t xml:space="preserve">, a po formální stránce rovněž nedostatečným členěním textu do odstavců. </w:t>
      </w:r>
    </w:p>
    <w:p w14:paraId="397C6847" w14:textId="586C67D7" w:rsidR="007E50F3" w:rsidRDefault="00DE4073" w:rsidP="00D64FF4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Celkově práce prokazuje studentčinu schopnost práce s literárním textem a kritické práce s teoretickými zdroji. </w:t>
      </w:r>
      <w:r w:rsidR="008A17F1">
        <w:rPr>
          <w:rFonts w:eastAsia="Calibri"/>
          <w:szCs w:val="24"/>
        </w:rPr>
        <w:t xml:space="preserve">V práci mohly být jasněji a jednoznačněji formulovány </w:t>
      </w:r>
      <w:r w:rsidR="004D24AF">
        <w:rPr>
          <w:rFonts w:eastAsia="Calibri"/>
          <w:szCs w:val="24"/>
        </w:rPr>
        <w:t>otázky a cíle a argumentace s nimi pevněji propojena</w:t>
      </w:r>
      <w:r w:rsidR="007E50F3">
        <w:rPr>
          <w:rFonts w:eastAsia="Calibri"/>
          <w:szCs w:val="24"/>
        </w:rPr>
        <w:t xml:space="preserve">. Závěry by tak byly ještě přesvědčivější. </w:t>
      </w:r>
      <w:r w:rsidR="006A12BC">
        <w:rPr>
          <w:rFonts w:eastAsia="Calibri"/>
          <w:szCs w:val="24"/>
        </w:rPr>
        <w:t xml:space="preserve">Jazyková stránka práce je </w:t>
      </w:r>
      <w:r w:rsidR="006F51F6">
        <w:rPr>
          <w:rFonts w:eastAsia="Calibri"/>
          <w:szCs w:val="24"/>
        </w:rPr>
        <w:t>adekvátní, jazykové chyby</w:t>
      </w:r>
      <w:r w:rsidR="006255CD">
        <w:rPr>
          <w:rFonts w:eastAsia="Calibri"/>
          <w:szCs w:val="24"/>
        </w:rPr>
        <w:t xml:space="preserve"> </w:t>
      </w:r>
      <w:r w:rsidR="006F51F6">
        <w:rPr>
          <w:rFonts w:eastAsia="Calibri"/>
          <w:szCs w:val="24"/>
        </w:rPr>
        <w:t xml:space="preserve">a stylistické neobratnosti se vyskytují v míře nijak nenarušující </w:t>
      </w:r>
      <w:r w:rsidR="00E02EE5">
        <w:rPr>
          <w:rFonts w:eastAsia="Calibri"/>
          <w:szCs w:val="24"/>
        </w:rPr>
        <w:t xml:space="preserve">srozumitelnost a plynulost textu (zavádějící je např. užívání „act“ pro </w:t>
      </w:r>
      <w:r w:rsidR="00935EC3">
        <w:rPr>
          <w:rFonts w:eastAsia="Calibri"/>
          <w:szCs w:val="24"/>
        </w:rPr>
        <w:t>díl, „volume“)</w:t>
      </w:r>
      <w:r w:rsidR="00E02EE5">
        <w:rPr>
          <w:rFonts w:eastAsia="Calibri"/>
          <w:szCs w:val="24"/>
        </w:rPr>
        <w:t>.</w:t>
      </w:r>
      <w:r w:rsidR="00935EC3">
        <w:rPr>
          <w:rFonts w:eastAsia="Calibri"/>
          <w:szCs w:val="24"/>
        </w:rPr>
        <w:t xml:space="preserve"> </w:t>
      </w:r>
      <w:r w:rsidR="00B06E9D">
        <w:rPr>
          <w:rFonts w:eastAsia="Calibri"/>
          <w:szCs w:val="24"/>
        </w:rPr>
        <w:t>Důkladnější jazykovou redakci by si zasloužilo české resumé (</w:t>
      </w:r>
      <w:r w:rsidR="00AC628C">
        <w:rPr>
          <w:rFonts w:eastAsia="Calibri"/>
          <w:szCs w:val="24"/>
        </w:rPr>
        <w:t xml:space="preserve">aby se odstranilo např. </w:t>
      </w:r>
      <w:r w:rsidR="00B06E9D">
        <w:rPr>
          <w:rFonts w:eastAsia="Calibri"/>
          <w:szCs w:val="24"/>
        </w:rPr>
        <w:t>nadbytečné užívání ukazovacích zájmen</w:t>
      </w:r>
      <w:r w:rsidR="00AC628C">
        <w:rPr>
          <w:rFonts w:eastAsia="Calibri"/>
          <w:szCs w:val="24"/>
        </w:rPr>
        <w:t xml:space="preserve"> a pasivních konstrukcí</w:t>
      </w:r>
      <w:r w:rsidR="00B06E9D">
        <w:rPr>
          <w:rFonts w:eastAsia="Calibri"/>
          <w:szCs w:val="24"/>
        </w:rPr>
        <w:t>)</w:t>
      </w:r>
      <w:r w:rsidR="00AC628C">
        <w:rPr>
          <w:rFonts w:eastAsia="Calibri"/>
          <w:szCs w:val="24"/>
        </w:rPr>
        <w:t xml:space="preserve">. </w:t>
      </w:r>
      <w:r w:rsidR="008D3DE8">
        <w:rPr>
          <w:rFonts w:eastAsia="Calibri"/>
          <w:szCs w:val="24"/>
        </w:rPr>
        <w:t>Z hlediska formální</w:t>
      </w:r>
      <w:r w:rsidR="00903537">
        <w:rPr>
          <w:rFonts w:eastAsia="Calibri"/>
          <w:szCs w:val="24"/>
        </w:rPr>
        <w:t>ho</w:t>
      </w:r>
      <w:r w:rsidR="008D3DE8">
        <w:rPr>
          <w:rFonts w:eastAsia="Calibri"/>
          <w:szCs w:val="24"/>
        </w:rPr>
        <w:t xml:space="preserve"> </w:t>
      </w:r>
      <w:r w:rsidR="008D3DE8">
        <w:rPr>
          <w:rFonts w:eastAsia="Calibri"/>
          <w:szCs w:val="24"/>
        </w:rPr>
        <w:lastRenderedPageBreak/>
        <w:t>je prá</w:t>
      </w:r>
      <w:r w:rsidR="00903537">
        <w:rPr>
          <w:rFonts w:eastAsia="Calibri"/>
          <w:szCs w:val="24"/>
        </w:rPr>
        <w:t>ce</w:t>
      </w:r>
      <w:r w:rsidR="008D3DE8">
        <w:rPr>
          <w:rFonts w:eastAsia="Calibri"/>
          <w:szCs w:val="24"/>
        </w:rPr>
        <w:t xml:space="preserve"> rovněž na adekvátní úrovni, k drobným nedostatkům </w:t>
      </w:r>
      <w:r w:rsidR="00D64FF4">
        <w:rPr>
          <w:rFonts w:eastAsia="Calibri"/>
          <w:szCs w:val="24"/>
        </w:rPr>
        <w:t>p</w:t>
      </w:r>
      <w:r w:rsidR="008D3DE8">
        <w:rPr>
          <w:rFonts w:eastAsia="Calibri"/>
          <w:szCs w:val="24"/>
        </w:rPr>
        <w:t xml:space="preserve">atří </w:t>
      </w:r>
      <w:r w:rsidR="00D64FF4">
        <w:rPr>
          <w:rFonts w:eastAsia="Calibri"/>
          <w:szCs w:val="24"/>
        </w:rPr>
        <w:t>např. chybějící bibliografický údaj u</w:t>
      </w:r>
      <w:r w:rsidR="004F25B1">
        <w:rPr>
          <w:rFonts w:eastAsia="Calibri"/>
          <w:szCs w:val="24"/>
        </w:rPr>
        <w:t xml:space="preserve"> </w:t>
      </w:r>
      <w:r w:rsidR="000725D4">
        <w:rPr>
          <w:rFonts w:eastAsia="Calibri"/>
          <w:szCs w:val="24"/>
        </w:rPr>
        <w:t>zdroje</w:t>
      </w:r>
      <w:r w:rsidR="004F25B1">
        <w:rPr>
          <w:rFonts w:eastAsia="Calibri"/>
          <w:szCs w:val="24"/>
        </w:rPr>
        <w:t xml:space="preserve"> </w:t>
      </w:r>
      <w:r w:rsidR="007429A9">
        <w:rPr>
          <w:rFonts w:eastAsia="Calibri"/>
          <w:szCs w:val="24"/>
        </w:rPr>
        <w:t xml:space="preserve">Gates, </w:t>
      </w:r>
      <w:r w:rsidR="004F25B1">
        <w:rPr>
          <w:rFonts w:eastAsia="Calibri"/>
          <w:szCs w:val="24"/>
        </w:rPr>
        <w:t>Pamela</w:t>
      </w:r>
      <w:r w:rsidR="00D64FF4">
        <w:rPr>
          <w:rFonts w:eastAsia="Calibri"/>
          <w:szCs w:val="24"/>
        </w:rPr>
        <w:t>.</w:t>
      </w:r>
      <w:r w:rsidR="007E50F3">
        <w:rPr>
          <w:rFonts w:eastAsia="Calibri"/>
          <w:szCs w:val="24"/>
        </w:rPr>
        <w:t xml:space="preserve"> </w:t>
      </w:r>
    </w:p>
    <w:p w14:paraId="5E85E6E4" w14:textId="77777777" w:rsidR="00A90237" w:rsidRDefault="007E50F3" w:rsidP="00D64FF4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I přes zmíněné nedostatky pokládám diplomovou práci Kateřiny Kuntové za </w:t>
      </w:r>
      <w:r w:rsidR="00A90237">
        <w:rPr>
          <w:rFonts w:eastAsia="Calibri"/>
          <w:szCs w:val="24"/>
        </w:rPr>
        <w:t>kvalitní</w:t>
      </w:r>
      <w:r>
        <w:rPr>
          <w:rFonts w:eastAsia="Calibri"/>
          <w:szCs w:val="24"/>
        </w:rPr>
        <w:t xml:space="preserve"> a přínosnou, plně ji doporučuji k </w:t>
      </w:r>
      <w:r w:rsidR="00A90237">
        <w:rPr>
          <w:rFonts w:eastAsia="Calibri"/>
          <w:szCs w:val="24"/>
        </w:rPr>
        <w:t>obhajobě</w:t>
      </w:r>
      <w:r>
        <w:rPr>
          <w:rFonts w:eastAsia="Calibri"/>
          <w:szCs w:val="24"/>
        </w:rPr>
        <w:t xml:space="preserve"> a navrhuji </w:t>
      </w:r>
      <w:r w:rsidR="00A90237">
        <w:rPr>
          <w:rFonts w:eastAsia="Calibri"/>
          <w:szCs w:val="24"/>
        </w:rPr>
        <w:t xml:space="preserve">ji </w:t>
      </w:r>
      <w:r>
        <w:rPr>
          <w:rFonts w:eastAsia="Calibri"/>
          <w:szCs w:val="24"/>
        </w:rPr>
        <w:t>hodno</w:t>
      </w:r>
      <w:r w:rsidR="00A90237">
        <w:rPr>
          <w:rFonts w:eastAsia="Calibri"/>
          <w:szCs w:val="24"/>
        </w:rPr>
        <w:t>tit jako velmi dobrou.</w:t>
      </w:r>
    </w:p>
    <w:p w14:paraId="2568B1C4" w14:textId="77777777" w:rsidR="00A90237" w:rsidRDefault="00A90237" w:rsidP="00D64FF4">
      <w:pPr>
        <w:ind w:firstLine="708"/>
        <w:rPr>
          <w:rFonts w:eastAsia="Calibri"/>
          <w:szCs w:val="24"/>
        </w:rPr>
      </w:pPr>
    </w:p>
    <w:p w14:paraId="475089BD" w14:textId="51F7AB05" w:rsidR="001F4B2B" w:rsidRDefault="007E50F3" w:rsidP="00D64FF4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  </w:t>
      </w:r>
      <w:r w:rsidR="00D64FF4">
        <w:rPr>
          <w:rFonts w:eastAsia="Calibri"/>
          <w:szCs w:val="24"/>
        </w:rPr>
        <w:t xml:space="preserve"> </w:t>
      </w:r>
    </w:p>
    <w:p w14:paraId="513F880B" w14:textId="3C78629A" w:rsidR="00904E14" w:rsidRPr="00035074" w:rsidRDefault="00904E14" w:rsidP="00904E14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A90237">
        <w:rPr>
          <w:rFonts w:eastAsia="Calibri"/>
          <w:szCs w:val="24"/>
        </w:rPr>
        <w:t>C</w:t>
      </w:r>
    </w:p>
    <w:p w14:paraId="0D52E272" w14:textId="77777777" w:rsidR="00904E14" w:rsidRDefault="00904E14" w:rsidP="00904E14">
      <w:pPr>
        <w:spacing w:line="271" w:lineRule="auto"/>
        <w:rPr>
          <w:rFonts w:eastAsia="Times New Roman"/>
          <w:lang w:eastAsia="cs-CZ"/>
        </w:rPr>
      </w:pPr>
    </w:p>
    <w:p w14:paraId="3FC5D7BA" w14:textId="77777777" w:rsidR="00904E14" w:rsidRPr="00F36B4F" w:rsidRDefault="00904E14" w:rsidP="00904E14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b/>
          <w:bCs/>
          <w:lang w:eastAsia="cs-CZ"/>
        </w:rPr>
        <w:t>Podněty</w:t>
      </w:r>
      <w:r w:rsidRPr="00E43140">
        <w:rPr>
          <w:rFonts w:eastAsia="Times New Roman"/>
          <w:b/>
          <w:bCs/>
          <w:lang w:eastAsia="cs-CZ"/>
        </w:rPr>
        <w:t xml:space="preserve"> k obhajobě</w:t>
      </w:r>
      <w:r>
        <w:rPr>
          <w:rFonts w:eastAsia="Times New Roman"/>
          <w:lang w:eastAsia="cs-CZ"/>
        </w:rPr>
        <w:t xml:space="preserve">: </w:t>
      </w:r>
    </w:p>
    <w:p w14:paraId="121EC30C" w14:textId="77777777" w:rsidR="00A90237" w:rsidRDefault="00A90237" w:rsidP="00BC5B34">
      <w:pPr>
        <w:rPr>
          <w:lang w:val="en-US"/>
        </w:rPr>
      </w:pPr>
    </w:p>
    <w:p w14:paraId="70D8E419" w14:textId="09A466E0" w:rsidR="00A90237" w:rsidRDefault="00A90237" w:rsidP="00A90237">
      <w:pPr>
        <w:pStyle w:val="Odstavecseseznamem"/>
        <w:numPr>
          <w:ilvl w:val="0"/>
          <w:numId w:val="1"/>
        </w:numPr>
        <w:rPr>
          <w:lang w:val="en-US"/>
        </w:rPr>
      </w:pPr>
      <w:r>
        <w:rPr>
          <w:lang w:val="en-US"/>
        </w:rPr>
        <w:t>How would you formulate your findings (conclusions) in a sentence or two?</w:t>
      </w:r>
    </w:p>
    <w:p w14:paraId="42A1FAC4" w14:textId="77777777" w:rsidR="00322F2A" w:rsidRPr="00322F2A" w:rsidRDefault="00322F2A" w:rsidP="00322F2A">
      <w:pPr>
        <w:rPr>
          <w:lang w:val="en-US"/>
        </w:rPr>
      </w:pPr>
    </w:p>
    <w:p w14:paraId="6B8C92BE" w14:textId="71CF6F5A" w:rsidR="00BC5B34" w:rsidRDefault="00BC5B34" w:rsidP="008C0754">
      <w:pPr>
        <w:pStyle w:val="Odstavecseseznamem"/>
        <w:numPr>
          <w:ilvl w:val="0"/>
          <w:numId w:val="1"/>
        </w:numPr>
        <w:rPr>
          <w:lang w:val="en-US"/>
        </w:rPr>
      </w:pPr>
      <w:r w:rsidRPr="00A90237">
        <w:rPr>
          <w:lang w:val="en-US"/>
        </w:rPr>
        <w:t xml:space="preserve">Reviewers often mention that </w:t>
      </w:r>
      <w:r w:rsidRPr="00A90237">
        <w:rPr>
          <w:i/>
          <w:iCs/>
          <w:lang w:val="en-US"/>
        </w:rPr>
        <w:t>The Final Strife</w:t>
      </w:r>
      <w:r w:rsidRPr="00A90237">
        <w:rPr>
          <w:lang w:val="en-US"/>
        </w:rPr>
        <w:t xml:space="preserve"> is inspired by Ghanaian and Arabic folklore—do you think this completely different cultural background is more of a challenge or an enrichment for readers from our cultural</w:t>
      </w:r>
      <w:r w:rsidR="00A90237" w:rsidRPr="00A90237">
        <w:rPr>
          <w:lang w:val="en-US"/>
        </w:rPr>
        <w:t xml:space="preserve"> </w:t>
      </w:r>
      <w:r w:rsidRPr="00A90237">
        <w:rPr>
          <w:lang w:val="en-US"/>
        </w:rPr>
        <w:t>circle?</w:t>
      </w:r>
    </w:p>
    <w:p w14:paraId="70816666" w14:textId="77777777" w:rsidR="00A31C91" w:rsidRDefault="00A31C91" w:rsidP="00A31C91">
      <w:pPr>
        <w:rPr>
          <w:lang w:val="en-US"/>
        </w:rPr>
      </w:pPr>
    </w:p>
    <w:p w14:paraId="6708BFE1" w14:textId="77777777" w:rsidR="00A31C91" w:rsidRDefault="00A31C91" w:rsidP="00A31C91">
      <w:pPr>
        <w:rPr>
          <w:lang w:val="en-US"/>
        </w:rPr>
      </w:pPr>
    </w:p>
    <w:p w14:paraId="43012615" w14:textId="77777777" w:rsidR="00A31C91" w:rsidRDefault="00A31C91" w:rsidP="00A31C91">
      <w:pPr>
        <w:rPr>
          <w:lang w:val="en-US"/>
        </w:rPr>
      </w:pPr>
    </w:p>
    <w:p w14:paraId="67426B95" w14:textId="77777777" w:rsidR="00322F2A" w:rsidRDefault="00322F2A" w:rsidP="00A31C91">
      <w:pPr>
        <w:rPr>
          <w:lang w:val="en-US"/>
        </w:rPr>
      </w:pPr>
    </w:p>
    <w:p w14:paraId="253604F1" w14:textId="77777777" w:rsidR="00322F2A" w:rsidRDefault="00322F2A" w:rsidP="00A31C91">
      <w:pPr>
        <w:rPr>
          <w:lang w:val="en-US"/>
        </w:rPr>
      </w:pPr>
    </w:p>
    <w:p w14:paraId="539F3C00" w14:textId="77777777" w:rsidR="00322F2A" w:rsidRDefault="00322F2A" w:rsidP="00A31C91">
      <w:pPr>
        <w:rPr>
          <w:lang w:val="en-US"/>
        </w:rPr>
      </w:pPr>
    </w:p>
    <w:p w14:paraId="1C75C085" w14:textId="77777777" w:rsidR="00A31C91" w:rsidRDefault="00A31C91" w:rsidP="00A31C91">
      <w:pPr>
        <w:rPr>
          <w:lang w:val="en-US"/>
        </w:rPr>
      </w:pPr>
    </w:p>
    <w:p w14:paraId="059A8DD7" w14:textId="77777777" w:rsidR="00A31C91" w:rsidRPr="00035074" w:rsidRDefault="00A31C91" w:rsidP="00A31C91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15401EF7" w14:textId="77777777" w:rsidR="00A31C91" w:rsidRPr="00035074" w:rsidRDefault="00A31C91" w:rsidP="00A31C91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Vedoucí práce</w:t>
      </w:r>
    </w:p>
    <w:p w14:paraId="57F0A380" w14:textId="77777777" w:rsidR="00A31C91" w:rsidRPr="00035074" w:rsidRDefault="00A31C91" w:rsidP="00A31C91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45BD4110" w14:textId="77777777" w:rsidR="00A31C91" w:rsidRPr="00035074" w:rsidRDefault="00A31C91" w:rsidP="00A31C91">
      <w:pPr>
        <w:spacing w:line="271" w:lineRule="auto"/>
        <w:jc w:val="right"/>
        <w:rPr>
          <w:rFonts w:eastAsia="Times New Roman"/>
          <w:lang w:eastAsia="cs-CZ"/>
        </w:rPr>
      </w:pPr>
    </w:p>
    <w:p w14:paraId="0875DB4E" w14:textId="54F51D08" w:rsidR="00A31C91" w:rsidRPr="00E667ED" w:rsidRDefault="00A31C91" w:rsidP="00A31C91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>
        <w:rPr>
          <w:rFonts w:eastAsia="Times New Roman"/>
          <w:lang w:eastAsia="cs-CZ"/>
        </w:rPr>
        <w:t>1</w:t>
      </w:r>
      <w:r w:rsidR="00322F2A">
        <w:rPr>
          <w:rFonts w:eastAsia="Times New Roman"/>
          <w:lang w:eastAsia="cs-CZ"/>
        </w:rPr>
        <w:t>2</w:t>
      </w:r>
      <w:r>
        <w:rPr>
          <w:rFonts w:eastAsia="Times New Roman"/>
          <w:lang w:eastAsia="cs-CZ"/>
        </w:rPr>
        <w:t>.</w:t>
      </w:r>
      <w:r w:rsidRPr="00035074">
        <w:rPr>
          <w:rFonts w:eastAsia="Times New Roman"/>
          <w:lang w:eastAsia="cs-CZ"/>
        </w:rPr>
        <w:t xml:space="preserve"> </w:t>
      </w:r>
      <w:r>
        <w:rPr>
          <w:rFonts w:eastAsia="Times New Roman"/>
          <w:lang w:eastAsia="cs-CZ"/>
        </w:rPr>
        <w:t>května</w:t>
      </w:r>
      <w:r w:rsidRPr="00035074">
        <w:rPr>
          <w:rFonts w:eastAsia="Times New Roman"/>
          <w:lang w:eastAsia="cs-CZ"/>
        </w:rPr>
        <w:t xml:space="preserve"> 202</w:t>
      </w:r>
      <w:r>
        <w:rPr>
          <w:rFonts w:eastAsia="Times New Roman"/>
          <w:lang w:eastAsia="cs-CZ"/>
        </w:rPr>
        <w:t>5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p w14:paraId="59B165C8" w14:textId="77777777" w:rsidR="00A31C91" w:rsidRPr="00A31C91" w:rsidRDefault="00A31C91" w:rsidP="00A31C91">
      <w:pPr>
        <w:rPr>
          <w:lang w:val="en-US"/>
        </w:rPr>
      </w:pPr>
    </w:p>
    <w:sectPr w:rsidR="00A31C91" w:rsidRPr="00A31C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5E4375"/>
    <w:multiLevelType w:val="hybridMultilevel"/>
    <w:tmpl w:val="0AFEF9F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9288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F98"/>
    <w:rsid w:val="00001CEC"/>
    <w:rsid w:val="00021795"/>
    <w:rsid w:val="00046263"/>
    <w:rsid w:val="000725D4"/>
    <w:rsid w:val="000A01CC"/>
    <w:rsid w:val="000A2158"/>
    <w:rsid w:val="000F27EF"/>
    <w:rsid w:val="00112E99"/>
    <w:rsid w:val="00113B21"/>
    <w:rsid w:val="00144C3C"/>
    <w:rsid w:val="00147930"/>
    <w:rsid w:val="00151966"/>
    <w:rsid w:val="00153E3B"/>
    <w:rsid w:val="00156A1B"/>
    <w:rsid w:val="001634B2"/>
    <w:rsid w:val="001950A5"/>
    <w:rsid w:val="001B2F9F"/>
    <w:rsid w:val="001D15F9"/>
    <w:rsid w:val="001F4B2B"/>
    <w:rsid w:val="00246E6B"/>
    <w:rsid w:val="00252464"/>
    <w:rsid w:val="00256F78"/>
    <w:rsid w:val="00264665"/>
    <w:rsid w:val="00294512"/>
    <w:rsid w:val="002A4680"/>
    <w:rsid w:val="002A555B"/>
    <w:rsid w:val="002B05AC"/>
    <w:rsid w:val="002E31DD"/>
    <w:rsid w:val="002E7E13"/>
    <w:rsid w:val="00306C4E"/>
    <w:rsid w:val="00322F2A"/>
    <w:rsid w:val="003507CE"/>
    <w:rsid w:val="003621C3"/>
    <w:rsid w:val="00393526"/>
    <w:rsid w:val="00395D42"/>
    <w:rsid w:val="003A50EA"/>
    <w:rsid w:val="003B0A02"/>
    <w:rsid w:val="003D3D13"/>
    <w:rsid w:val="003E2536"/>
    <w:rsid w:val="00407059"/>
    <w:rsid w:val="004404AC"/>
    <w:rsid w:val="00460FF6"/>
    <w:rsid w:val="004B2EA6"/>
    <w:rsid w:val="004D24AF"/>
    <w:rsid w:val="004F25B1"/>
    <w:rsid w:val="004F7D32"/>
    <w:rsid w:val="00512EF0"/>
    <w:rsid w:val="0056730C"/>
    <w:rsid w:val="00591296"/>
    <w:rsid w:val="005A0E22"/>
    <w:rsid w:val="00623A74"/>
    <w:rsid w:val="006255CD"/>
    <w:rsid w:val="00694E5B"/>
    <w:rsid w:val="006A12BC"/>
    <w:rsid w:val="006B783B"/>
    <w:rsid w:val="006F51F6"/>
    <w:rsid w:val="0072285A"/>
    <w:rsid w:val="0073522B"/>
    <w:rsid w:val="00740C79"/>
    <w:rsid w:val="007429A9"/>
    <w:rsid w:val="00756C24"/>
    <w:rsid w:val="007767B5"/>
    <w:rsid w:val="007D30D0"/>
    <w:rsid w:val="007E50F3"/>
    <w:rsid w:val="00821718"/>
    <w:rsid w:val="008441BF"/>
    <w:rsid w:val="00852772"/>
    <w:rsid w:val="008553BA"/>
    <w:rsid w:val="0085672B"/>
    <w:rsid w:val="00887776"/>
    <w:rsid w:val="008A17F1"/>
    <w:rsid w:val="008C0B6E"/>
    <w:rsid w:val="008D3DE8"/>
    <w:rsid w:val="00903537"/>
    <w:rsid w:val="00904E14"/>
    <w:rsid w:val="00915599"/>
    <w:rsid w:val="00924509"/>
    <w:rsid w:val="00934578"/>
    <w:rsid w:val="00935EC3"/>
    <w:rsid w:val="00952B1D"/>
    <w:rsid w:val="0097591C"/>
    <w:rsid w:val="00992075"/>
    <w:rsid w:val="00994F28"/>
    <w:rsid w:val="009A38AF"/>
    <w:rsid w:val="009A4C3A"/>
    <w:rsid w:val="009E79E1"/>
    <w:rsid w:val="009F001A"/>
    <w:rsid w:val="00A31C91"/>
    <w:rsid w:val="00A35E29"/>
    <w:rsid w:val="00A44959"/>
    <w:rsid w:val="00A84B29"/>
    <w:rsid w:val="00A90237"/>
    <w:rsid w:val="00AB151A"/>
    <w:rsid w:val="00AC628C"/>
    <w:rsid w:val="00AE4212"/>
    <w:rsid w:val="00B06E9D"/>
    <w:rsid w:val="00B443B6"/>
    <w:rsid w:val="00B65B8D"/>
    <w:rsid w:val="00BC5B34"/>
    <w:rsid w:val="00BF3F98"/>
    <w:rsid w:val="00C0013A"/>
    <w:rsid w:val="00C022D8"/>
    <w:rsid w:val="00C26583"/>
    <w:rsid w:val="00C273F3"/>
    <w:rsid w:val="00CD4225"/>
    <w:rsid w:val="00D00F5E"/>
    <w:rsid w:val="00D102B9"/>
    <w:rsid w:val="00D140B5"/>
    <w:rsid w:val="00D2197C"/>
    <w:rsid w:val="00D3188F"/>
    <w:rsid w:val="00D42817"/>
    <w:rsid w:val="00D605AE"/>
    <w:rsid w:val="00D64D61"/>
    <w:rsid w:val="00D64FF4"/>
    <w:rsid w:val="00D65A08"/>
    <w:rsid w:val="00D70623"/>
    <w:rsid w:val="00DB36D4"/>
    <w:rsid w:val="00DB3866"/>
    <w:rsid w:val="00DE4073"/>
    <w:rsid w:val="00DE6A7E"/>
    <w:rsid w:val="00E02EE5"/>
    <w:rsid w:val="00E05949"/>
    <w:rsid w:val="00E2738C"/>
    <w:rsid w:val="00E27B32"/>
    <w:rsid w:val="00E9790F"/>
    <w:rsid w:val="00EA0291"/>
    <w:rsid w:val="00F32787"/>
    <w:rsid w:val="00F34D57"/>
    <w:rsid w:val="00F35A91"/>
    <w:rsid w:val="00F51843"/>
    <w:rsid w:val="00F70C67"/>
    <w:rsid w:val="00F9014E"/>
    <w:rsid w:val="00FA7650"/>
    <w:rsid w:val="00FD17CF"/>
    <w:rsid w:val="00FF6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2D46C9"/>
  <w15:chartTrackingRefBased/>
  <w15:docId w15:val="{3EDABE30-9C1C-42EC-8FC9-49C712FBA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lang w:val="cs-CZ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B2EA6"/>
    <w:rPr>
      <w:kern w:val="0"/>
      <w:sz w:val="24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BF3F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F3F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F3F9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F3F9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F3F9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F3F9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F3F9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F3F9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F3F9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F3F98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F3F9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F3F98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F3F98"/>
    <w:rPr>
      <w:rFonts w:asciiTheme="minorHAnsi" w:eastAsiaTheme="majorEastAsia" w:hAnsiTheme="minorHAnsi" w:cstheme="majorBidi"/>
      <w:i/>
      <w:iCs/>
      <w:color w:val="2E74B5" w:themeColor="accent1" w:themeShade="BF"/>
      <w:sz w:val="24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F3F98"/>
    <w:rPr>
      <w:rFonts w:asciiTheme="minorHAnsi" w:eastAsiaTheme="majorEastAsia" w:hAnsiTheme="minorHAnsi" w:cstheme="majorBidi"/>
      <w:color w:val="2E74B5" w:themeColor="accent1" w:themeShade="BF"/>
      <w:sz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F3F98"/>
    <w:rPr>
      <w:rFonts w:asciiTheme="minorHAnsi" w:eastAsiaTheme="majorEastAsia" w:hAnsiTheme="minorHAnsi" w:cstheme="majorBidi"/>
      <w:i/>
      <w:iCs/>
      <w:color w:val="595959" w:themeColor="text1" w:themeTint="A6"/>
      <w:sz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F3F98"/>
    <w:rPr>
      <w:rFonts w:asciiTheme="minorHAnsi" w:eastAsiaTheme="majorEastAsia" w:hAnsiTheme="minorHAnsi" w:cstheme="majorBidi"/>
      <w:color w:val="595959" w:themeColor="text1" w:themeTint="A6"/>
      <w:sz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F3F98"/>
    <w:rPr>
      <w:rFonts w:asciiTheme="minorHAnsi" w:eastAsiaTheme="majorEastAsia" w:hAnsiTheme="minorHAnsi" w:cstheme="majorBidi"/>
      <w:i/>
      <w:iCs/>
      <w:color w:val="272727" w:themeColor="text1" w:themeTint="D8"/>
      <w:sz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F3F98"/>
    <w:rPr>
      <w:rFonts w:asciiTheme="minorHAnsi" w:eastAsiaTheme="majorEastAsia" w:hAnsiTheme="minorHAnsi" w:cstheme="majorBidi"/>
      <w:color w:val="272727" w:themeColor="text1" w:themeTint="D8"/>
      <w:sz w:val="24"/>
    </w:rPr>
  </w:style>
  <w:style w:type="paragraph" w:styleId="Nzev">
    <w:name w:val="Title"/>
    <w:basedOn w:val="Normln"/>
    <w:next w:val="Normln"/>
    <w:link w:val="NzevChar"/>
    <w:uiPriority w:val="10"/>
    <w:qFormat/>
    <w:rsid w:val="00BF3F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F3F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F3F9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F3F98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F3F9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F3F98"/>
    <w:rPr>
      <w:i/>
      <w:iCs/>
      <w:color w:val="404040" w:themeColor="text1" w:themeTint="BF"/>
      <w:sz w:val="24"/>
    </w:rPr>
  </w:style>
  <w:style w:type="paragraph" w:styleId="Odstavecseseznamem">
    <w:name w:val="List Paragraph"/>
    <w:basedOn w:val="Normln"/>
    <w:uiPriority w:val="34"/>
    <w:qFormat/>
    <w:rsid w:val="00BF3F98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F3F98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F3F98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F3F98"/>
    <w:rPr>
      <w:i/>
      <w:iCs/>
      <w:color w:val="2E74B5" w:themeColor="accent1" w:themeShade="BF"/>
      <w:sz w:val="24"/>
    </w:rPr>
  </w:style>
  <w:style w:type="character" w:styleId="Odkazintenzivn">
    <w:name w:val="Intense Reference"/>
    <w:basedOn w:val="Standardnpsmoodstavce"/>
    <w:uiPriority w:val="32"/>
    <w:qFormat/>
    <w:rsid w:val="00BF3F98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476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3DB0F8AC-D54D-45DC-AEBE-9DFF62427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2</Pages>
  <Words>615</Words>
  <Characters>3637</Characters>
  <Application>Microsoft Office Word</Application>
  <DocSecurity>0</DocSecurity>
  <Lines>68</Lines>
  <Paragraphs>20</Paragraphs>
  <ScaleCrop>false</ScaleCrop>
  <Company/>
  <LinksUpToDate>false</LinksUpToDate>
  <CharactersWithSpaces>4232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129</cp:revision>
  <dcterms:created xsi:type="dcterms:W3CDTF">2025-05-07T19:26:00Z</dcterms:created>
  <dcterms:modified xsi:type="dcterms:W3CDTF">2025-05-12T12:44:00Z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0a2c0edb-b46c-42e8-b2db-2e8cd9c52124</vt:lpwstr>
  </property>
</Properties>
</file>