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C201CA" w14:textId="694F2EEA" w:rsidR="00C43A88" w:rsidRDefault="00C43A88" w:rsidP="007948C5">
      <w:pPr>
        <w:pStyle w:val="Default"/>
        <w:rPr>
          <w:color w:val="000000" w:themeColor="text1"/>
        </w:rPr>
      </w:pPr>
      <w:r>
        <w:rPr>
          <w:color w:val="000000" w:themeColor="text1"/>
        </w:rPr>
        <w:t>Dana Kroupová</w:t>
      </w:r>
      <w:r w:rsidR="00ED2538">
        <w:rPr>
          <w:color w:val="000000" w:themeColor="text1"/>
        </w:rPr>
        <w:t xml:space="preserve">, </w:t>
      </w:r>
      <w:r>
        <w:rPr>
          <w:color w:val="000000" w:themeColor="text1"/>
        </w:rPr>
        <w:t>Příprava a stavba jezdeckých kasáren v Pardubicích (1892–1894)</w:t>
      </w:r>
    </w:p>
    <w:p w14:paraId="7DE9853D" w14:textId="003D1E5A" w:rsidR="003D799D" w:rsidRPr="00E9145C" w:rsidRDefault="003D799D" w:rsidP="007948C5">
      <w:pPr>
        <w:pStyle w:val="Default"/>
        <w:rPr>
          <w:color w:val="000000" w:themeColor="text1"/>
        </w:rPr>
      </w:pPr>
      <w:r w:rsidRPr="00E9145C">
        <w:rPr>
          <w:color w:val="000000" w:themeColor="text1"/>
        </w:rPr>
        <w:t>Úst</w:t>
      </w:r>
      <w:r w:rsidR="006542F5" w:rsidRPr="00E9145C">
        <w:rPr>
          <w:color w:val="000000" w:themeColor="text1"/>
        </w:rPr>
        <w:t>av historických věd F</w:t>
      </w:r>
      <w:r w:rsidR="00661D6D" w:rsidRPr="00E9145C">
        <w:rPr>
          <w:color w:val="000000" w:themeColor="text1"/>
        </w:rPr>
        <w:t xml:space="preserve">F Upa, </w:t>
      </w:r>
      <w:r w:rsidR="00ED2538">
        <w:rPr>
          <w:color w:val="000000" w:themeColor="text1"/>
        </w:rPr>
        <w:t>Spisová a archivní služba</w:t>
      </w:r>
      <w:r w:rsidR="00AE07E3" w:rsidRPr="00E9145C">
        <w:rPr>
          <w:color w:val="000000" w:themeColor="text1"/>
        </w:rPr>
        <w:t xml:space="preserve">, </w:t>
      </w:r>
      <w:r w:rsidR="006542F5" w:rsidRPr="00E9145C">
        <w:rPr>
          <w:color w:val="000000" w:themeColor="text1"/>
        </w:rPr>
        <w:t>bakalářsk</w:t>
      </w:r>
      <w:r w:rsidR="00A715B9" w:rsidRPr="00E9145C">
        <w:rPr>
          <w:color w:val="000000" w:themeColor="text1"/>
        </w:rPr>
        <w:t>á práce, 20</w:t>
      </w:r>
      <w:r w:rsidR="007948C5">
        <w:rPr>
          <w:color w:val="000000" w:themeColor="text1"/>
        </w:rPr>
        <w:t>2</w:t>
      </w:r>
      <w:r w:rsidR="00ED2538">
        <w:rPr>
          <w:color w:val="000000" w:themeColor="text1"/>
        </w:rPr>
        <w:t>1</w:t>
      </w:r>
      <w:r w:rsidRPr="00E9145C">
        <w:rPr>
          <w:color w:val="000000" w:themeColor="text1"/>
        </w:rPr>
        <w:t>.</w:t>
      </w:r>
    </w:p>
    <w:p w14:paraId="02A968EE" w14:textId="77777777" w:rsidR="00633BE9" w:rsidRPr="00E9145C" w:rsidRDefault="009A4D67" w:rsidP="004425C4">
      <w:pPr>
        <w:spacing w:line="360" w:lineRule="auto"/>
        <w:jc w:val="both"/>
        <w:rPr>
          <w:color w:val="000000" w:themeColor="text1"/>
        </w:rPr>
      </w:pPr>
      <w:r w:rsidRPr="00E9145C">
        <w:rPr>
          <w:color w:val="000000" w:themeColor="text1"/>
        </w:rPr>
        <w:t>posudek oponentky</w:t>
      </w:r>
    </w:p>
    <w:p w14:paraId="382B1800" w14:textId="77777777" w:rsidR="000F32AB" w:rsidRPr="00E9145C" w:rsidRDefault="000F32AB" w:rsidP="003D799D">
      <w:pPr>
        <w:spacing w:line="360" w:lineRule="auto"/>
        <w:jc w:val="both"/>
        <w:rPr>
          <w:color w:val="000000" w:themeColor="text1"/>
        </w:rPr>
      </w:pPr>
    </w:p>
    <w:p w14:paraId="17178A55" w14:textId="239AF79C" w:rsidR="00ED2538" w:rsidRDefault="00577506" w:rsidP="003747A1">
      <w:pPr>
        <w:spacing w:line="360" w:lineRule="auto"/>
        <w:contextualSpacing/>
        <w:jc w:val="both"/>
        <w:rPr>
          <w:color w:val="000000" w:themeColor="text1"/>
        </w:rPr>
      </w:pPr>
      <w:r w:rsidRPr="00E9145C">
        <w:rPr>
          <w:color w:val="000000" w:themeColor="text1"/>
        </w:rPr>
        <w:t xml:space="preserve">     Předkládaná práce </w:t>
      </w:r>
      <w:r w:rsidR="0093482C" w:rsidRPr="00E9145C">
        <w:rPr>
          <w:color w:val="000000" w:themeColor="text1"/>
        </w:rPr>
        <w:t xml:space="preserve">je </w:t>
      </w:r>
      <w:r w:rsidR="00D73061">
        <w:rPr>
          <w:color w:val="000000" w:themeColor="text1"/>
        </w:rPr>
        <w:t>pokusem zmapovat peripetie doprovázející stavbu jezdeckých kasáren v Pardubicích v 90. letech 19. století. Autorka se nejprve v obecném přehledu zabývala armádou habsburské monarchie ve druhé polovině 19. století, přičemž v podkapitolách výstroj a výzbroj se omezila už pouze na jezdectvo. Další kapitola představuje pokus o nástin dějin města Pardubic v 19. století s tím, že druhá část textu je zaměřena na chov koní s ohledem na potřeby armády a z něj vyrůstající tradici honů a dostihů. Kapitola třetí se týká výstavby jezdeckých kasáren, ale její podkapitoly 3.8 – 3.10 už jsou věnovány obecně osudům zdejší posádky, jejím významným osobnostem a dalším vojenským objektům</w:t>
      </w:r>
      <w:r w:rsidR="00293646">
        <w:rPr>
          <w:color w:val="000000" w:themeColor="text1"/>
        </w:rPr>
        <w:t xml:space="preserve"> ve městě</w:t>
      </w:r>
      <w:r w:rsidR="00595206">
        <w:rPr>
          <w:color w:val="000000" w:themeColor="text1"/>
        </w:rPr>
        <w:t>. Závěr rekapituluje popsané. O</w:t>
      </w:r>
      <w:r w:rsidR="008F5485">
        <w:rPr>
          <w:color w:val="000000" w:themeColor="text1"/>
        </w:rPr>
        <w:t>brazov</w:t>
      </w:r>
      <w:r w:rsidR="00595206">
        <w:rPr>
          <w:color w:val="000000" w:themeColor="text1"/>
        </w:rPr>
        <w:t>á</w:t>
      </w:r>
      <w:r w:rsidR="008F5485">
        <w:rPr>
          <w:color w:val="000000" w:themeColor="text1"/>
        </w:rPr>
        <w:t xml:space="preserve"> příloh</w:t>
      </w:r>
      <w:r w:rsidR="00595206">
        <w:rPr>
          <w:color w:val="000000" w:themeColor="text1"/>
        </w:rPr>
        <w:t>a je vložena do textu</w:t>
      </w:r>
      <w:r w:rsidR="008F5485">
        <w:rPr>
          <w:color w:val="000000" w:themeColor="text1"/>
        </w:rPr>
        <w:t>.</w:t>
      </w:r>
    </w:p>
    <w:p w14:paraId="01A56C6D" w14:textId="5B623B35" w:rsidR="008E7359" w:rsidRDefault="00595206" w:rsidP="003747A1">
      <w:pPr>
        <w:spacing w:line="360" w:lineRule="auto"/>
        <w:contextualSpacing/>
        <w:jc w:val="both"/>
        <w:rPr>
          <w:color w:val="000000" w:themeColor="text1"/>
        </w:rPr>
      </w:pPr>
      <w:r>
        <w:rPr>
          <w:color w:val="000000" w:themeColor="text1"/>
        </w:rPr>
        <w:t xml:space="preserve">     Práce je postavena na primárním výzkumu v podobě zápisů z jednání pardubických samosprávných orgánů a na studiu dostupné literatury, doplněné v poměrně velkém rozsahu o informace z internetové encyklopedie parpedie.cz. V době ztíženého přístupu k informačním zdrojům se přímo nabízelo prozkoumat rozsáhle on-line dostupný dobový tisk, ale v celé práci není ani zmínka, byť jenom o podniknutém pokusu doplnit informace touto cestou. </w:t>
      </w:r>
      <w:r w:rsidR="00D31721">
        <w:rPr>
          <w:color w:val="000000" w:themeColor="text1"/>
        </w:rPr>
        <w:t>Právě tak tu není ani náznak srovnání s jinými stavbami téhož druhu: pardubická kasárna nebyla jediná, která se v té dob</w:t>
      </w:r>
      <w:r w:rsidR="00C645A8">
        <w:rPr>
          <w:color w:val="000000" w:themeColor="text1"/>
        </w:rPr>
        <w:t>ě</w:t>
      </w:r>
      <w:r w:rsidR="00D31721">
        <w:rPr>
          <w:color w:val="000000" w:themeColor="text1"/>
        </w:rPr>
        <w:t xml:space="preserve"> stavěla. </w:t>
      </w:r>
      <w:r>
        <w:rPr>
          <w:color w:val="000000" w:themeColor="text1"/>
        </w:rPr>
        <w:t>Při práci s archivními zdroji volila autorka cestu jednoduché analýzy s řadou přímých citátů.</w:t>
      </w:r>
      <w:r w:rsidR="008E7359">
        <w:rPr>
          <w:color w:val="000000" w:themeColor="text1"/>
        </w:rPr>
        <w:t xml:space="preserve"> </w:t>
      </w:r>
    </w:p>
    <w:p w14:paraId="42B306D3" w14:textId="2058C7E8" w:rsidR="008E7359" w:rsidRDefault="008E7359" w:rsidP="008E7359">
      <w:pPr>
        <w:spacing w:line="360" w:lineRule="auto"/>
        <w:contextualSpacing/>
        <w:jc w:val="both"/>
        <w:rPr>
          <w:color w:val="000000" w:themeColor="text1"/>
        </w:rPr>
      </w:pPr>
      <w:r>
        <w:rPr>
          <w:color w:val="000000" w:themeColor="text1"/>
        </w:rPr>
        <w:t xml:space="preserve">Z uvedené literatury bylo nepochybně možno získat nepoměrně víc, ať už ve směru k jezdectvu jako </w:t>
      </w:r>
      <w:r w:rsidR="00C645A8">
        <w:rPr>
          <w:color w:val="000000" w:themeColor="text1"/>
        </w:rPr>
        <w:t xml:space="preserve">elitní </w:t>
      </w:r>
      <w:r>
        <w:rPr>
          <w:color w:val="000000" w:themeColor="text1"/>
        </w:rPr>
        <w:t xml:space="preserve">složce habsburské armády, nebo ohledně pluků, které ve sledované době kasárna využívaly. Práce </w:t>
      </w:r>
      <w:r w:rsidR="0084799E">
        <w:rPr>
          <w:color w:val="000000" w:themeColor="text1"/>
        </w:rPr>
        <w:t>s</w:t>
      </w:r>
      <w:r>
        <w:rPr>
          <w:color w:val="000000" w:themeColor="text1"/>
        </w:rPr>
        <w:t xml:space="preserve"> literaturou, včetně pardubické internetové encyklopedie, by si zasloužila podstatně větší pečlivost jak při zpracování, tak při výběru informací, aby obojí nepůsobilo tak nahodilým dojmem, jak se to autorce povedlo. Příklad za všechny jiné: s. 31: </w:t>
      </w:r>
      <w:r w:rsidR="00293646">
        <w:rPr>
          <w:color w:val="000000" w:themeColor="text1"/>
        </w:rPr>
        <w:t xml:space="preserve">na rozdíl od uvedených informací byl </w:t>
      </w:r>
      <w:r>
        <w:rPr>
          <w:color w:val="000000" w:themeColor="text1"/>
        </w:rPr>
        <w:t>Franz Liechtenstein už v roce 1844 povýšen na generálmajora, takže nebyl plukovníkem husarského pluku č. 9 až do roku 1866</w:t>
      </w:r>
      <w:r w:rsidR="0084799E">
        <w:rPr>
          <w:color w:val="000000" w:themeColor="text1"/>
        </w:rPr>
        <w:t>, jak tvrdí autorka</w:t>
      </w:r>
      <w:r>
        <w:rPr>
          <w:color w:val="000000" w:themeColor="text1"/>
        </w:rPr>
        <w:t xml:space="preserve">. Tomu od roku 1844 velel plukovník Franz hrabě Deym a po něm další.  V roce 1866 byl velícím plukovníkem Nicolaus hrabě Pejacsevich (od 1864).  Franz Liechtenstein byl od roku 1850 za zásluhy při tažení 1849 jmenován majitelem </w:t>
      </w:r>
      <w:r w:rsidR="00C645A8">
        <w:rPr>
          <w:color w:val="000000" w:themeColor="text1"/>
        </w:rPr>
        <w:t xml:space="preserve">husarského </w:t>
      </w:r>
      <w:r>
        <w:rPr>
          <w:color w:val="000000" w:themeColor="text1"/>
        </w:rPr>
        <w:t xml:space="preserve">pluku </w:t>
      </w:r>
      <w:r w:rsidR="00C645A8">
        <w:rPr>
          <w:color w:val="000000" w:themeColor="text1"/>
        </w:rPr>
        <w:t xml:space="preserve">č. 9 </w:t>
      </w:r>
      <w:r>
        <w:rPr>
          <w:color w:val="000000" w:themeColor="text1"/>
        </w:rPr>
        <w:t>a zůstal jím až do smrti. Což lze jednoduše zjistit v on-line dostupných schematismech, pokud autorka měla pocit, že je třeba se tím zabývat.</w:t>
      </w:r>
    </w:p>
    <w:p w14:paraId="62C846F8" w14:textId="5F7E4918" w:rsidR="0084799E" w:rsidRDefault="0084799E" w:rsidP="008E7359">
      <w:pPr>
        <w:spacing w:line="360" w:lineRule="auto"/>
        <w:contextualSpacing/>
        <w:jc w:val="both"/>
        <w:rPr>
          <w:color w:val="000000" w:themeColor="text1"/>
        </w:rPr>
      </w:pPr>
      <w:r>
        <w:rPr>
          <w:color w:val="000000" w:themeColor="text1"/>
        </w:rPr>
        <w:lastRenderedPageBreak/>
        <w:t xml:space="preserve">     V textu jsou pasáže, ve kterých je čtenář na pochybách, zda autorka tuší, co z dostupné literatury vlastně přejímá. Příklad za všechny: s. 45: „</w:t>
      </w:r>
      <w:r w:rsidRPr="00293646">
        <w:rPr>
          <w:i/>
          <w:iCs/>
          <w:color w:val="000000" w:themeColor="text1"/>
        </w:rPr>
        <w:t>v roce 1913 byla zřízena baterie</w:t>
      </w:r>
      <w:r w:rsidRPr="00293646">
        <w:rPr>
          <w:b/>
          <w:bCs/>
          <w:i/>
          <w:iCs/>
          <w:color w:val="000000" w:themeColor="text1"/>
        </w:rPr>
        <w:t xml:space="preserve"> jižního</w:t>
      </w:r>
      <w:r w:rsidRPr="00293646">
        <w:rPr>
          <w:i/>
          <w:iCs/>
          <w:color w:val="000000" w:themeColor="text1"/>
        </w:rPr>
        <w:t xml:space="preserve"> dělostřelectva</w:t>
      </w:r>
      <w:r>
        <w:rPr>
          <w:color w:val="000000" w:themeColor="text1"/>
        </w:rPr>
        <w:t>“, což by bylo možné považovat za úsměvný překlep, kdyby totéž konstatování nebylo doslova zopakováno v závěru práce.</w:t>
      </w:r>
    </w:p>
    <w:p w14:paraId="595AFD9C" w14:textId="31F6FD9D" w:rsidR="008F08D0" w:rsidRDefault="008F08D0" w:rsidP="008F08D0">
      <w:pPr>
        <w:spacing w:line="360" w:lineRule="auto"/>
        <w:contextualSpacing/>
        <w:jc w:val="both"/>
        <w:rPr>
          <w:color w:val="000000" w:themeColor="text1"/>
        </w:rPr>
      </w:pPr>
      <w:r>
        <w:rPr>
          <w:color w:val="000000" w:themeColor="text1"/>
        </w:rPr>
        <w:t xml:space="preserve">     Po technické stránce v</w:t>
      </w:r>
      <w:r w:rsidR="00781088">
        <w:rPr>
          <w:color w:val="000000" w:themeColor="text1"/>
        </w:rPr>
        <w:t> práci leckde chybí odkazy</w:t>
      </w:r>
      <w:r w:rsidR="00293646">
        <w:rPr>
          <w:color w:val="000000" w:themeColor="text1"/>
        </w:rPr>
        <w:t xml:space="preserve"> na zdroj</w:t>
      </w:r>
      <w:r w:rsidR="00781088">
        <w:rPr>
          <w:color w:val="000000" w:themeColor="text1"/>
        </w:rPr>
        <w:t xml:space="preserve"> u přímých citátů.</w:t>
      </w:r>
      <w:r w:rsidR="00227E3C">
        <w:rPr>
          <w:color w:val="000000" w:themeColor="text1"/>
        </w:rPr>
        <w:t xml:space="preserve"> Střídání časů není vhodné pro tento typ práce, navíc autorka jej nepoužívá vždy zcela účelně. Poznámky 42 a 43</w:t>
      </w:r>
      <w:r w:rsidR="0099157C">
        <w:rPr>
          <w:color w:val="000000" w:themeColor="text1"/>
        </w:rPr>
        <w:t xml:space="preserve">, </w:t>
      </w:r>
      <w:r>
        <w:rPr>
          <w:color w:val="000000" w:themeColor="text1"/>
        </w:rPr>
        <w:t>právě tak jako</w:t>
      </w:r>
      <w:r w:rsidR="0099157C">
        <w:rPr>
          <w:color w:val="000000" w:themeColor="text1"/>
        </w:rPr>
        <w:t xml:space="preserve"> pozn</w:t>
      </w:r>
      <w:r>
        <w:rPr>
          <w:color w:val="000000" w:themeColor="text1"/>
        </w:rPr>
        <w:t>ámky</w:t>
      </w:r>
      <w:r w:rsidR="0099157C">
        <w:rPr>
          <w:color w:val="000000" w:themeColor="text1"/>
        </w:rPr>
        <w:t xml:space="preserve"> 126 a 127</w:t>
      </w:r>
      <w:r w:rsidR="00227E3C">
        <w:rPr>
          <w:color w:val="000000" w:themeColor="text1"/>
        </w:rPr>
        <w:t xml:space="preserve"> jsou připojeny k textu na jediném místě, což není přípustné.</w:t>
      </w:r>
      <w:r>
        <w:rPr>
          <w:color w:val="000000" w:themeColor="text1"/>
        </w:rPr>
        <w:t xml:space="preserve"> </w:t>
      </w:r>
      <w:r w:rsidR="00227E3C">
        <w:rPr>
          <w:color w:val="000000" w:themeColor="text1"/>
        </w:rPr>
        <w:t>S ohledem na téma práce by si autorka měla ujasnit, zda bude používat tvar kasárna nebo kasárny</w:t>
      </w:r>
      <w:r w:rsidR="00353F63">
        <w:rPr>
          <w:color w:val="000000" w:themeColor="text1"/>
        </w:rPr>
        <w:t>: v textu je to volně zaměňováno</w:t>
      </w:r>
      <w:r>
        <w:rPr>
          <w:color w:val="000000" w:themeColor="text1"/>
        </w:rPr>
        <w:t>. Předložená elektronická verze nemá cizojazyčné resumé.</w:t>
      </w:r>
    </w:p>
    <w:p w14:paraId="39E675BE" w14:textId="4B1AA85E" w:rsidR="008F08D0" w:rsidRDefault="008F08D0" w:rsidP="008F08D0">
      <w:pPr>
        <w:spacing w:line="360" w:lineRule="auto"/>
        <w:contextualSpacing/>
        <w:jc w:val="both"/>
        <w:rPr>
          <w:color w:val="000000" w:themeColor="text1"/>
        </w:rPr>
      </w:pPr>
      <w:r>
        <w:rPr>
          <w:color w:val="000000" w:themeColor="text1"/>
        </w:rPr>
        <w:t xml:space="preserve">     Kromě toho se práce potýká s délkou textu: </w:t>
      </w:r>
      <w:r w:rsidR="00AA4661">
        <w:rPr>
          <w:color w:val="000000" w:themeColor="text1"/>
        </w:rPr>
        <w:t>úvod začíná na s. 9 a text končí na s. 54, další dvě stránky jsou vyplněny obrázky v textu (s. 44 jen obrázky, s. 43 polovina obrázek, s. 38 polovina obrázek)</w:t>
      </w:r>
      <w:r w:rsidR="00C645A8">
        <w:rPr>
          <w:color w:val="000000" w:themeColor="text1"/>
        </w:rPr>
        <w:t>, což je pouhých</w:t>
      </w:r>
      <w:r w:rsidR="00AA4661">
        <w:rPr>
          <w:color w:val="000000" w:themeColor="text1"/>
        </w:rPr>
        <w:t xml:space="preserve"> 43 stran textu</w:t>
      </w:r>
      <w:r w:rsidR="00C645A8">
        <w:rPr>
          <w:color w:val="000000" w:themeColor="text1"/>
        </w:rPr>
        <w:t>.</w:t>
      </w:r>
    </w:p>
    <w:p w14:paraId="593FC0E8" w14:textId="77777777" w:rsidR="008F08D0" w:rsidRDefault="008F08D0" w:rsidP="008F08D0">
      <w:pPr>
        <w:spacing w:line="360" w:lineRule="auto"/>
        <w:contextualSpacing/>
        <w:jc w:val="both"/>
        <w:rPr>
          <w:color w:val="000000" w:themeColor="text1"/>
        </w:rPr>
      </w:pPr>
    </w:p>
    <w:p w14:paraId="3E4A0346" w14:textId="10169D41" w:rsidR="00E41E13" w:rsidRPr="00E9145C" w:rsidRDefault="0093482C" w:rsidP="007948C5">
      <w:pPr>
        <w:spacing w:line="360" w:lineRule="auto"/>
        <w:contextualSpacing/>
        <w:jc w:val="both"/>
        <w:rPr>
          <w:color w:val="000000" w:themeColor="text1"/>
        </w:rPr>
      </w:pPr>
      <w:r w:rsidRPr="00E9145C">
        <w:rPr>
          <w:color w:val="000000" w:themeColor="text1"/>
        </w:rPr>
        <w:t xml:space="preserve">    </w:t>
      </w:r>
      <w:r w:rsidR="00E9145C" w:rsidRPr="00E9145C">
        <w:rPr>
          <w:color w:val="000000" w:themeColor="text1"/>
        </w:rPr>
        <w:t xml:space="preserve"> </w:t>
      </w:r>
      <w:r w:rsidR="002D52E1">
        <w:rPr>
          <w:color w:val="000000" w:themeColor="text1"/>
        </w:rPr>
        <w:t>Předložená b</w:t>
      </w:r>
      <w:r w:rsidR="00E9145C" w:rsidRPr="00E9145C">
        <w:rPr>
          <w:color w:val="000000" w:themeColor="text1"/>
        </w:rPr>
        <w:t xml:space="preserve">akalářská práce </w:t>
      </w:r>
      <w:r w:rsidR="008F08D0">
        <w:rPr>
          <w:color w:val="000000" w:themeColor="text1"/>
        </w:rPr>
        <w:t xml:space="preserve">přes patrnou nevyváženost a technickou nepečlivost </w:t>
      </w:r>
      <w:r w:rsidR="00C645A8">
        <w:rPr>
          <w:color w:val="000000" w:themeColor="text1"/>
        </w:rPr>
        <w:t xml:space="preserve">snad </w:t>
      </w:r>
      <w:r w:rsidR="008F08D0">
        <w:rPr>
          <w:color w:val="000000" w:themeColor="text1"/>
        </w:rPr>
        <w:t xml:space="preserve">ještě </w:t>
      </w:r>
      <w:r w:rsidR="00E9145C" w:rsidRPr="00E9145C">
        <w:rPr>
          <w:color w:val="000000" w:themeColor="text1"/>
        </w:rPr>
        <w:t>splňuje požadavky kladené na kvalifikační práci tohoto typu a je možné ji doporučit k obhajobě. Navrhuji hodnotit ji</w:t>
      </w:r>
      <w:r w:rsidR="002D52E1">
        <w:rPr>
          <w:color w:val="000000" w:themeColor="text1"/>
        </w:rPr>
        <w:t xml:space="preserve"> </w:t>
      </w:r>
      <w:r w:rsidR="008F08D0">
        <w:rPr>
          <w:color w:val="000000" w:themeColor="text1"/>
        </w:rPr>
        <w:t>E</w:t>
      </w:r>
      <w:r w:rsidR="008824DA">
        <w:rPr>
          <w:color w:val="000000" w:themeColor="text1"/>
        </w:rPr>
        <w:t>.</w:t>
      </w:r>
    </w:p>
    <w:p w14:paraId="386C7A1C" w14:textId="77777777" w:rsidR="00C30C3C" w:rsidRPr="00E9145C" w:rsidRDefault="00C30C3C" w:rsidP="00C30C3C">
      <w:pPr>
        <w:spacing w:line="360" w:lineRule="auto"/>
        <w:contextualSpacing/>
        <w:jc w:val="both"/>
        <w:rPr>
          <w:color w:val="000000" w:themeColor="text1"/>
        </w:rPr>
      </w:pPr>
    </w:p>
    <w:p w14:paraId="34954A4E" w14:textId="77777777" w:rsidR="00C30C3C" w:rsidRPr="00E9145C" w:rsidRDefault="00C30C3C" w:rsidP="00C30C3C">
      <w:pPr>
        <w:spacing w:line="360" w:lineRule="auto"/>
        <w:contextualSpacing/>
        <w:jc w:val="both"/>
        <w:rPr>
          <w:color w:val="000000" w:themeColor="text1"/>
        </w:rPr>
      </w:pPr>
    </w:p>
    <w:p w14:paraId="5E506CC6" w14:textId="12E43272" w:rsidR="00C30C3C" w:rsidRPr="00E9145C" w:rsidRDefault="0026351A" w:rsidP="00C30C3C">
      <w:pPr>
        <w:spacing w:line="360" w:lineRule="auto"/>
        <w:contextualSpacing/>
        <w:jc w:val="both"/>
        <w:rPr>
          <w:color w:val="000000" w:themeColor="text1"/>
        </w:rPr>
      </w:pPr>
      <w:r w:rsidRPr="00E9145C">
        <w:rPr>
          <w:color w:val="000000" w:themeColor="text1"/>
        </w:rPr>
        <w:t>Ústí nad Orli</w:t>
      </w:r>
      <w:r w:rsidR="00A715B9" w:rsidRPr="00E9145C">
        <w:rPr>
          <w:color w:val="000000" w:themeColor="text1"/>
        </w:rPr>
        <w:t xml:space="preserve">cí, </w:t>
      </w:r>
      <w:r w:rsidR="00293646">
        <w:rPr>
          <w:color w:val="000000" w:themeColor="text1"/>
        </w:rPr>
        <w:t>1</w:t>
      </w:r>
      <w:r w:rsidR="00E9145C" w:rsidRPr="00E9145C">
        <w:rPr>
          <w:color w:val="000000" w:themeColor="text1"/>
        </w:rPr>
        <w:t>3</w:t>
      </w:r>
      <w:r w:rsidR="00C30C3C" w:rsidRPr="00E9145C">
        <w:rPr>
          <w:color w:val="000000" w:themeColor="text1"/>
        </w:rPr>
        <w:t xml:space="preserve">. </w:t>
      </w:r>
      <w:r w:rsidR="00293646">
        <w:rPr>
          <w:color w:val="000000" w:themeColor="text1"/>
        </w:rPr>
        <w:t>srp</w:t>
      </w:r>
      <w:r w:rsidR="00ED2538">
        <w:rPr>
          <w:color w:val="000000" w:themeColor="text1"/>
        </w:rPr>
        <w:t>na</w:t>
      </w:r>
      <w:r w:rsidR="00C30C3C" w:rsidRPr="00E9145C">
        <w:rPr>
          <w:color w:val="000000" w:themeColor="text1"/>
        </w:rPr>
        <w:t xml:space="preserve"> 20</w:t>
      </w:r>
      <w:r w:rsidR="007948C5">
        <w:rPr>
          <w:color w:val="000000" w:themeColor="text1"/>
        </w:rPr>
        <w:t>2</w:t>
      </w:r>
      <w:r w:rsidR="00ED2538">
        <w:rPr>
          <w:color w:val="000000" w:themeColor="text1"/>
        </w:rPr>
        <w:t>1</w:t>
      </w:r>
    </w:p>
    <w:p w14:paraId="4E69CAFC" w14:textId="77777777" w:rsidR="00C30C3C" w:rsidRPr="00E9145C" w:rsidRDefault="00C30C3C" w:rsidP="00C30C3C">
      <w:pPr>
        <w:spacing w:line="360" w:lineRule="auto"/>
        <w:contextualSpacing/>
        <w:jc w:val="both"/>
        <w:rPr>
          <w:color w:val="000000" w:themeColor="text1"/>
        </w:rPr>
      </w:pPr>
    </w:p>
    <w:p w14:paraId="4B9D0455" w14:textId="77777777" w:rsidR="00C30C3C" w:rsidRPr="00E9145C" w:rsidRDefault="00C30C3C" w:rsidP="00C30C3C">
      <w:pPr>
        <w:spacing w:line="360" w:lineRule="auto"/>
        <w:contextualSpacing/>
        <w:jc w:val="both"/>
        <w:rPr>
          <w:color w:val="000000" w:themeColor="text1"/>
        </w:rPr>
      </w:pPr>
    </w:p>
    <w:p w14:paraId="61BC0219" w14:textId="77777777" w:rsidR="00C30C3C" w:rsidRPr="00E9145C" w:rsidRDefault="00C30C3C" w:rsidP="00C30C3C">
      <w:pPr>
        <w:spacing w:line="360" w:lineRule="auto"/>
        <w:contextualSpacing/>
        <w:jc w:val="both"/>
        <w:rPr>
          <w:color w:val="000000" w:themeColor="text1"/>
        </w:rPr>
      </w:pPr>
    </w:p>
    <w:p w14:paraId="04A97564" w14:textId="77777777" w:rsidR="00C30C3C" w:rsidRPr="00E9145C" w:rsidRDefault="00C30C3C" w:rsidP="00C30C3C">
      <w:pPr>
        <w:spacing w:line="360" w:lineRule="auto"/>
        <w:contextualSpacing/>
        <w:jc w:val="right"/>
        <w:rPr>
          <w:color w:val="000000" w:themeColor="text1"/>
        </w:rPr>
      </w:pPr>
      <w:r w:rsidRPr="00E9145C">
        <w:rPr>
          <w:color w:val="000000" w:themeColor="text1"/>
        </w:rPr>
        <w:t xml:space="preserve">doc. PhDr. Marie Macková, Ph.D.  </w:t>
      </w:r>
    </w:p>
    <w:p w14:paraId="74093DEA" w14:textId="77777777" w:rsidR="00C30C3C" w:rsidRPr="00E9145C" w:rsidRDefault="00C30C3C" w:rsidP="003747A1">
      <w:pPr>
        <w:spacing w:line="360" w:lineRule="auto"/>
        <w:contextualSpacing/>
        <w:jc w:val="both"/>
        <w:rPr>
          <w:color w:val="000000" w:themeColor="text1"/>
        </w:rPr>
      </w:pPr>
    </w:p>
    <w:sectPr w:rsidR="00C30C3C" w:rsidRPr="00E9145C" w:rsidSect="00750A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592"/>
    <w:rsid w:val="000160DB"/>
    <w:rsid w:val="00031414"/>
    <w:rsid w:val="00057759"/>
    <w:rsid w:val="00060D36"/>
    <w:rsid w:val="000C3CA5"/>
    <w:rsid w:val="000F32AB"/>
    <w:rsid w:val="000F3EE7"/>
    <w:rsid w:val="00144760"/>
    <w:rsid w:val="001657A4"/>
    <w:rsid w:val="00172EBC"/>
    <w:rsid w:val="001742FF"/>
    <w:rsid w:val="00181540"/>
    <w:rsid w:val="00183F98"/>
    <w:rsid w:val="001B6249"/>
    <w:rsid w:val="001E37F0"/>
    <w:rsid w:val="00225976"/>
    <w:rsid w:val="00227E3C"/>
    <w:rsid w:val="00227E4D"/>
    <w:rsid w:val="002621A4"/>
    <w:rsid w:val="0026351A"/>
    <w:rsid w:val="0028095D"/>
    <w:rsid w:val="00287206"/>
    <w:rsid w:val="00293646"/>
    <w:rsid w:val="002D52E1"/>
    <w:rsid w:val="002D6720"/>
    <w:rsid w:val="002E0100"/>
    <w:rsid w:val="002E1519"/>
    <w:rsid w:val="002E19FA"/>
    <w:rsid w:val="002E51D3"/>
    <w:rsid w:val="002E7039"/>
    <w:rsid w:val="00353F63"/>
    <w:rsid w:val="00355A66"/>
    <w:rsid w:val="00356404"/>
    <w:rsid w:val="00373555"/>
    <w:rsid w:val="003747A1"/>
    <w:rsid w:val="0039354D"/>
    <w:rsid w:val="00395368"/>
    <w:rsid w:val="003A76D9"/>
    <w:rsid w:val="003B68E6"/>
    <w:rsid w:val="003C57FB"/>
    <w:rsid w:val="003D3890"/>
    <w:rsid w:val="003D799D"/>
    <w:rsid w:val="00426D4C"/>
    <w:rsid w:val="004425C4"/>
    <w:rsid w:val="00460E2D"/>
    <w:rsid w:val="00465670"/>
    <w:rsid w:val="00494881"/>
    <w:rsid w:val="004A1FC2"/>
    <w:rsid w:val="004B053F"/>
    <w:rsid w:val="004D3996"/>
    <w:rsid w:val="004D7DAA"/>
    <w:rsid w:val="004E01F1"/>
    <w:rsid w:val="004E567F"/>
    <w:rsid w:val="004F4770"/>
    <w:rsid w:val="00562F1A"/>
    <w:rsid w:val="00577506"/>
    <w:rsid w:val="00595206"/>
    <w:rsid w:val="00596825"/>
    <w:rsid w:val="005B060A"/>
    <w:rsid w:val="005C5633"/>
    <w:rsid w:val="005E719F"/>
    <w:rsid w:val="005F377E"/>
    <w:rsid w:val="005F4289"/>
    <w:rsid w:val="00614FE8"/>
    <w:rsid w:val="00626DF9"/>
    <w:rsid w:val="006334AB"/>
    <w:rsid w:val="00633BE9"/>
    <w:rsid w:val="006542F5"/>
    <w:rsid w:val="00661D6D"/>
    <w:rsid w:val="00675BAB"/>
    <w:rsid w:val="006952FA"/>
    <w:rsid w:val="007067EF"/>
    <w:rsid w:val="00730D92"/>
    <w:rsid w:val="00740CD5"/>
    <w:rsid w:val="00742D49"/>
    <w:rsid w:val="00750ABB"/>
    <w:rsid w:val="007527A0"/>
    <w:rsid w:val="00772C53"/>
    <w:rsid w:val="00781088"/>
    <w:rsid w:val="00792EF3"/>
    <w:rsid w:val="007948C5"/>
    <w:rsid w:val="007B424D"/>
    <w:rsid w:val="007B5FF2"/>
    <w:rsid w:val="007E69D3"/>
    <w:rsid w:val="007F64EE"/>
    <w:rsid w:val="00813D2A"/>
    <w:rsid w:val="00825678"/>
    <w:rsid w:val="00832637"/>
    <w:rsid w:val="0084799E"/>
    <w:rsid w:val="008824DA"/>
    <w:rsid w:val="008A35B0"/>
    <w:rsid w:val="008A5AB6"/>
    <w:rsid w:val="008C0221"/>
    <w:rsid w:val="008D5B63"/>
    <w:rsid w:val="008E7359"/>
    <w:rsid w:val="008E7D24"/>
    <w:rsid w:val="008F08D0"/>
    <w:rsid w:val="008F5485"/>
    <w:rsid w:val="00904B65"/>
    <w:rsid w:val="0093482C"/>
    <w:rsid w:val="00952695"/>
    <w:rsid w:val="0095567A"/>
    <w:rsid w:val="0096376C"/>
    <w:rsid w:val="00982BD4"/>
    <w:rsid w:val="00984FB3"/>
    <w:rsid w:val="0099157C"/>
    <w:rsid w:val="009A121E"/>
    <w:rsid w:val="009A319F"/>
    <w:rsid w:val="009A4D67"/>
    <w:rsid w:val="009C0C56"/>
    <w:rsid w:val="009E54F9"/>
    <w:rsid w:val="009F3E57"/>
    <w:rsid w:val="00A002A1"/>
    <w:rsid w:val="00A10525"/>
    <w:rsid w:val="00A14A22"/>
    <w:rsid w:val="00A354CE"/>
    <w:rsid w:val="00A35B48"/>
    <w:rsid w:val="00A370A2"/>
    <w:rsid w:val="00A6338E"/>
    <w:rsid w:val="00A715B9"/>
    <w:rsid w:val="00AA4661"/>
    <w:rsid w:val="00AA6AA6"/>
    <w:rsid w:val="00AB3606"/>
    <w:rsid w:val="00AE07E3"/>
    <w:rsid w:val="00B03B52"/>
    <w:rsid w:val="00B443F7"/>
    <w:rsid w:val="00B569F4"/>
    <w:rsid w:val="00B62723"/>
    <w:rsid w:val="00B663E3"/>
    <w:rsid w:val="00B83421"/>
    <w:rsid w:val="00B9323C"/>
    <w:rsid w:val="00BA5384"/>
    <w:rsid w:val="00BC0533"/>
    <w:rsid w:val="00BE02E3"/>
    <w:rsid w:val="00BF3E30"/>
    <w:rsid w:val="00C30C3C"/>
    <w:rsid w:val="00C43A88"/>
    <w:rsid w:val="00C4601D"/>
    <w:rsid w:val="00C50724"/>
    <w:rsid w:val="00C54398"/>
    <w:rsid w:val="00C645A8"/>
    <w:rsid w:val="00C72C89"/>
    <w:rsid w:val="00C808AC"/>
    <w:rsid w:val="00C811CE"/>
    <w:rsid w:val="00C82384"/>
    <w:rsid w:val="00CA2192"/>
    <w:rsid w:val="00CB28AF"/>
    <w:rsid w:val="00CD3592"/>
    <w:rsid w:val="00CD39DC"/>
    <w:rsid w:val="00CE6DC4"/>
    <w:rsid w:val="00D31721"/>
    <w:rsid w:val="00D43211"/>
    <w:rsid w:val="00D63513"/>
    <w:rsid w:val="00D73061"/>
    <w:rsid w:val="00D91B31"/>
    <w:rsid w:val="00DB5A41"/>
    <w:rsid w:val="00E009EE"/>
    <w:rsid w:val="00E23E52"/>
    <w:rsid w:val="00E305F4"/>
    <w:rsid w:val="00E41E13"/>
    <w:rsid w:val="00E6414A"/>
    <w:rsid w:val="00E667F5"/>
    <w:rsid w:val="00E80001"/>
    <w:rsid w:val="00E9145C"/>
    <w:rsid w:val="00ED2538"/>
    <w:rsid w:val="00EE2633"/>
    <w:rsid w:val="00EF3891"/>
    <w:rsid w:val="00EF6B88"/>
    <w:rsid w:val="00EF7AB2"/>
    <w:rsid w:val="00F01F95"/>
    <w:rsid w:val="00F155B0"/>
    <w:rsid w:val="00F37EDE"/>
    <w:rsid w:val="00FB767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8578F"/>
  <w15:docId w15:val="{01CF505D-F815-4FE6-901B-C90F262D9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3D799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37ED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262</TotalTime>
  <Pages>1</Pages>
  <Words>574</Words>
  <Characters>3387</Characters>
  <Application>Microsoft Office Word</Application>
  <DocSecurity>0</DocSecurity>
  <Lines>28</Lines>
  <Paragraphs>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spravce</dc:creator>
  <cp:keywords/>
  <dc:description/>
  <cp:lastModifiedBy>Marie Macková</cp:lastModifiedBy>
  <cp:revision>14</cp:revision>
  <dcterms:created xsi:type="dcterms:W3CDTF">2021-08-02T13:59:00Z</dcterms:created>
  <dcterms:modified xsi:type="dcterms:W3CDTF">2021-08-10T14:55:00Z</dcterms:modified>
</cp:coreProperties>
</file>