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0F8F" w:rsidRDefault="00250F8F" w:rsidP="00250F8F">
      <w:pPr>
        <w:pStyle w:val="Heading4"/>
        <w:spacing w:before="60"/>
        <w:jc w:val="center"/>
        <w:rPr>
          <w:bCs/>
          <w:iCs/>
          <w:sz w:val="28"/>
          <w:szCs w:val="28"/>
          <w:u w:val="none"/>
        </w:rPr>
      </w:pPr>
      <w:r>
        <w:rPr>
          <w:bCs/>
          <w:iCs/>
          <w:sz w:val="28"/>
          <w:szCs w:val="28"/>
          <w:u w:val="none"/>
        </w:rPr>
        <w:t>UNIVERZITA PARDUBICE</w:t>
      </w:r>
    </w:p>
    <w:p w:rsidR="00250F8F" w:rsidRPr="00D3601F" w:rsidRDefault="00250F8F" w:rsidP="00250F8F">
      <w:pPr>
        <w:pStyle w:val="Heading4"/>
        <w:spacing w:before="60"/>
        <w:jc w:val="center"/>
        <w:rPr>
          <w:b/>
          <w:bCs/>
          <w:iCs/>
          <w:u w:val="none"/>
        </w:rPr>
      </w:pPr>
      <w:r w:rsidRPr="00D3601F">
        <w:rPr>
          <w:b/>
          <w:bCs/>
          <w:iCs/>
          <w:u w:val="none"/>
        </w:rPr>
        <w:t>Fakulta filozofická</w:t>
      </w:r>
    </w:p>
    <w:p w:rsidR="00C81484" w:rsidRPr="00D3601F" w:rsidRDefault="00C81484" w:rsidP="00C81484">
      <w:pPr>
        <w:jc w:val="center"/>
        <w:rPr>
          <w:b/>
        </w:rPr>
      </w:pPr>
      <w:r w:rsidRPr="00D3601F">
        <w:rPr>
          <w:b/>
        </w:rPr>
        <w:t>Katedra anglistiky a amerikanistiky</w:t>
      </w:r>
    </w:p>
    <w:p w:rsidR="00CD656D" w:rsidRPr="00231532" w:rsidRDefault="00CD656D" w:rsidP="00250F8F">
      <w:pPr>
        <w:spacing w:before="60"/>
        <w:jc w:val="center"/>
        <w:rPr>
          <w:b/>
          <w:sz w:val="28"/>
          <w:szCs w:val="28"/>
        </w:rPr>
      </w:pPr>
    </w:p>
    <w:p w:rsidR="00250F8F" w:rsidRDefault="00250F8F" w:rsidP="00250F8F">
      <w:pPr>
        <w:spacing w:before="60"/>
        <w:jc w:val="center"/>
        <w:rPr>
          <w:b/>
          <w:sz w:val="32"/>
          <w:szCs w:val="32"/>
        </w:rPr>
      </w:pPr>
      <w:r>
        <w:rPr>
          <w:b/>
          <w:sz w:val="32"/>
          <w:szCs w:val="32"/>
        </w:rPr>
        <w:t>Posudek o</w:t>
      </w:r>
      <w:r w:rsidR="00907746">
        <w:rPr>
          <w:b/>
          <w:sz w:val="32"/>
          <w:szCs w:val="32"/>
        </w:rPr>
        <w:t>ponenta</w:t>
      </w:r>
      <w:r>
        <w:rPr>
          <w:b/>
          <w:sz w:val="32"/>
          <w:szCs w:val="32"/>
        </w:rPr>
        <w:t xml:space="preserve"> bakalářské práce</w:t>
      </w:r>
    </w:p>
    <w:p w:rsidR="005B2528" w:rsidRDefault="005B2528" w:rsidP="00250F8F">
      <w:pPr>
        <w:spacing w:before="60"/>
        <w:jc w:val="center"/>
        <w:rPr>
          <w:b/>
          <w:sz w:val="32"/>
          <w:szCs w:val="32"/>
        </w:rPr>
      </w:pPr>
      <w:r>
        <w:rPr>
          <w:b/>
          <w:sz w:val="32"/>
          <w:szCs w:val="32"/>
        </w:rPr>
        <w:t>(Literárně-kulturní)</w:t>
      </w:r>
    </w:p>
    <w:p w:rsidR="0098138A" w:rsidRDefault="0098138A" w:rsidP="00250F8F">
      <w:pPr>
        <w:spacing w:before="60"/>
        <w:jc w:val="both"/>
        <w:rPr>
          <w:b/>
        </w:rPr>
      </w:pPr>
    </w:p>
    <w:p w:rsidR="00250F8F" w:rsidRDefault="00250F8F" w:rsidP="00D25F62">
      <w:pPr>
        <w:jc w:val="both"/>
        <w:rPr>
          <w:b/>
        </w:rPr>
      </w:pPr>
      <w:r>
        <w:rPr>
          <w:b/>
        </w:rPr>
        <w:t>Autor práce:</w:t>
      </w:r>
      <w:r w:rsidR="001131E2">
        <w:rPr>
          <w:b/>
        </w:rPr>
        <w:t xml:space="preserve"> </w:t>
      </w:r>
      <w:r w:rsidR="00E94257">
        <w:rPr>
          <w:b/>
        </w:rPr>
        <w:tab/>
      </w:r>
      <w:r w:rsidR="00E94257">
        <w:rPr>
          <w:b/>
        </w:rPr>
        <w:tab/>
      </w:r>
      <w:r w:rsidR="00264387">
        <w:t>Lukáš Neumann</w:t>
      </w:r>
    </w:p>
    <w:p w:rsidR="008810DA" w:rsidRDefault="00E02AD3" w:rsidP="008810DA">
      <w:pPr>
        <w:jc w:val="both"/>
      </w:pPr>
      <w:r>
        <w:rPr>
          <w:b/>
        </w:rPr>
        <w:t>Studijní obor:</w:t>
      </w:r>
      <w:r w:rsidR="001131E2">
        <w:rPr>
          <w:b/>
        </w:rPr>
        <w:t xml:space="preserve"> </w:t>
      </w:r>
      <w:r w:rsidR="00E94257">
        <w:rPr>
          <w:b/>
        </w:rPr>
        <w:tab/>
      </w:r>
      <w:r w:rsidR="00264387">
        <w:t>AJS</w:t>
      </w:r>
      <w:r w:rsidR="00E94257" w:rsidRPr="00E94257">
        <w:t>P</w:t>
      </w:r>
    </w:p>
    <w:p w:rsidR="008810DA" w:rsidRPr="00264387" w:rsidRDefault="008810DA" w:rsidP="008810DA">
      <w:pPr>
        <w:jc w:val="both"/>
        <w:rPr>
          <w:i/>
          <w:lang w:val="en-GB"/>
        </w:rPr>
      </w:pPr>
      <w:r w:rsidRPr="008810DA">
        <w:rPr>
          <w:b/>
        </w:rPr>
        <w:t xml:space="preserve">Název práce: </w:t>
      </w:r>
      <w:r w:rsidRPr="008810DA">
        <w:rPr>
          <w:b/>
        </w:rPr>
        <w:tab/>
      </w:r>
      <w:r w:rsidRPr="008810DA">
        <w:rPr>
          <w:b/>
        </w:rPr>
        <w:tab/>
      </w:r>
      <w:r w:rsidR="00264387" w:rsidRPr="00264387">
        <w:rPr>
          <w:lang w:val="en-GB"/>
        </w:rPr>
        <w:t>Man and Nature in the Poetry of Samuel T. Coleridge and Robert Southey</w:t>
      </w:r>
    </w:p>
    <w:p w:rsidR="008810DA" w:rsidRDefault="00250F8F" w:rsidP="008810DA">
      <w:r>
        <w:rPr>
          <w:b/>
        </w:rPr>
        <w:t>Akademický rok:</w:t>
      </w:r>
      <w:r w:rsidR="001131E2">
        <w:rPr>
          <w:b/>
        </w:rPr>
        <w:t xml:space="preserve"> </w:t>
      </w:r>
      <w:r w:rsidR="00E94257">
        <w:rPr>
          <w:b/>
        </w:rPr>
        <w:tab/>
      </w:r>
      <w:r w:rsidR="00695B30">
        <w:t>2014/2015</w:t>
      </w:r>
    </w:p>
    <w:p w:rsidR="008810DA" w:rsidRPr="008810DA" w:rsidRDefault="00250F8F" w:rsidP="008810DA">
      <w:r>
        <w:rPr>
          <w:b/>
        </w:rPr>
        <w:t>Vedoucí práce:</w:t>
      </w:r>
      <w:r w:rsidR="001131E2">
        <w:rPr>
          <w:b/>
        </w:rPr>
        <w:t xml:space="preserve"> </w:t>
      </w:r>
      <w:r w:rsidR="00E94257">
        <w:rPr>
          <w:b/>
        </w:rPr>
        <w:tab/>
      </w:r>
      <w:r w:rsidR="008810DA" w:rsidRPr="008810DA">
        <w:t xml:space="preserve">Mgr. </w:t>
      </w:r>
      <w:r w:rsidR="0015188B">
        <w:t>Ladislav Vít, Ph.D.</w:t>
      </w:r>
    </w:p>
    <w:p w:rsidR="00FA23BB" w:rsidRDefault="00251D2F" w:rsidP="00D25F62">
      <w:pPr>
        <w:jc w:val="both"/>
        <w:rPr>
          <w:b/>
        </w:rPr>
      </w:pPr>
      <w:r>
        <w:rPr>
          <w:b/>
        </w:rPr>
        <w:t>Oponent práce:</w:t>
      </w:r>
      <w:r w:rsidR="001131E2">
        <w:rPr>
          <w:b/>
        </w:rPr>
        <w:t xml:space="preserve"> </w:t>
      </w:r>
      <w:r w:rsidR="00E94257">
        <w:rPr>
          <w:b/>
        </w:rPr>
        <w:tab/>
      </w:r>
      <w:r w:rsidR="00E94257" w:rsidRPr="00E94257">
        <w:t>Daniel Sampey, MFA</w:t>
      </w:r>
    </w:p>
    <w:p w:rsidR="00C656A6" w:rsidRDefault="00C656A6" w:rsidP="00C656A6">
      <w:pPr>
        <w:jc w:val="both"/>
        <w:rPr>
          <w:b/>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F6951" w:rsidTr="0051466D">
        <w:tc>
          <w:tcPr>
            <w:tcW w:w="9524" w:type="dxa"/>
            <w:gridSpan w:val="2"/>
            <w:tcBorders>
              <w:top w:val="double" w:sz="4" w:space="0" w:color="auto"/>
              <w:left w:val="double" w:sz="4" w:space="0" w:color="auto"/>
              <w:bottom w:val="double" w:sz="4" w:space="0" w:color="auto"/>
              <w:right w:val="single" w:sz="2" w:space="0" w:color="auto"/>
            </w:tcBorders>
            <w:vAlign w:val="center"/>
          </w:tcPr>
          <w:p w:rsidR="009F6951" w:rsidRDefault="009F6951" w:rsidP="00FA23BB">
            <w:pPr>
              <w:jc w:val="center"/>
              <w:rPr>
                <w:b/>
              </w:rPr>
            </w:pPr>
            <w:r>
              <w:rPr>
                <w:b/>
                <w:sz w:val="28"/>
                <w:szCs w:val="28"/>
              </w:rPr>
              <w:t xml:space="preserve">Kritéria  hodnocení </w:t>
            </w:r>
          </w:p>
        </w:tc>
        <w:tc>
          <w:tcPr>
            <w:tcW w:w="1477" w:type="dxa"/>
            <w:tcBorders>
              <w:top w:val="double" w:sz="4" w:space="0" w:color="auto"/>
              <w:left w:val="single" w:sz="2" w:space="0" w:color="auto"/>
              <w:bottom w:val="double" w:sz="4" w:space="0" w:color="auto"/>
              <w:right w:val="double" w:sz="4" w:space="0" w:color="auto"/>
            </w:tcBorders>
            <w:vAlign w:val="center"/>
          </w:tcPr>
          <w:p w:rsidR="009F6951" w:rsidRDefault="009F6951" w:rsidP="00FA23BB">
            <w:pPr>
              <w:jc w:val="center"/>
              <w:rPr>
                <w:b/>
              </w:rPr>
            </w:pPr>
            <w:r>
              <w:rPr>
                <w:b/>
              </w:rPr>
              <w:t>Hodnocení</w:t>
            </w:r>
          </w:p>
          <w:p w:rsidR="009F6951" w:rsidRDefault="009F6951" w:rsidP="00FA23BB">
            <w:pPr>
              <w:jc w:val="center"/>
              <w:rPr>
                <w:b/>
              </w:rPr>
            </w:pPr>
            <w:r>
              <w:rPr>
                <w:b/>
              </w:rPr>
              <w:t>1 - 2 - 3 – 4</w:t>
            </w:r>
          </w:p>
        </w:tc>
      </w:tr>
      <w:tr w:rsidR="00251D2F" w:rsidTr="001805BC">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A0C25" w:rsidRDefault="00251D2F" w:rsidP="000A0C25">
            <w:pPr>
              <w:jc w:val="center"/>
              <w:rPr>
                <w:b/>
              </w:rPr>
            </w:pPr>
            <w:r w:rsidRPr="000A0C25">
              <w:rPr>
                <w:b/>
              </w:rPr>
              <w:t>Všeobecná charakteristika</w:t>
            </w:r>
          </w:p>
          <w:p w:rsidR="00251D2F" w:rsidRPr="009F6951" w:rsidRDefault="00251D2F" w:rsidP="009F6951">
            <w:pPr>
              <w:jc w:val="center"/>
              <w:rPr>
                <w:b/>
                <w:highlight w:val="yellow"/>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sidRPr="00314626">
              <w:rPr>
                <w:sz w:val="22"/>
                <w:szCs w:val="22"/>
              </w:rPr>
              <w:t xml:space="preserve">Splnění </w:t>
            </w:r>
            <w:r>
              <w:rPr>
                <w:sz w:val="22"/>
                <w:szCs w:val="22"/>
              </w:rPr>
              <w:t xml:space="preserve">zásad zpracování práce a </w:t>
            </w:r>
            <w:r w:rsidRPr="005A3144">
              <w:rPr>
                <w:sz w:val="22"/>
                <w:szCs w:val="22"/>
              </w:rPr>
              <w:t>naplnění stanoveného</w:t>
            </w:r>
            <w:r>
              <w:rPr>
                <w:sz w:val="22"/>
                <w:szCs w:val="22"/>
              </w:rPr>
              <w:t xml:space="preserve"> cíle</w:t>
            </w:r>
          </w:p>
        </w:tc>
        <w:tc>
          <w:tcPr>
            <w:tcW w:w="1477" w:type="dxa"/>
            <w:vMerge w:val="restart"/>
            <w:tcBorders>
              <w:top w:val="single" w:sz="4" w:space="0" w:color="auto"/>
              <w:left w:val="single" w:sz="2" w:space="0" w:color="auto"/>
              <w:right w:val="double" w:sz="4" w:space="0" w:color="auto"/>
            </w:tcBorders>
            <w:vAlign w:val="center"/>
          </w:tcPr>
          <w:p w:rsidR="00251D2F" w:rsidRDefault="00107C23" w:rsidP="00FA23BB">
            <w:pPr>
              <w:jc w:val="center"/>
              <w:rPr>
                <w:b/>
              </w:rPr>
            </w:pPr>
            <w:r>
              <w:rPr>
                <w:b/>
              </w:rPr>
              <w:t>1</w:t>
            </w:r>
            <w:r w:rsidR="00D34139">
              <w:rPr>
                <w:b/>
              </w:rPr>
              <w:t>/2</w:t>
            </w:r>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314626"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Pr>
                <w:sz w:val="22"/>
                <w:szCs w:val="22"/>
              </w:rPr>
              <w:t>Logická struktura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Pr>
                <w:sz w:val="22"/>
                <w:szCs w:val="22"/>
              </w:rPr>
              <w:t>Vyváženost teoretické a praktické části</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C2CA4" w:rsidRDefault="00251D2F" w:rsidP="009F5166">
            <w:pPr>
              <w:jc w:val="center"/>
              <w:rPr>
                <w:b/>
              </w:rPr>
            </w:pPr>
            <w:r w:rsidRPr="005A3144">
              <w:rPr>
                <w:b/>
              </w:rPr>
              <w:t xml:space="preserve">Teoretická část </w:t>
            </w: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Kvalita uvedení do širšího kontextu</w:t>
            </w:r>
          </w:p>
        </w:tc>
        <w:tc>
          <w:tcPr>
            <w:tcW w:w="1477" w:type="dxa"/>
            <w:vMerge w:val="restart"/>
            <w:tcBorders>
              <w:top w:val="single" w:sz="4" w:space="0" w:color="auto"/>
              <w:left w:val="single" w:sz="2" w:space="0" w:color="auto"/>
              <w:right w:val="double" w:sz="4" w:space="0" w:color="auto"/>
            </w:tcBorders>
            <w:vAlign w:val="center"/>
          </w:tcPr>
          <w:p w:rsidR="00251D2F" w:rsidRDefault="00107C23" w:rsidP="00D34139">
            <w:pPr>
              <w:jc w:val="center"/>
              <w:rPr>
                <w:b/>
              </w:rPr>
            </w:pPr>
            <w:r>
              <w:rPr>
                <w:b/>
              </w:rPr>
              <w:t>1</w:t>
            </w:r>
            <w:r w:rsidR="00D34139">
              <w:rPr>
                <w:b/>
              </w:rPr>
              <w:t>/</w:t>
            </w:r>
            <w:r>
              <w:rPr>
                <w:b/>
              </w:rPr>
              <w:t>2</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9F5166">
            <w:pPr>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Tematická relevance teoretického úvodu k cíli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sidRPr="005A3144">
              <w:rPr>
                <w:b/>
              </w:rPr>
              <w:t xml:space="preserve">Praktická část </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9031E0">
              <w:rPr>
                <w:sz w:val="22"/>
                <w:szCs w:val="22"/>
              </w:rPr>
              <w:t xml:space="preserve">Vhodnost </w:t>
            </w:r>
            <w:r w:rsidR="00B134BD">
              <w:rPr>
                <w:sz w:val="22"/>
                <w:szCs w:val="22"/>
              </w:rPr>
              <w:t>využití primárních zdrojů pro podporu/ilustraci argumentace</w:t>
            </w:r>
          </w:p>
        </w:tc>
        <w:tc>
          <w:tcPr>
            <w:tcW w:w="1477" w:type="dxa"/>
            <w:vMerge w:val="restart"/>
            <w:tcBorders>
              <w:top w:val="single" w:sz="4" w:space="0" w:color="auto"/>
              <w:left w:val="single" w:sz="2" w:space="0" w:color="auto"/>
              <w:right w:val="double" w:sz="4" w:space="0" w:color="auto"/>
            </w:tcBorders>
            <w:vAlign w:val="center"/>
          </w:tcPr>
          <w:p w:rsidR="00251D2F" w:rsidRDefault="00D34139" w:rsidP="00FA23BB">
            <w:pPr>
              <w:jc w:val="center"/>
              <w:rPr>
                <w:b/>
              </w:rPr>
            </w:pPr>
            <w:r>
              <w:rPr>
                <w:b/>
              </w:rPr>
              <w:t>1/</w:t>
            </w:r>
            <w:r w:rsidR="00107C23">
              <w:rPr>
                <w:b/>
              </w:rPr>
              <w:t>2</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A3DB8" w:rsidRDefault="00251D2F" w:rsidP="00FA23BB">
            <w:pPr>
              <w:jc w:val="both"/>
              <w:rPr>
                <w:color w:val="FF0000"/>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546710" w:rsidRDefault="00B134BD" w:rsidP="009F6951">
            <w:pPr>
              <w:rPr>
                <w:sz w:val="22"/>
                <w:szCs w:val="22"/>
              </w:rPr>
            </w:pPr>
            <w:r w:rsidRPr="00546710">
              <w:rPr>
                <w:sz w:val="22"/>
                <w:szCs w:val="22"/>
              </w:rPr>
              <w:t>Rozsah a hloubka vlastní analýzy</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17B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 xml:space="preserve">Relevantní a srozumitelná argumentace </w:t>
            </w:r>
            <w:r w:rsidRPr="005A3144">
              <w:rPr>
                <w:sz w:val="22"/>
                <w:szCs w:val="22"/>
              </w:rPr>
              <w:t xml:space="preserve">a interpretace </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Práce s odbornou literaturou</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Kvalita, m</w:t>
            </w:r>
            <w:r w:rsidRPr="00BC2CA4">
              <w:rPr>
                <w:sz w:val="22"/>
                <w:szCs w:val="22"/>
              </w:rPr>
              <w:t xml:space="preserve">nožství </w:t>
            </w:r>
            <w:r>
              <w:rPr>
                <w:sz w:val="22"/>
                <w:szCs w:val="22"/>
              </w:rPr>
              <w:t xml:space="preserve">a relevance </w:t>
            </w:r>
            <w:r w:rsidRPr="00BC2CA4">
              <w:rPr>
                <w:sz w:val="22"/>
                <w:szCs w:val="22"/>
              </w:rPr>
              <w:t>zpracované literatury</w:t>
            </w:r>
          </w:p>
        </w:tc>
        <w:tc>
          <w:tcPr>
            <w:tcW w:w="1477" w:type="dxa"/>
            <w:vMerge w:val="restart"/>
            <w:tcBorders>
              <w:top w:val="single" w:sz="4" w:space="0" w:color="auto"/>
              <w:left w:val="single" w:sz="2" w:space="0" w:color="auto"/>
              <w:right w:val="double" w:sz="4" w:space="0" w:color="auto"/>
            </w:tcBorders>
            <w:vAlign w:val="center"/>
          </w:tcPr>
          <w:p w:rsidR="00901B2E" w:rsidRPr="006C1E17" w:rsidRDefault="00C75C74" w:rsidP="00BB0609">
            <w:pPr>
              <w:jc w:val="center"/>
              <w:rPr>
                <w:b/>
              </w:rPr>
            </w:pPr>
            <w:r>
              <w:rPr>
                <w:b/>
                <w:lang w:val="en-US"/>
              </w:rPr>
              <w:t>1</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BC2CA4">
              <w:rPr>
                <w:sz w:val="22"/>
                <w:szCs w:val="22"/>
              </w:rPr>
              <w:t>Kritický přístup ke zdrojům</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Formální stránka</w:t>
            </w:r>
          </w:p>
        </w:tc>
        <w:tc>
          <w:tcPr>
            <w:tcW w:w="7364" w:type="dxa"/>
            <w:tcBorders>
              <w:top w:val="single" w:sz="4" w:space="0" w:color="auto"/>
              <w:left w:val="single" w:sz="2" w:space="0" w:color="auto"/>
              <w:bottom w:val="single" w:sz="4" w:space="0" w:color="auto"/>
              <w:right w:val="single" w:sz="2" w:space="0" w:color="auto"/>
            </w:tcBorders>
          </w:tcPr>
          <w:p w:rsidR="00251D2F" w:rsidRDefault="000935F2" w:rsidP="009F6951">
            <w:pPr>
              <w:rPr>
                <w:b/>
              </w:rPr>
            </w:pPr>
            <w:r w:rsidRPr="000935F2">
              <w:rPr>
                <w:sz w:val="22"/>
                <w:szCs w:val="22"/>
              </w:rPr>
              <w:t xml:space="preserve">Dodržení doporučených pravidel a norem formální úpravy (směrnice UPa, </w:t>
            </w:r>
            <w:r>
              <w:rPr>
                <w:sz w:val="22"/>
                <w:szCs w:val="22"/>
              </w:rPr>
              <w:t>požadavky KAA)</w:t>
            </w:r>
          </w:p>
        </w:tc>
        <w:tc>
          <w:tcPr>
            <w:tcW w:w="1477" w:type="dxa"/>
            <w:vMerge w:val="restart"/>
            <w:tcBorders>
              <w:top w:val="single" w:sz="4" w:space="0" w:color="auto"/>
              <w:left w:val="single" w:sz="2" w:space="0" w:color="auto"/>
              <w:right w:val="double" w:sz="4" w:space="0" w:color="auto"/>
            </w:tcBorders>
            <w:vAlign w:val="center"/>
          </w:tcPr>
          <w:p w:rsidR="00251D2F" w:rsidRDefault="00107C23" w:rsidP="00FA23BB">
            <w:pPr>
              <w:jc w:val="center"/>
              <w:rPr>
                <w:b/>
              </w:rPr>
            </w:pPr>
            <w:r>
              <w:rPr>
                <w:b/>
              </w:rPr>
              <w:t>1</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Kvalita vědec</w:t>
            </w:r>
            <w:r w:rsidR="00453009">
              <w:rPr>
                <w:sz w:val="22"/>
                <w:szCs w:val="22"/>
              </w:rPr>
              <w:t>kého aparátu, příloh, tabulek a</w:t>
            </w:r>
            <w:r>
              <w:rPr>
                <w:sz w:val="22"/>
                <w:szCs w:val="22"/>
              </w:rPr>
              <w:t xml:space="preserve"> obrázků</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tc>
        <w:tc>
          <w:tcPr>
            <w:tcW w:w="7364" w:type="dxa"/>
            <w:tcBorders>
              <w:top w:val="single" w:sz="4" w:space="0" w:color="auto"/>
              <w:left w:val="single" w:sz="2" w:space="0" w:color="auto"/>
              <w:bottom w:val="single" w:sz="4" w:space="0" w:color="auto"/>
              <w:right w:val="single" w:sz="2" w:space="0" w:color="auto"/>
            </w:tcBorders>
          </w:tcPr>
          <w:p w:rsidR="00251D2F" w:rsidRPr="000935F2" w:rsidRDefault="000935F2" w:rsidP="000935F2">
            <w:pPr>
              <w:rPr>
                <w:sz w:val="22"/>
                <w:szCs w:val="22"/>
              </w:rPr>
            </w:pPr>
            <w:r w:rsidRPr="000935F2">
              <w:rPr>
                <w:sz w:val="22"/>
                <w:szCs w:val="22"/>
              </w:rPr>
              <w:t>Dodržení</w:t>
            </w:r>
            <w:r>
              <w:rPr>
                <w:sz w:val="22"/>
                <w:szCs w:val="22"/>
              </w:rPr>
              <w:t xml:space="preserve"> požadovaných citačních a</w:t>
            </w:r>
            <w:r w:rsidRPr="000935F2">
              <w:rPr>
                <w:sz w:val="22"/>
                <w:szCs w:val="22"/>
              </w:rPr>
              <w:t xml:space="preserve"> bibliografických norem</w:t>
            </w:r>
          </w:p>
        </w:tc>
        <w:tc>
          <w:tcPr>
            <w:tcW w:w="1477" w:type="dxa"/>
            <w:vMerge/>
            <w:tcBorders>
              <w:left w:val="single" w:sz="2" w:space="0" w:color="auto"/>
              <w:bottom w:val="single" w:sz="4" w:space="0" w:color="auto"/>
              <w:right w:val="double" w:sz="4" w:space="0" w:color="auto"/>
            </w:tcBorders>
          </w:tcPr>
          <w:p w:rsidR="00251D2F" w:rsidRDefault="00251D2F" w:rsidP="00FA23BB"/>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557689" w:rsidRDefault="00251D2F" w:rsidP="006D564B">
            <w:pPr>
              <w:jc w:val="center"/>
              <w:rPr>
                <w:b/>
              </w:rPr>
            </w:pPr>
            <w:r w:rsidRPr="00557689">
              <w:rPr>
                <w:b/>
              </w:rPr>
              <w:t xml:space="preserve">Jazyková úroveň </w:t>
            </w:r>
          </w:p>
        </w:tc>
        <w:tc>
          <w:tcPr>
            <w:tcW w:w="7364" w:type="dxa"/>
            <w:tcBorders>
              <w:top w:val="single" w:sz="4" w:space="0" w:color="auto"/>
              <w:left w:val="single" w:sz="2" w:space="0" w:color="auto"/>
              <w:bottom w:val="single" w:sz="4" w:space="0" w:color="auto"/>
              <w:right w:val="single" w:sz="2" w:space="0" w:color="auto"/>
            </w:tcBorders>
          </w:tcPr>
          <w:p w:rsidR="00251D2F" w:rsidRPr="002B47F6" w:rsidRDefault="00251D2F" w:rsidP="009F6951">
            <w:r w:rsidRPr="002B47F6">
              <w:rPr>
                <w:sz w:val="22"/>
                <w:szCs w:val="22"/>
              </w:rPr>
              <w:t>Gramatická přesnost a komplexnost</w:t>
            </w:r>
          </w:p>
        </w:tc>
        <w:tc>
          <w:tcPr>
            <w:tcW w:w="1477" w:type="dxa"/>
            <w:vMerge w:val="restart"/>
            <w:tcBorders>
              <w:top w:val="single" w:sz="4" w:space="0" w:color="auto"/>
              <w:left w:val="single" w:sz="2" w:space="0" w:color="auto"/>
              <w:right w:val="double" w:sz="4" w:space="0" w:color="auto"/>
            </w:tcBorders>
            <w:vAlign w:val="center"/>
          </w:tcPr>
          <w:p w:rsidR="00251D2F" w:rsidRDefault="006269BB" w:rsidP="00FA23BB">
            <w:pPr>
              <w:jc w:val="center"/>
              <w:rPr>
                <w:b/>
              </w:rPr>
            </w:pPr>
            <w:r>
              <w:rPr>
                <w:b/>
              </w:rPr>
              <w:t>3</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2B47F6" w:rsidRDefault="00251D2F" w:rsidP="009F6951">
            <w:r w:rsidRPr="002B47F6">
              <w:rPr>
                <w:sz w:val="22"/>
                <w:szCs w:val="22"/>
              </w:rPr>
              <w:t>Slovní zásoba</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Koheze a koherence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Interpunkce a stylistické aspekty</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bl>
    <w:p w:rsidR="00E469F0" w:rsidRDefault="00E469F0" w:rsidP="0043517D">
      <w:pPr>
        <w:jc w:val="both"/>
        <w:rPr>
          <w:b/>
        </w:rPr>
      </w:pPr>
    </w:p>
    <w:p w:rsidR="00E469F0" w:rsidRDefault="00E469F0" w:rsidP="0043517D">
      <w:pPr>
        <w:jc w:val="both"/>
        <w:rPr>
          <w:b/>
        </w:rPr>
      </w:pPr>
    </w:p>
    <w:p w:rsidR="00E469F0" w:rsidRDefault="00E469F0" w:rsidP="0043517D">
      <w:pPr>
        <w:jc w:val="both"/>
        <w:rPr>
          <w:b/>
        </w:rPr>
      </w:pPr>
    </w:p>
    <w:p w:rsidR="00E469F0" w:rsidRDefault="00E469F0" w:rsidP="0043517D">
      <w:pPr>
        <w:jc w:val="both"/>
        <w:rPr>
          <w:b/>
        </w:rPr>
      </w:pPr>
    </w:p>
    <w:p w:rsidR="00E469F0" w:rsidRDefault="00E469F0" w:rsidP="0043517D">
      <w:pPr>
        <w:jc w:val="both"/>
        <w:rPr>
          <w:b/>
        </w:rPr>
      </w:pPr>
    </w:p>
    <w:p w:rsidR="00E469F0" w:rsidRDefault="00E469F0" w:rsidP="0043517D">
      <w:pPr>
        <w:jc w:val="both"/>
        <w:rPr>
          <w:b/>
        </w:rPr>
      </w:pPr>
    </w:p>
    <w:p w:rsidR="00E469F0" w:rsidRDefault="00E469F0" w:rsidP="0043517D">
      <w:pPr>
        <w:jc w:val="both"/>
        <w:rPr>
          <w:b/>
        </w:rPr>
      </w:pPr>
    </w:p>
    <w:p w:rsidR="00E469F0" w:rsidRDefault="00E469F0" w:rsidP="0043517D">
      <w:pPr>
        <w:jc w:val="both"/>
        <w:rPr>
          <w:b/>
        </w:rPr>
      </w:pPr>
    </w:p>
    <w:p w:rsidR="00E469F0" w:rsidRDefault="00E469F0" w:rsidP="0043517D">
      <w:pPr>
        <w:jc w:val="both"/>
        <w:rPr>
          <w:b/>
        </w:rPr>
      </w:pPr>
    </w:p>
    <w:p w:rsidR="00E469F0" w:rsidRDefault="00E469F0" w:rsidP="0043517D">
      <w:pPr>
        <w:jc w:val="both"/>
        <w:rPr>
          <w:b/>
        </w:rPr>
      </w:pPr>
    </w:p>
    <w:p w:rsidR="00F10ECB" w:rsidRDefault="00FA23BB" w:rsidP="0043517D">
      <w:pPr>
        <w:jc w:val="both"/>
        <w:rPr>
          <w:b/>
        </w:rPr>
      </w:pPr>
      <w:r>
        <w:rPr>
          <w:b/>
        </w:rPr>
        <w:lastRenderedPageBreak/>
        <w:t>Slovní vyjádření k hodnocení bakalářské práce:</w:t>
      </w:r>
    </w:p>
    <w:p w:rsidR="00331F32" w:rsidRDefault="00C75C74" w:rsidP="0043517D">
      <w:pPr>
        <w:jc w:val="both"/>
        <w:rPr>
          <w:lang w:val="en-GB"/>
        </w:rPr>
      </w:pPr>
      <w:r>
        <w:rPr>
          <w:lang w:val="en-GB"/>
        </w:rPr>
        <w:t>This BP</w:t>
      </w:r>
      <w:r w:rsidRPr="00C75C74">
        <w:rPr>
          <w:lang w:val="en-GB"/>
        </w:rPr>
        <w:t xml:space="preserve"> is generally well done, </w:t>
      </w:r>
      <w:r w:rsidR="00C37E54">
        <w:rPr>
          <w:lang w:val="en-GB"/>
        </w:rPr>
        <w:t xml:space="preserve">with the information </w:t>
      </w:r>
      <w:r w:rsidRPr="00C75C74">
        <w:rPr>
          <w:lang w:val="en-GB"/>
        </w:rPr>
        <w:t>meeting and sometimes exceeding the require</w:t>
      </w:r>
      <w:r w:rsidR="00C37E54">
        <w:rPr>
          <w:lang w:val="en-GB"/>
        </w:rPr>
        <w:t>ments for study at the bachelor</w:t>
      </w:r>
      <w:r w:rsidRPr="00C75C74">
        <w:rPr>
          <w:lang w:val="en-GB"/>
        </w:rPr>
        <w:t xml:space="preserve"> level</w:t>
      </w:r>
      <w:r>
        <w:rPr>
          <w:lang w:val="en-GB"/>
        </w:rPr>
        <w:t xml:space="preserve">. Ecocriticism, the theoretical framework for the analyses, is introduced in chapter 1 with Glotfelty, followed by a narrowing of the focus to describe relationships of the Lake Poets with nature and its elements, </w:t>
      </w:r>
      <w:r w:rsidR="00331F32">
        <w:rPr>
          <w:lang w:val="en-GB"/>
        </w:rPr>
        <w:t xml:space="preserve">including an “urban vs. natural” binary (16-18), the ocean as a trope (18-19), and then an overview of </w:t>
      </w:r>
      <w:r w:rsidR="00C37E54">
        <w:rPr>
          <w:lang w:val="en-GB"/>
        </w:rPr>
        <w:t xml:space="preserve">the </w:t>
      </w:r>
      <w:r w:rsidR="00331F32">
        <w:rPr>
          <w:lang w:val="en-GB"/>
        </w:rPr>
        <w:t xml:space="preserve">figuration </w:t>
      </w:r>
      <w:r w:rsidR="00C37E54">
        <w:rPr>
          <w:lang w:val="en-GB"/>
        </w:rPr>
        <w:t xml:space="preserve">of </w:t>
      </w:r>
      <w:r w:rsidR="00331F32">
        <w:rPr>
          <w:lang w:val="en-GB"/>
        </w:rPr>
        <w:t xml:space="preserve">“natural elements” (19-23). A particularly interesting discourse is introduced in the last subchapter of the first section </w:t>
      </w:r>
      <w:r w:rsidR="00FC4D37">
        <w:rPr>
          <w:lang w:val="en-GB"/>
        </w:rPr>
        <w:t xml:space="preserve">(23-25) </w:t>
      </w:r>
      <w:r w:rsidR="00331F32">
        <w:rPr>
          <w:lang w:val="en-GB"/>
        </w:rPr>
        <w:t xml:space="preserve">with the sublime; here ancient </w:t>
      </w:r>
      <w:r w:rsidR="00FC4D37">
        <w:rPr>
          <w:lang w:val="en-GB"/>
        </w:rPr>
        <w:t xml:space="preserve">sources </w:t>
      </w:r>
      <w:r w:rsidR="00C37E54">
        <w:rPr>
          <w:lang w:val="en-GB"/>
        </w:rPr>
        <w:t xml:space="preserve">(Longinus) </w:t>
      </w:r>
      <w:r w:rsidR="00FC4D37">
        <w:rPr>
          <w:lang w:val="en-GB"/>
        </w:rPr>
        <w:t xml:space="preserve">as well as ones contemporaneous (Burke, Kant) to the selected poets round out </w:t>
      </w:r>
      <w:r w:rsidR="00C37E54">
        <w:rPr>
          <w:lang w:val="en-GB"/>
        </w:rPr>
        <w:t xml:space="preserve">the </w:t>
      </w:r>
      <w:r w:rsidR="00FC4D37">
        <w:rPr>
          <w:lang w:val="en-GB"/>
        </w:rPr>
        <w:t>concise overview.</w:t>
      </w:r>
    </w:p>
    <w:p w:rsidR="00FC4D37" w:rsidRDefault="00FC4D37" w:rsidP="0043517D">
      <w:pPr>
        <w:jc w:val="both"/>
        <w:rPr>
          <w:lang w:val="en-GB"/>
        </w:rPr>
      </w:pPr>
    </w:p>
    <w:p w:rsidR="00043268" w:rsidRDefault="00FC4D37" w:rsidP="0043517D">
      <w:pPr>
        <w:jc w:val="both"/>
        <w:rPr>
          <w:lang w:val="en-GB"/>
        </w:rPr>
      </w:pPr>
      <w:r>
        <w:rPr>
          <w:lang w:val="en-GB"/>
        </w:rPr>
        <w:t xml:space="preserve">Chapter 2 begins to focus more closely </w:t>
      </w:r>
      <w:r w:rsidR="00C37E54">
        <w:rPr>
          <w:lang w:val="en-GB"/>
        </w:rPr>
        <w:t xml:space="preserve">on one poem from each by Coleridge and Southey (a huge advantage in terms of the focus of the analytical conclusions). </w:t>
      </w:r>
      <w:r w:rsidR="00043268">
        <w:rPr>
          <w:lang w:val="en-GB"/>
        </w:rPr>
        <w:t xml:space="preserve">Water becomes central again in chapter 3 of the BP with the comparison / contrast of Coleridge’s and Southey’s treatment of associated figures in </w:t>
      </w:r>
      <w:r w:rsidR="00C37E54">
        <w:rPr>
          <w:lang w:val="en-GB"/>
        </w:rPr>
        <w:t>the two works</w:t>
      </w:r>
      <w:r w:rsidR="00043268">
        <w:rPr>
          <w:lang w:val="en-GB"/>
        </w:rPr>
        <w:t>. Here some of the theoretical issues mentioned earlier are used as analytical tools</w:t>
      </w:r>
      <w:r w:rsidR="00C37E54">
        <w:rPr>
          <w:lang w:val="en-GB"/>
        </w:rPr>
        <w:t>, but definitely</w:t>
      </w:r>
      <w:r w:rsidR="00043268">
        <w:rPr>
          <w:lang w:val="en-GB"/>
        </w:rPr>
        <w:t xml:space="preserve"> more specific references to the intriguing citations made in these </w:t>
      </w:r>
      <w:r w:rsidR="00C37E54">
        <w:rPr>
          <w:lang w:val="en-GB"/>
        </w:rPr>
        <w:t>earlier</w:t>
      </w:r>
      <w:r w:rsidR="00043268">
        <w:rPr>
          <w:lang w:val="en-GB"/>
        </w:rPr>
        <w:t xml:space="preserve"> chapters </w:t>
      </w:r>
      <w:r w:rsidR="00C37E54">
        <w:rPr>
          <w:lang w:val="en-GB"/>
        </w:rPr>
        <w:t xml:space="preserve">(e.g. the sublime) </w:t>
      </w:r>
      <w:r w:rsidR="00043268">
        <w:rPr>
          <w:lang w:val="en-GB"/>
        </w:rPr>
        <w:t>would have been welcome in th</w:t>
      </w:r>
      <w:r w:rsidR="00C37E54">
        <w:rPr>
          <w:lang w:val="en-GB"/>
        </w:rPr>
        <w:t>e</w:t>
      </w:r>
      <w:r w:rsidR="00043268">
        <w:rPr>
          <w:lang w:val="en-GB"/>
        </w:rPr>
        <w:t>s</w:t>
      </w:r>
      <w:r w:rsidR="00C37E54">
        <w:rPr>
          <w:lang w:val="en-GB"/>
        </w:rPr>
        <w:t>e</w:t>
      </w:r>
      <w:r w:rsidR="00043268">
        <w:rPr>
          <w:lang w:val="en-GB"/>
        </w:rPr>
        <w:t xml:space="preserve"> </w:t>
      </w:r>
      <w:r w:rsidR="00C37E54">
        <w:rPr>
          <w:lang w:val="en-GB"/>
        </w:rPr>
        <w:t>closer readings.</w:t>
      </w:r>
      <w:r w:rsidR="00043268">
        <w:rPr>
          <w:lang w:val="en-GB"/>
        </w:rPr>
        <w:t xml:space="preserve"> </w:t>
      </w:r>
      <w:r w:rsidR="00C37E54">
        <w:rPr>
          <w:lang w:val="en-GB"/>
        </w:rPr>
        <w:t>It seems that the position of the BP is that the way that nature was figured in Romantic poetry of the period never changed despite the vicissitudes of the culture in general (revolutions) and of each author’s work and life, e.g. that each became more politically conservative as he grew older.</w:t>
      </w:r>
    </w:p>
    <w:p w:rsidR="00043268" w:rsidRDefault="00043268" w:rsidP="0043517D">
      <w:pPr>
        <w:jc w:val="both"/>
        <w:rPr>
          <w:lang w:val="en-GB"/>
        </w:rPr>
      </w:pPr>
    </w:p>
    <w:p w:rsidR="00FC4D37" w:rsidRDefault="00C37E54" w:rsidP="0043517D">
      <w:pPr>
        <w:jc w:val="both"/>
        <w:rPr>
          <w:lang w:val="en-GB"/>
        </w:rPr>
      </w:pPr>
      <w:r>
        <w:rPr>
          <w:lang w:val="en-GB"/>
        </w:rPr>
        <w:t>Finally</w:t>
      </w:r>
      <w:r w:rsidR="00043268">
        <w:rPr>
          <w:lang w:val="en-GB"/>
        </w:rPr>
        <w:t xml:space="preserve">, the BP clearly points out and explains differences </w:t>
      </w:r>
      <w:r>
        <w:rPr>
          <w:lang w:val="en-GB"/>
        </w:rPr>
        <w:t xml:space="preserve">in the two works examined </w:t>
      </w:r>
      <w:r w:rsidR="00043268">
        <w:rPr>
          <w:lang w:val="en-GB"/>
        </w:rPr>
        <w:t>between the way each poet use</w:t>
      </w:r>
      <w:r>
        <w:rPr>
          <w:lang w:val="en-GB"/>
        </w:rPr>
        <w:t>s</w:t>
      </w:r>
      <w:r w:rsidR="00043268">
        <w:rPr>
          <w:lang w:val="en-GB"/>
        </w:rPr>
        <w:t xml:space="preserve"> nature in general, and water</w:t>
      </w:r>
      <w:r>
        <w:rPr>
          <w:lang w:val="en-GB"/>
        </w:rPr>
        <w:t xml:space="preserve"> in particular</w:t>
      </w:r>
      <w:r w:rsidR="00043268">
        <w:rPr>
          <w:lang w:val="en-GB"/>
        </w:rPr>
        <w:t>.</w:t>
      </w:r>
      <w:r w:rsidR="00290EDA">
        <w:rPr>
          <w:lang w:val="en-GB"/>
        </w:rPr>
        <w:t xml:space="preserve"> The afore-mentioned lack of a broader perspective (understandable at the </w:t>
      </w:r>
      <w:r w:rsidR="00D34139">
        <w:rPr>
          <w:lang w:val="en-GB"/>
        </w:rPr>
        <w:t>bachelor’s</w:t>
      </w:r>
      <w:r w:rsidR="00290EDA">
        <w:rPr>
          <w:lang w:val="en-GB"/>
        </w:rPr>
        <w:t xml:space="preserve"> level), and, more significantly, the level of English, </w:t>
      </w:r>
      <w:r>
        <w:rPr>
          <w:lang w:val="en-GB"/>
        </w:rPr>
        <w:t>sometimes</w:t>
      </w:r>
      <w:r w:rsidR="00290EDA">
        <w:rPr>
          <w:lang w:val="en-GB"/>
        </w:rPr>
        <w:t xml:space="preserve"> with basic mistakes and non-standard usage of grammar, occasional </w:t>
      </w:r>
      <w:r w:rsidR="00D34139">
        <w:rPr>
          <w:lang w:val="en-GB"/>
        </w:rPr>
        <w:t>inconsistencies</w:t>
      </w:r>
      <w:bookmarkStart w:id="0" w:name="_GoBack"/>
      <w:bookmarkEnd w:id="0"/>
      <w:r w:rsidR="00290EDA">
        <w:rPr>
          <w:lang w:val="en-GB"/>
        </w:rPr>
        <w:t xml:space="preserve"> in register, the use of Czech orthographic conventions, e.g. punctuation, reflected a mark of 2 in my opinion.</w:t>
      </w:r>
    </w:p>
    <w:p w:rsidR="00331F32" w:rsidRPr="00C75C74" w:rsidRDefault="00331F32" w:rsidP="0043517D">
      <w:pPr>
        <w:jc w:val="both"/>
        <w:rPr>
          <w:lang w:val="en-GB"/>
        </w:rPr>
      </w:pPr>
    </w:p>
    <w:p w:rsidR="00B502B0" w:rsidRPr="0079523C" w:rsidRDefault="00B502B0" w:rsidP="0043517D">
      <w:pPr>
        <w:jc w:val="both"/>
      </w:pPr>
    </w:p>
    <w:p w:rsidR="0043517D" w:rsidRDefault="0043517D" w:rsidP="00FA23BB">
      <w:pPr>
        <w:jc w:val="both"/>
        <w:rPr>
          <w:bCs/>
          <w:sz w:val="12"/>
          <w:szCs w:val="12"/>
        </w:rPr>
      </w:pPr>
    </w:p>
    <w:p w:rsidR="00E469F0" w:rsidRDefault="00E469F0" w:rsidP="00FA23BB">
      <w:pPr>
        <w:jc w:val="both"/>
        <w:rPr>
          <w:bCs/>
          <w:sz w:val="12"/>
          <w:szCs w:val="12"/>
        </w:rPr>
      </w:pPr>
    </w:p>
    <w:p w:rsidR="00E469F0" w:rsidRPr="0043517D" w:rsidRDefault="00E469F0" w:rsidP="00FA23BB">
      <w:pPr>
        <w:jc w:val="both"/>
        <w:rPr>
          <w:bCs/>
          <w:sz w:val="12"/>
          <w:szCs w:val="12"/>
        </w:rPr>
      </w:pPr>
    </w:p>
    <w:p w:rsidR="00FA05E5" w:rsidRPr="00D86C78" w:rsidRDefault="00FA05E5" w:rsidP="00FA23BB">
      <w:pPr>
        <w:jc w:val="both"/>
        <w:rPr>
          <w:sz w:val="4"/>
          <w:szCs w:val="4"/>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Tr="00D86C78">
        <w:trPr>
          <w:trHeight w:val="583"/>
        </w:trPr>
        <w:tc>
          <w:tcPr>
            <w:tcW w:w="7488" w:type="dxa"/>
            <w:tcBorders>
              <w:top w:val="double" w:sz="4" w:space="0" w:color="auto"/>
              <w:left w:val="double" w:sz="4" w:space="0" w:color="auto"/>
              <w:bottom w:val="double" w:sz="4" w:space="0" w:color="auto"/>
              <w:right w:val="single" w:sz="4" w:space="0" w:color="auto"/>
            </w:tcBorders>
            <w:vAlign w:val="center"/>
          </w:tcPr>
          <w:p w:rsidR="00057C14" w:rsidRDefault="00FA23BB" w:rsidP="00FA23BB">
            <w:pPr>
              <w:jc w:val="both"/>
              <w:rPr>
                <w:b/>
                <w:sz w:val="32"/>
                <w:szCs w:val="32"/>
              </w:rPr>
            </w:pPr>
            <w:r>
              <w:rPr>
                <w:b/>
                <w:sz w:val="28"/>
                <w:szCs w:val="28"/>
              </w:rPr>
              <w:t>V ý s l e d n á   k l a s i f i k a c e</w:t>
            </w:r>
            <w:r w:rsidR="0098138A">
              <w:rPr>
                <w:b/>
                <w:sz w:val="28"/>
                <w:szCs w:val="28"/>
              </w:rPr>
              <w:t>*</w:t>
            </w:r>
          </w:p>
          <w:p w:rsidR="00FA23BB" w:rsidRDefault="00FA23BB" w:rsidP="00FA23BB">
            <w:pPr>
              <w:jc w:val="both"/>
              <w:rPr>
                <w:b/>
              </w:rPr>
            </w:pPr>
            <w:r w:rsidRPr="002173C8">
              <w:t>(m</w:t>
            </w:r>
            <w:r w:rsidR="000013C7">
              <w:t xml:space="preserve">ožnosti klasifikace - výborně, </w:t>
            </w:r>
            <w:r w:rsidRPr="00C75C74">
              <w:rPr>
                <w:b/>
                <w:u w:val="single"/>
              </w:rPr>
              <w:t>velmi dobře</w:t>
            </w:r>
            <w:r w:rsidRPr="002173C8">
              <w:t xml:space="preserve">, </w:t>
            </w:r>
            <w:r w:rsidRPr="00C75C74">
              <w:t>dobře</w:t>
            </w:r>
            <w:r w:rsidRPr="002173C8">
              <w:t xml:space="preserve">, </w:t>
            </w:r>
            <w:r w:rsidRPr="006C1E17">
              <w:t>nevyhověl</w:t>
            </w:r>
            <w:r w:rsidRPr="002173C8">
              <w:t>)</w:t>
            </w:r>
          </w:p>
        </w:tc>
        <w:tc>
          <w:tcPr>
            <w:tcW w:w="2151" w:type="dxa"/>
            <w:tcBorders>
              <w:top w:val="double" w:sz="4" w:space="0" w:color="auto"/>
              <w:left w:val="single" w:sz="4" w:space="0" w:color="auto"/>
              <w:bottom w:val="double" w:sz="4" w:space="0" w:color="auto"/>
              <w:right w:val="double" w:sz="4" w:space="0" w:color="auto"/>
            </w:tcBorders>
          </w:tcPr>
          <w:p w:rsidR="00E94257" w:rsidRPr="00C75C74" w:rsidRDefault="00E94257" w:rsidP="00352364">
            <w:pPr>
              <w:spacing w:line="360" w:lineRule="auto"/>
              <w:jc w:val="center"/>
              <w:rPr>
                <w:b/>
              </w:rPr>
            </w:pPr>
          </w:p>
          <w:p w:rsidR="00FA23BB" w:rsidRPr="00C75C74" w:rsidRDefault="00C75C74" w:rsidP="00420A01">
            <w:pPr>
              <w:spacing w:line="360" w:lineRule="auto"/>
              <w:jc w:val="center"/>
              <w:rPr>
                <w:b/>
              </w:rPr>
            </w:pPr>
            <w:r w:rsidRPr="00C75C74">
              <w:rPr>
                <w:b/>
              </w:rPr>
              <w:t xml:space="preserve">velmi </w:t>
            </w:r>
            <w:r w:rsidR="006C1E17" w:rsidRPr="00C75C74">
              <w:rPr>
                <w:b/>
              </w:rPr>
              <w:t>dobře</w:t>
            </w:r>
          </w:p>
        </w:tc>
      </w:tr>
    </w:tbl>
    <w:p w:rsidR="000013C7" w:rsidRPr="000013C7" w:rsidRDefault="000013C7" w:rsidP="00FA23BB">
      <w:pPr>
        <w:spacing w:before="120" w:line="360" w:lineRule="auto"/>
        <w:jc w:val="center"/>
        <w:rPr>
          <w:b/>
          <w:sz w:val="4"/>
          <w:szCs w:val="4"/>
          <w:u w:val="single"/>
        </w:rPr>
      </w:pPr>
    </w:p>
    <w:p w:rsidR="00231532" w:rsidRDefault="00FA23BB" w:rsidP="0043517D">
      <w:pPr>
        <w:jc w:val="center"/>
        <w:rPr>
          <w:b/>
          <w:sz w:val="28"/>
          <w:szCs w:val="28"/>
        </w:rPr>
      </w:pPr>
      <w:r w:rsidRPr="006C1E17">
        <w:rPr>
          <w:b/>
          <w:sz w:val="28"/>
          <w:szCs w:val="28"/>
          <w:u w:val="single"/>
        </w:rPr>
        <w:t>Doporučuji</w:t>
      </w:r>
      <w:r w:rsidRPr="00D82884">
        <w:rPr>
          <w:b/>
          <w:sz w:val="28"/>
          <w:szCs w:val="28"/>
        </w:rPr>
        <w:t xml:space="preserve"> </w:t>
      </w:r>
      <w:r>
        <w:rPr>
          <w:b/>
          <w:sz w:val="28"/>
          <w:szCs w:val="28"/>
        </w:rPr>
        <w:t xml:space="preserve">/ </w:t>
      </w:r>
      <w:r w:rsidR="008B28FF" w:rsidRPr="006C1E17">
        <w:rPr>
          <w:b/>
          <w:strike/>
          <w:sz w:val="28"/>
          <w:szCs w:val="28"/>
        </w:rPr>
        <w:t>N</w:t>
      </w:r>
      <w:r w:rsidRPr="006C1E17">
        <w:rPr>
          <w:b/>
          <w:strike/>
          <w:sz w:val="28"/>
          <w:szCs w:val="28"/>
        </w:rPr>
        <w:t>edoporučuji</w:t>
      </w:r>
      <w:r>
        <w:rPr>
          <w:b/>
          <w:sz w:val="28"/>
          <w:szCs w:val="28"/>
        </w:rPr>
        <w:t xml:space="preserve"> bakalářskou práci k obhajobě.</w:t>
      </w:r>
    </w:p>
    <w:p w:rsidR="00D20671" w:rsidRDefault="00D20671" w:rsidP="0043517D">
      <w:pPr>
        <w:jc w:val="center"/>
        <w:rPr>
          <w:b/>
          <w:sz w:val="28"/>
          <w:szCs w:val="28"/>
        </w:rPr>
      </w:pPr>
    </w:p>
    <w:p w:rsidR="0043517D" w:rsidRPr="008D4970" w:rsidRDefault="0043517D" w:rsidP="0043517D">
      <w:pPr>
        <w:spacing w:before="120" w:line="360" w:lineRule="auto"/>
        <w:jc w:val="center"/>
        <w:rPr>
          <w:b/>
          <w:sz w:val="4"/>
          <w:szCs w:val="4"/>
        </w:rPr>
      </w:pPr>
    </w:p>
    <w:p w:rsidR="00A54838" w:rsidRDefault="00FA23BB" w:rsidP="00A54838">
      <w:pPr>
        <w:jc w:val="both"/>
      </w:pPr>
      <w:r>
        <w:t>Dne:</w:t>
      </w:r>
      <w:r>
        <w:tab/>
      </w:r>
      <w:r w:rsidR="006B2017">
        <w:t>9</w:t>
      </w:r>
      <w:r w:rsidR="006173AB">
        <w:t>.8</w:t>
      </w:r>
      <w:r w:rsidR="00BB0609">
        <w:t>.2</w:t>
      </w:r>
      <w:r w:rsidR="006B03F2">
        <w:t>015</w:t>
      </w:r>
      <w:r>
        <w:tab/>
      </w:r>
      <w:r>
        <w:tab/>
      </w:r>
      <w:r>
        <w:tab/>
      </w:r>
      <w:r>
        <w:tab/>
      </w:r>
      <w:r w:rsidR="000E6424">
        <w:t xml:space="preserve">           </w:t>
      </w:r>
      <w:r w:rsidR="006B03F2">
        <w:t xml:space="preserve"> </w:t>
      </w:r>
      <w:r w:rsidR="006E4538">
        <w:t>Daniel P. Sampey</w:t>
      </w:r>
    </w:p>
    <w:p w:rsidR="00FA23BB" w:rsidRDefault="00A54838" w:rsidP="000013C7">
      <w:pPr>
        <w:jc w:val="both"/>
        <w:rPr>
          <w:sz w:val="32"/>
          <w:szCs w:val="32"/>
          <w:vertAlign w:val="superscript"/>
        </w:rPr>
      </w:pPr>
      <w:r>
        <w:tab/>
      </w:r>
      <w:r>
        <w:tab/>
      </w:r>
      <w:r>
        <w:tab/>
      </w:r>
      <w:r>
        <w:tab/>
      </w:r>
      <w:r>
        <w:tab/>
      </w:r>
      <w:r>
        <w:tab/>
      </w:r>
      <w:r>
        <w:tab/>
        <w:t xml:space="preserve">Podpis </w:t>
      </w:r>
      <w:r w:rsidR="000013C7">
        <w:t>oponenta</w:t>
      </w:r>
      <w:r>
        <w:t xml:space="preserve"> práce</w:t>
      </w:r>
    </w:p>
    <w:sectPr w:rsidR="00FA23BB" w:rsidSect="000E6424">
      <w:pgSz w:w="11906" w:h="16838"/>
      <w:pgMar w:top="899" w:right="926" w:bottom="810" w:left="126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404A" w:rsidRDefault="0084404A" w:rsidP="00C6291B">
      <w:r>
        <w:separator/>
      </w:r>
    </w:p>
  </w:endnote>
  <w:endnote w:type="continuationSeparator" w:id="0">
    <w:p w:rsidR="0084404A" w:rsidRDefault="0084404A" w:rsidP="00C62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404A" w:rsidRDefault="0084404A" w:rsidP="00C6291B">
      <w:r>
        <w:separator/>
      </w:r>
    </w:p>
  </w:footnote>
  <w:footnote w:type="continuationSeparator" w:id="0">
    <w:p w:rsidR="0084404A" w:rsidRDefault="0084404A" w:rsidP="00C629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78764A"/>
    <w:multiLevelType w:val="hybridMultilevel"/>
    <w:tmpl w:val="241C89CE"/>
    <w:lvl w:ilvl="0" w:tplc="BF525E9C">
      <w:numFmt w:val="bullet"/>
      <w:lvlText w:val="-"/>
      <w:lvlJc w:val="left"/>
      <w:pPr>
        <w:tabs>
          <w:tab w:val="num" w:pos="720"/>
        </w:tabs>
        <w:ind w:left="720" w:hanging="360"/>
      </w:pPr>
      <w:rPr>
        <w:rFonts w:ascii="Times New Roman" w:eastAsia="Times New Roman" w:hAnsi="Times New Roman" w:cs="Times New Roman" w:hint="default"/>
        <w:b/>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3BB"/>
    <w:rsid w:val="000013C7"/>
    <w:rsid w:val="000251B5"/>
    <w:rsid w:val="00030BBC"/>
    <w:rsid w:val="00043268"/>
    <w:rsid w:val="000474EA"/>
    <w:rsid w:val="000522EE"/>
    <w:rsid w:val="000524E4"/>
    <w:rsid w:val="000567C9"/>
    <w:rsid w:val="00057C14"/>
    <w:rsid w:val="00060FCA"/>
    <w:rsid w:val="000838E3"/>
    <w:rsid w:val="000935F2"/>
    <w:rsid w:val="0009742B"/>
    <w:rsid w:val="000A0C25"/>
    <w:rsid w:val="000B2F38"/>
    <w:rsid w:val="000B50BE"/>
    <w:rsid w:val="000B5A26"/>
    <w:rsid w:val="000C4A04"/>
    <w:rsid w:val="000C5359"/>
    <w:rsid w:val="000C6CF6"/>
    <w:rsid w:val="000D2443"/>
    <w:rsid w:val="000D7944"/>
    <w:rsid w:val="000E6424"/>
    <w:rsid w:val="000F2FE5"/>
    <w:rsid w:val="000F32AB"/>
    <w:rsid w:val="000F3C4C"/>
    <w:rsid w:val="00102656"/>
    <w:rsid w:val="0010274D"/>
    <w:rsid w:val="00103DD2"/>
    <w:rsid w:val="0010576E"/>
    <w:rsid w:val="00107C23"/>
    <w:rsid w:val="001131E2"/>
    <w:rsid w:val="00124E4F"/>
    <w:rsid w:val="00134F15"/>
    <w:rsid w:val="00147E58"/>
    <w:rsid w:val="0015188B"/>
    <w:rsid w:val="001543A3"/>
    <w:rsid w:val="00165C48"/>
    <w:rsid w:val="001805BC"/>
    <w:rsid w:val="00183932"/>
    <w:rsid w:val="0019587E"/>
    <w:rsid w:val="00195E02"/>
    <w:rsid w:val="001977CD"/>
    <w:rsid w:val="001A10F8"/>
    <w:rsid w:val="001B44F7"/>
    <w:rsid w:val="001C2227"/>
    <w:rsid w:val="001C6D4E"/>
    <w:rsid w:val="001E3AC4"/>
    <w:rsid w:val="001E6929"/>
    <w:rsid w:val="001E6BEC"/>
    <w:rsid w:val="001F50FB"/>
    <w:rsid w:val="001F569C"/>
    <w:rsid w:val="002056F3"/>
    <w:rsid w:val="0021613B"/>
    <w:rsid w:val="002173C8"/>
    <w:rsid w:val="00231532"/>
    <w:rsid w:val="0023410E"/>
    <w:rsid w:val="00243A7C"/>
    <w:rsid w:val="0024774A"/>
    <w:rsid w:val="00247F0F"/>
    <w:rsid w:val="0025037F"/>
    <w:rsid w:val="00250C6E"/>
    <w:rsid w:val="00250F8F"/>
    <w:rsid w:val="00251D2F"/>
    <w:rsid w:val="002542A7"/>
    <w:rsid w:val="00255624"/>
    <w:rsid w:val="002635BE"/>
    <w:rsid w:val="00264387"/>
    <w:rsid w:val="00265DEA"/>
    <w:rsid w:val="00287168"/>
    <w:rsid w:val="00290EDA"/>
    <w:rsid w:val="00293121"/>
    <w:rsid w:val="00293E9A"/>
    <w:rsid w:val="00295B07"/>
    <w:rsid w:val="00296AB4"/>
    <w:rsid w:val="002A111C"/>
    <w:rsid w:val="002A441D"/>
    <w:rsid w:val="002B3F72"/>
    <w:rsid w:val="002B47F6"/>
    <w:rsid w:val="002B773B"/>
    <w:rsid w:val="002C7821"/>
    <w:rsid w:val="002D3EB7"/>
    <w:rsid w:val="002E1AC7"/>
    <w:rsid w:val="002E56FD"/>
    <w:rsid w:val="002F1CD9"/>
    <w:rsid w:val="002F3C85"/>
    <w:rsid w:val="00300858"/>
    <w:rsid w:val="003012A4"/>
    <w:rsid w:val="00305C53"/>
    <w:rsid w:val="0030634F"/>
    <w:rsid w:val="00312AED"/>
    <w:rsid w:val="003145B2"/>
    <w:rsid w:val="00314626"/>
    <w:rsid w:val="00322883"/>
    <w:rsid w:val="003237C8"/>
    <w:rsid w:val="00331F32"/>
    <w:rsid w:val="003476A5"/>
    <w:rsid w:val="00347EBD"/>
    <w:rsid w:val="00352364"/>
    <w:rsid w:val="00357D0E"/>
    <w:rsid w:val="00373105"/>
    <w:rsid w:val="00381DBB"/>
    <w:rsid w:val="00391F0D"/>
    <w:rsid w:val="003C06CB"/>
    <w:rsid w:val="003C0FF4"/>
    <w:rsid w:val="003C47A3"/>
    <w:rsid w:val="003C6589"/>
    <w:rsid w:val="003C66C9"/>
    <w:rsid w:val="003D0434"/>
    <w:rsid w:val="003E5A76"/>
    <w:rsid w:val="003F4913"/>
    <w:rsid w:val="004022A6"/>
    <w:rsid w:val="00413AB3"/>
    <w:rsid w:val="00414C18"/>
    <w:rsid w:val="00420A01"/>
    <w:rsid w:val="00422445"/>
    <w:rsid w:val="00423B09"/>
    <w:rsid w:val="00427507"/>
    <w:rsid w:val="0043517D"/>
    <w:rsid w:val="00443C9F"/>
    <w:rsid w:val="00450035"/>
    <w:rsid w:val="004518F8"/>
    <w:rsid w:val="00453009"/>
    <w:rsid w:val="004835F5"/>
    <w:rsid w:val="00484A51"/>
    <w:rsid w:val="004955C2"/>
    <w:rsid w:val="004B26EB"/>
    <w:rsid w:val="004C06DB"/>
    <w:rsid w:val="004C3F61"/>
    <w:rsid w:val="004D3C72"/>
    <w:rsid w:val="004D51C2"/>
    <w:rsid w:val="004D6E0F"/>
    <w:rsid w:val="004D6EC1"/>
    <w:rsid w:val="004E6AA1"/>
    <w:rsid w:val="004F4557"/>
    <w:rsid w:val="00511C4C"/>
    <w:rsid w:val="0051466D"/>
    <w:rsid w:val="005147BD"/>
    <w:rsid w:val="00516E98"/>
    <w:rsid w:val="00530DAA"/>
    <w:rsid w:val="00543740"/>
    <w:rsid w:val="00543874"/>
    <w:rsid w:val="00544180"/>
    <w:rsid w:val="00544730"/>
    <w:rsid w:val="00546710"/>
    <w:rsid w:val="00550D86"/>
    <w:rsid w:val="0055103F"/>
    <w:rsid w:val="005555B3"/>
    <w:rsid w:val="00555EA6"/>
    <w:rsid w:val="00557689"/>
    <w:rsid w:val="00576CBB"/>
    <w:rsid w:val="00584B28"/>
    <w:rsid w:val="005A3144"/>
    <w:rsid w:val="005B2528"/>
    <w:rsid w:val="005B44BC"/>
    <w:rsid w:val="005C0B59"/>
    <w:rsid w:val="005C0C2D"/>
    <w:rsid w:val="005C0F3A"/>
    <w:rsid w:val="005C3613"/>
    <w:rsid w:val="005C4637"/>
    <w:rsid w:val="005C5E84"/>
    <w:rsid w:val="005D3BBD"/>
    <w:rsid w:val="005D67EE"/>
    <w:rsid w:val="005E2BF8"/>
    <w:rsid w:val="006000B1"/>
    <w:rsid w:val="00601060"/>
    <w:rsid w:val="0061262E"/>
    <w:rsid w:val="006152BC"/>
    <w:rsid w:val="006173AB"/>
    <w:rsid w:val="00621E69"/>
    <w:rsid w:val="00622A79"/>
    <w:rsid w:val="006269BB"/>
    <w:rsid w:val="006558A8"/>
    <w:rsid w:val="006578C9"/>
    <w:rsid w:val="00681E3B"/>
    <w:rsid w:val="00681EEA"/>
    <w:rsid w:val="006820CA"/>
    <w:rsid w:val="0069173B"/>
    <w:rsid w:val="006944CF"/>
    <w:rsid w:val="00695B30"/>
    <w:rsid w:val="006A026D"/>
    <w:rsid w:val="006A5C98"/>
    <w:rsid w:val="006B03F2"/>
    <w:rsid w:val="006B2017"/>
    <w:rsid w:val="006B4321"/>
    <w:rsid w:val="006C1E17"/>
    <w:rsid w:val="006C42C2"/>
    <w:rsid w:val="006D564B"/>
    <w:rsid w:val="006D6B6A"/>
    <w:rsid w:val="006E4538"/>
    <w:rsid w:val="006F3442"/>
    <w:rsid w:val="006F7F2F"/>
    <w:rsid w:val="00721B31"/>
    <w:rsid w:val="007401C3"/>
    <w:rsid w:val="00763D62"/>
    <w:rsid w:val="00764001"/>
    <w:rsid w:val="007660E2"/>
    <w:rsid w:val="00770150"/>
    <w:rsid w:val="00771FD6"/>
    <w:rsid w:val="00774878"/>
    <w:rsid w:val="00777247"/>
    <w:rsid w:val="0079523C"/>
    <w:rsid w:val="007A2A4D"/>
    <w:rsid w:val="007A45EC"/>
    <w:rsid w:val="007A78A4"/>
    <w:rsid w:val="007B2527"/>
    <w:rsid w:val="007B43AD"/>
    <w:rsid w:val="007C2F57"/>
    <w:rsid w:val="007C2F9E"/>
    <w:rsid w:val="007C4737"/>
    <w:rsid w:val="007D4AE1"/>
    <w:rsid w:val="007D56F5"/>
    <w:rsid w:val="007E006E"/>
    <w:rsid w:val="007E2086"/>
    <w:rsid w:val="007E39B3"/>
    <w:rsid w:val="007F4846"/>
    <w:rsid w:val="00812AF9"/>
    <w:rsid w:val="00813104"/>
    <w:rsid w:val="00824F03"/>
    <w:rsid w:val="00833287"/>
    <w:rsid w:val="0084404A"/>
    <w:rsid w:val="0084409A"/>
    <w:rsid w:val="008515FB"/>
    <w:rsid w:val="00854424"/>
    <w:rsid w:val="00866557"/>
    <w:rsid w:val="00871612"/>
    <w:rsid w:val="008726E0"/>
    <w:rsid w:val="00880304"/>
    <w:rsid w:val="0088094F"/>
    <w:rsid w:val="008810DA"/>
    <w:rsid w:val="008A793D"/>
    <w:rsid w:val="008B0C15"/>
    <w:rsid w:val="008B28FF"/>
    <w:rsid w:val="008C465A"/>
    <w:rsid w:val="008D143E"/>
    <w:rsid w:val="008D4970"/>
    <w:rsid w:val="008E33A4"/>
    <w:rsid w:val="008F4E8D"/>
    <w:rsid w:val="00901B2E"/>
    <w:rsid w:val="009027B3"/>
    <w:rsid w:val="009031E0"/>
    <w:rsid w:val="00907746"/>
    <w:rsid w:val="00907A0E"/>
    <w:rsid w:val="0091265B"/>
    <w:rsid w:val="009242FB"/>
    <w:rsid w:val="0093323A"/>
    <w:rsid w:val="00934F4D"/>
    <w:rsid w:val="00942C30"/>
    <w:rsid w:val="00975E61"/>
    <w:rsid w:val="0098138A"/>
    <w:rsid w:val="00986EF4"/>
    <w:rsid w:val="009A72E2"/>
    <w:rsid w:val="009B0F85"/>
    <w:rsid w:val="009B42EE"/>
    <w:rsid w:val="009B7438"/>
    <w:rsid w:val="009C2892"/>
    <w:rsid w:val="009E46D5"/>
    <w:rsid w:val="009F2BBE"/>
    <w:rsid w:val="009F5166"/>
    <w:rsid w:val="009F6951"/>
    <w:rsid w:val="00A00B26"/>
    <w:rsid w:val="00A0318B"/>
    <w:rsid w:val="00A05820"/>
    <w:rsid w:val="00A17BE9"/>
    <w:rsid w:val="00A214FC"/>
    <w:rsid w:val="00A259A8"/>
    <w:rsid w:val="00A32C04"/>
    <w:rsid w:val="00A42FE6"/>
    <w:rsid w:val="00A50F6F"/>
    <w:rsid w:val="00A54563"/>
    <w:rsid w:val="00A54838"/>
    <w:rsid w:val="00A54F28"/>
    <w:rsid w:val="00A625C4"/>
    <w:rsid w:val="00A62FFD"/>
    <w:rsid w:val="00A665A4"/>
    <w:rsid w:val="00A722D3"/>
    <w:rsid w:val="00A74423"/>
    <w:rsid w:val="00A86E39"/>
    <w:rsid w:val="00A87481"/>
    <w:rsid w:val="00A878B4"/>
    <w:rsid w:val="00A96936"/>
    <w:rsid w:val="00AA20E5"/>
    <w:rsid w:val="00AA3B18"/>
    <w:rsid w:val="00AA400B"/>
    <w:rsid w:val="00AB224D"/>
    <w:rsid w:val="00AB5D90"/>
    <w:rsid w:val="00AB7843"/>
    <w:rsid w:val="00AC3681"/>
    <w:rsid w:val="00AF3316"/>
    <w:rsid w:val="00B050B5"/>
    <w:rsid w:val="00B11004"/>
    <w:rsid w:val="00B12BE2"/>
    <w:rsid w:val="00B134BD"/>
    <w:rsid w:val="00B201D7"/>
    <w:rsid w:val="00B253C7"/>
    <w:rsid w:val="00B361E1"/>
    <w:rsid w:val="00B44E3C"/>
    <w:rsid w:val="00B502B0"/>
    <w:rsid w:val="00B54051"/>
    <w:rsid w:val="00B57F92"/>
    <w:rsid w:val="00B60613"/>
    <w:rsid w:val="00B64081"/>
    <w:rsid w:val="00B641BF"/>
    <w:rsid w:val="00B709DE"/>
    <w:rsid w:val="00B77830"/>
    <w:rsid w:val="00B83BE5"/>
    <w:rsid w:val="00B928AC"/>
    <w:rsid w:val="00B93539"/>
    <w:rsid w:val="00BA62A9"/>
    <w:rsid w:val="00BB0609"/>
    <w:rsid w:val="00BB246F"/>
    <w:rsid w:val="00BB54AC"/>
    <w:rsid w:val="00BC28FE"/>
    <w:rsid w:val="00BC2CA4"/>
    <w:rsid w:val="00BC2F76"/>
    <w:rsid w:val="00BC617E"/>
    <w:rsid w:val="00BC6B47"/>
    <w:rsid w:val="00BD09A4"/>
    <w:rsid w:val="00BF3B35"/>
    <w:rsid w:val="00C01A93"/>
    <w:rsid w:val="00C1076B"/>
    <w:rsid w:val="00C112BA"/>
    <w:rsid w:val="00C14706"/>
    <w:rsid w:val="00C263F7"/>
    <w:rsid w:val="00C31D47"/>
    <w:rsid w:val="00C37382"/>
    <w:rsid w:val="00C37E54"/>
    <w:rsid w:val="00C444CD"/>
    <w:rsid w:val="00C52334"/>
    <w:rsid w:val="00C5339D"/>
    <w:rsid w:val="00C60E35"/>
    <w:rsid w:val="00C6291B"/>
    <w:rsid w:val="00C656A6"/>
    <w:rsid w:val="00C73DF3"/>
    <w:rsid w:val="00C753B2"/>
    <w:rsid w:val="00C75C74"/>
    <w:rsid w:val="00C81014"/>
    <w:rsid w:val="00C81484"/>
    <w:rsid w:val="00C90A51"/>
    <w:rsid w:val="00C912E1"/>
    <w:rsid w:val="00C92EC4"/>
    <w:rsid w:val="00CA2B30"/>
    <w:rsid w:val="00CA31CA"/>
    <w:rsid w:val="00CA6821"/>
    <w:rsid w:val="00CB1594"/>
    <w:rsid w:val="00CB759B"/>
    <w:rsid w:val="00CB797A"/>
    <w:rsid w:val="00CC5A6E"/>
    <w:rsid w:val="00CC687E"/>
    <w:rsid w:val="00CD656D"/>
    <w:rsid w:val="00CE2FEF"/>
    <w:rsid w:val="00CE66AB"/>
    <w:rsid w:val="00CF0899"/>
    <w:rsid w:val="00CF5487"/>
    <w:rsid w:val="00D067B0"/>
    <w:rsid w:val="00D16EB8"/>
    <w:rsid w:val="00D20671"/>
    <w:rsid w:val="00D2400C"/>
    <w:rsid w:val="00D25F62"/>
    <w:rsid w:val="00D275DB"/>
    <w:rsid w:val="00D30304"/>
    <w:rsid w:val="00D34139"/>
    <w:rsid w:val="00D35133"/>
    <w:rsid w:val="00D35616"/>
    <w:rsid w:val="00D3601F"/>
    <w:rsid w:val="00D40CB8"/>
    <w:rsid w:val="00D448FC"/>
    <w:rsid w:val="00D51442"/>
    <w:rsid w:val="00D62673"/>
    <w:rsid w:val="00D640FB"/>
    <w:rsid w:val="00D70C5A"/>
    <w:rsid w:val="00D710B3"/>
    <w:rsid w:val="00D75248"/>
    <w:rsid w:val="00D75669"/>
    <w:rsid w:val="00D82884"/>
    <w:rsid w:val="00D8626B"/>
    <w:rsid w:val="00D86C78"/>
    <w:rsid w:val="00D86DB4"/>
    <w:rsid w:val="00DA02C4"/>
    <w:rsid w:val="00DB33D1"/>
    <w:rsid w:val="00DC2CBF"/>
    <w:rsid w:val="00DC69E6"/>
    <w:rsid w:val="00DD5B33"/>
    <w:rsid w:val="00DE2DEE"/>
    <w:rsid w:val="00DE637C"/>
    <w:rsid w:val="00DF4142"/>
    <w:rsid w:val="00DF5501"/>
    <w:rsid w:val="00E02AD3"/>
    <w:rsid w:val="00E15670"/>
    <w:rsid w:val="00E20796"/>
    <w:rsid w:val="00E26BEA"/>
    <w:rsid w:val="00E27221"/>
    <w:rsid w:val="00E313DA"/>
    <w:rsid w:val="00E456B7"/>
    <w:rsid w:val="00E469F0"/>
    <w:rsid w:val="00E53DE7"/>
    <w:rsid w:val="00E60926"/>
    <w:rsid w:val="00E65244"/>
    <w:rsid w:val="00E80E64"/>
    <w:rsid w:val="00E81E82"/>
    <w:rsid w:val="00E84B6D"/>
    <w:rsid w:val="00E94257"/>
    <w:rsid w:val="00E95731"/>
    <w:rsid w:val="00EB6227"/>
    <w:rsid w:val="00EC1B91"/>
    <w:rsid w:val="00EC4D92"/>
    <w:rsid w:val="00ED69B6"/>
    <w:rsid w:val="00EE12DE"/>
    <w:rsid w:val="00EE6773"/>
    <w:rsid w:val="00EF4613"/>
    <w:rsid w:val="00EF755F"/>
    <w:rsid w:val="00F02A50"/>
    <w:rsid w:val="00F102BB"/>
    <w:rsid w:val="00F10ECB"/>
    <w:rsid w:val="00F12DB0"/>
    <w:rsid w:val="00F226A4"/>
    <w:rsid w:val="00F2656B"/>
    <w:rsid w:val="00F30EF2"/>
    <w:rsid w:val="00F367BC"/>
    <w:rsid w:val="00F4183E"/>
    <w:rsid w:val="00F446CE"/>
    <w:rsid w:val="00F85E95"/>
    <w:rsid w:val="00F87EB8"/>
    <w:rsid w:val="00F96EF3"/>
    <w:rsid w:val="00FA05E5"/>
    <w:rsid w:val="00FA23BB"/>
    <w:rsid w:val="00FA6820"/>
    <w:rsid w:val="00FB1C20"/>
    <w:rsid w:val="00FB73CD"/>
    <w:rsid w:val="00FC30BE"/>
    <w:rsid w:val="00FC4D37"/>
    <w:rsid w:val="00FD1607"/>
    <w:rsid w:val="00FD26A9"/>
    <w:rsid w:val="00FD2A6A"/>
    <w:rsid w:val="00FE696D"/>
    <w:rsid w:val="00FF364C"/>
    <w:rsid w:val="00FF6F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5F27BD"/>
  <w15:docId w15:val="{4B1DFF89-6D8E-4599-B4ED-1F3845043B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2">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atentStyles>
  <w:style w:type="paragraph" w:default="1" w:styleId="Normal">
    <w:name w:val="Normal"/>
    <w:qFormat/>
    <w:rsid w:val="00FA23BB"/>
    <w:rPr>
      <w:sz w:val="24"/>
      <w:szCs w:val="24"/>
      <w:lang w:val="cs-CZ" w:eastAsia="cs-CZ"/>
    </w:rPr>
  </w:style>
  <w:style w:type="paragraph" w:styleId="Heading4">
    <w:name w:val="heading 4"/>
    <w:basedOn w:val="Normal"/>
    <w:next w:val="Normal"/>
    <w:qFormat/>
    <w:rsid w:val="00FA23BB"/>
    <w:pPr>
      <w:keepNext/>
      <w:jc w:val="both"/>
      <w:outlineLvl w:val="3"/>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6291B"/>
    <w:pPr>
      <w:tabs>
        <w:tab w:val="center" w:pos="4680"/>
        <w:tab w:val="right" w:pos="9360"/>
      </w:tabs>
    </w:pPr>
  </w:style>
  <w:style w:type="character" w:customStyle="1" w:styleId="HeaderChar">
    <w:name w:val="Header Char"/>
    <w:basedOn w:val="DefaultParagraphFont"/>
    <w:link w:val="Header"/>
    <w:rsid w:val="00C6291B"/>
    <w:rPr>
      <w:sz w:val="24"/>
      <w:szCs w:val="24"/>
      <w:lang w:val="cs-CZ" w:eastAsia="cs-CZ"/>
    </w:rPr>
  </w:style>
  <w:style w:type="paragraph" w:styleId="Footer">
    <w:name w:val="footer"/>
    <w:basedOn w:val="Normal"/>
    <w:link w:val="FooterChar"/>
    <w:rsid w:val="00C6291B"/>
    <w:pPr>
      <w:tabs>
        <w:tab w:val="center" w:pos="4680"/>
        <w:tab w:val="right" w:pos="9360"/>
      </w:tabs>
    </w:pPr>
  </w:style>
  <w:style w:type="character" w:customStyle="1" w:styleId="FooterChar">
    <w:name w:val="Footer Char"/>
    <w:basedOn w:val="DefaultParagraphFont"/>
    <w:link w:val="Footer"/>
    <w:rsid w:val="00C6291B"/>
    <w:rPr>
      <w:sz w:val="24"/>
      <w:szCs w:val="24"/>
      <w:lang w:val="cs-CZ" w:eastAsia="cs-CZ"/>
    </w:rPr>
  </w:style>
  <w:style w:type="character" w:customStyle="1" w:styleId="hps">
    <w:name w:val="hps"/>
    <w:basedOn w:val="DefaultParagraphFont"/>
    <w:rsid w:val="008810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9240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7EB972-FD2E-4292-8B39-10B36C6907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564</Words>
  <Characters>3215</Characters>
  <Application>Microsoft Office Word</Application>
  <DocSecurity>0</DocSecurity>
  <Lines>26</Lines>
  <Paragraphs>7</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UNIVERZITA PARDUBICE</vt:lpstr>
      <vt:lpstr>UNIVERZITA PARDUBICE</vt:lpstr>
    </vt:vector>
  </TitlesOfParts>
  <Company>UPa</Company>
  <LinksUpToDate>false</LinksUpToDate>
  <CharactersWithSpaces>3772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subject/>
  <dc:creator>UPa</dc:creator>
  <cp:keywords/>
  <dc:description/>
  <cp:lastModifiedBy>Sampey</cp:lastModifiedBy>
  <cp:revision>2</cp:revision>
  <dcterms:created xsi:type="dcterms:W3CDTF">2016-05-12T15:08:00Z</dcterms:created>
  <dcterms:modified xsi:type="dcterms:W3CDTF">2016-05-12T15:08:00Z</dcterms:modified>
</cp:coreProperties>
</file>