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94E" w:rsidRPr="00D360AE" w:rsidRDefault="00D360AE" w:rsidP="00D56A0F">
      <w:pPr>
        <w:rPr>
          <w:b/>
          <w:snapToGrid w:val="0"/>
          <w:sz w:val="24"/>
        </w:rPr>
      </w:pPr>
      <w:bookmarkStart w:id="0" w:name="_GoBack"/>
      <w:bookmarkEnd w:id="0"/>
      <w:r w:rsidRPr="00D360AE">
        <w:rPr>
          <w:b/>
          <w:snapToGrid w:val="0"/>
          <w:sz w:val="24"/>
        </w:rPr>
        <w:t>Jindřich Žák: Poválečný spolkový a kulturní život na Broumovsku.</w:t>
      </w:r>
    </w:p>
    <w:p w:rsidR="001A7C8F" w:rsidRDefault="001A7C8F" w:rsidP="00D56A0F">
      <w:pPr>
        <w:rPr>
          <w:snapToGrid w:val="0"/>
          <w:sz w:val="24"/>
        </w:rPr>
      </w:pPr>
      <w:r>
        <w:rPr>
          <w:snapToGrid w:val="0"/>
          <w:sz w:val="24"/>
        </w:rPr>
        <w:t xml:space="preserve">Diplomová práce. </w:t>
      </w:r>
      <w:r w:rsidR="000F4D38">
        <w:rPr>
          <w:snapToGrid w:val="0"/>
          <w:sz w:val="24"/>
        </w:rPr>
        <w:t>Ústav</w:t>
      </w:r>
      <w:r>
        <w:rPr>
          <w:snapToGrid w:val="0"/>
          <w:sz w:val="24"/>
        </w:rPr>
        <w:t xml:space="preserve"> historických věd </w:t>
      </w:r>
      <w:r w:rsidR="00464E35">
        <w:rPr>
          <w:snapToGrid w:val="0"/>
          <w:sz w:val="24"/>
        </w:rPr>
        <w:t>Filosofické f</w:t>
      </w:r>
      <w:r>
        <w:rPr>
          <w:snapToGrid w:val="0"/>
          <w:sz w:val="24"/>
        </w:rPr>
        <w:t xml:space="preserve">akulty University </w:t>
      </w:r>
      <w:proofErr w:type="gramStart"/>
      <w:r>
        <w:rPr>
          <w:snapToGrid w:val="0"/>
          <w:sz w:val="24"/>
        </w:rPr>
        <w:t xml:space="preserve">Pardubice, </w:t>
      </w:r>
      <w:r w:rsidR="00CD5B7D">
        <w:rPr>
          <w:snapToGrid w:val="0"/>
          <w:sz w:val="24"/>
        </w:rPr>
        <w:t xml:space="preserve">   </w:t>
      </w:r>
      <w:r>
        <w:rPr>
          <w:snapToGrid w:val="0"/>
          <w:sz w:val="24"/>
        </w:rPr>
        <w:t>Pardubice</w:t>
      </w:r>
      <w:proofErr w:type="gramEnd"/>
      <w:r>
        <w:rPr>
          <w:snapToGrid w:val="0"/>
          <w:sz w:val="24"/>
        </w:rPr>
        <w:t xml:space="preserve"> 20</w:t>
      </w:r>
      <w:r w:rsidR="00495D29">
        <w:rPr>
          <w:snapToGrid w:val="0"/>
          <w:sz w:val="24"/>
        </w:rPr>
        <w:t>1</w:t>
      </w:r>
      <w:r w:rsidR="00D360AE">
        <w:rPr>
          <w:snapToGrid w:val="0"/>
          <w:sz w:val="24"/>
        </w:rPr>
        <w:t>6</w:t>
      </w:r>
      <w:r>
        <w:rPr>
          <w:snapToGrid w:val="0"/>
          <w:sz w:val="24"/>
        </w:rPr>
        <w:t>.</w:t>
      </w:r>
    </w:p>
    <w:p w:rsidR="001A7C8F" w:rsidRDefault="001A7C8F" w:rsidP="00D56A0F">
      <w:pPr>
        <w:rPr>
          <w:snapToGrid w:val="0"/>
          <w:sz w:val="24"/>
        </w:rPr>
      </w:pPr>
      <w:r>
        <w:rPr>
          <w:snapToGrid w:val="0"/>
          <w:sz w:val="24"/>
        </w:rPr>
        <w:t>Oponentský p</w:t>
      </w:r>
      <w:r w:rsidR="00D360AE">
        <w:rPr>
          <w:snapToGrid w:val="0"/>
          <w:sz w:val="24"/>
        </w:rPr>
        <w:t xml:space="preserve">osudek </w:t>
      </w:r>
    </w:p>
    <w:p w:rsidR="00D56A0F" w:rsidRDefault="00D56A0F" w:rsidP="00D56A0F">
      <w:pPr>
        <w:rPr>
          <w:snapToGrid w:val="0"/>
          <w:sz w:val="24"/>
        </w:rPr>
      </w:pPr>
    </w:p>
    <w:p w:rsidR="00D360AE" w:rsidRDefault="00D360AE" w:rsidP="00D56A0F">
      <w:pPr>
        <w:jc w:val="both"/>
        <w:rPr>
          <w:snapToGrid w:val="0"/>
          <w:sz w:val="24"/>
        </w:rPr>
      </w:pPr>
      <w:r>
        <w:rPr>
          <w:snapToGrid w:val="0"/>
          <w:sz w:val="24"/>
        </w:rPr>
        <w:tab/>
        <w:t>Jindřich Žák zůstal věren oblasti, které se věnoval už v bakalářské práci, ale téma po</w:t>
      </w:r>
      <w:r w:rsidR="00D56A0F">
        <w:rPr>
          <w:snapToGrid w:val="0"/>
          <w:sz w:val="24"/>
        </w:rPr>
        <w:softHyphen/>
      </w:r>
      <w:r>
        <w:rPr>
          <w:snapToGrid w:val="0"/>
          <w:sz w:val="24"/>
        </w:rPr>
        <w:t xml:space="preserve">jal z jiného úhlu. Zaměřil se na „mimopracovní“ život obyvatel Broumovska po roce 1945, ponejvíce tedy novoosídlenců. </w:t>
      </w:r>
    </w:p>
    <w:p w:rsidR="00D360AE" w:rsidRDefault="00D360AE" w:rsidP="00D56A0F">
      <w:pPr>
        <w:jc w:val="both"/>
        <w:rPr>
          <w:snapToGrid w:val="0"/>
          <w:sz w:val="24"/>
        </w:rPr>
      </w:pPr>
      <w:r w:rsidRPr="00D360AE">
        <w:rPr>
          <w:snapToGrid w:val="0"/>
          <w:sz w:val="24"/>
        </w:rPr>
        <w:tab/>
        <w:t xml:space="preserve">V úvodu autor stanovil cíl práce, </w:t>
      </w:r>
      <w:r>
        <w:rPr>
          <w:snapToGrid w:val="0"/>
          <w:sz w:val="24"/>
        </w:rPr>
        <w:t>zhodnotil hlavní zdroje, s nimiž pracoval, nejen od</w:t>
      </w:r>
      <w:r w:rsidR="00D56A0F">
        <w:rPr>
          <w:snapToGrid w:val="0"/>
          <w:sz w:val="24"/>
        </w:rPr>
        <w:t>-</w:t>
      </w:r>
      <w:r>
        <w:rPr>
          <w:snapToGrid w:val="0"/>
          <w:sz w:val="24"/>
        </w:rPr>
        <w:t>bor</w:t>
      </w:r>
      <w:r w:rsidR="00D56A0F">
        <w:rPr>
          <w:snapToGrid w:val="0"/>
          <w:sz w:val="24"/>
        </w:rPr>
        <w:softHyphen/>
      </w:r>
      <w:r>
        <w:rPr>
          <w:snapToGrid w:val="0"/>
          <w:sz w:val="24"/>
        </w:rPr>
        <w:t>nou literaturu, ale také místní prameny, pozornost věnoval i metodologii.</w:t>
      </w:r>
      <w:r w:rsidR="000C2936">
        <w:rPr>
          <w:snapToGrid w:val="0"/>
          <w:sz w:val="24"/>
        </w:rPr>
        <w:t xml:space="preserve"> </w:t>
      </w:r>
      <w:r>
        <w:rPr>
          <w:snapToGrid w:val="0"/>
          <w:sz w:val="24"/>
        </w:rPr>
        <w:t>První kapitol</w:t>
      </w:r>
      <w:r w:rsidR="00F27152">
        <w:rPr>
          <w:snapToGrid w:val="0"/>
          <w:sz w:val="24"/>
        </w:rPr>
        <w:t>y</w:t>
      </w:r>
      <w:r>
        <w:rPr>
          <w:snapToGrid w:val="0"/>
          <w:sz w:val="24"/>
        </w:rPr>
        <w:t xml:space="preserve"> </w:t>
      </w:r>
      <w:r w:rsidR="00F27152">
        <w:rPr>
          <w:snapToGrid w:val="0"/>
          <w:sz w:val="24"/>
        </w:rPr>
        <w:t>jsou věnovány dějinám Broumovska, starším jen v přiměřeně omeze</w:t>
      </w:r>
      <w:r w:rsidR="000C2936">
        <w:rPr>
          <w:snapToGrid w:val="0"/>
          <w:sz w:val="24"/>
        </w:rPr>
        <w:softHyphen/>
      </w:r>
      <w:r w:rsidR="00F27152">
        <w:rPr>
          <w:snapToGrid w:val="0"/>
          <w:sz w:val="24"/>
        </w:rPr>
        <w:t xml:space="preserve">ném rozsahu, důraz je kladen na vývoj po osvobození 1945. Zvláštní pozornost je věnována poválečnému </w:t>
      </w:r>
      <w:r w:rsidR="00755C7E">
        <w:rPr>
          <w:snapToGrid w:val="0"/>
          <w:sz w:val="24"/>
        </w:rPr>
        <w:t xml:space="preserve">odsunu, </w:t>
      </w:r>
      <w:r w:rsidR="00F27152">
        <w:rPr>
          <w:snapToGrid w:val="0"/>
          <w:sz w:val="24"/>
        </w:rPr>
        <w:t>osídlování pohraničí, majetkovým p</w:t>
      </w:r>
      <w:r w:rsidR="000C12A6">
        <w:rPr>
          <w:snapToGrid w:val="0"/>
          <w:sz w:val="24"/>
        </w:rPr>
        <w:t>řesunům, otázce národní správy. Zde autor prokázal dob</w:t>
      </w:r>
      <w:r w:rsidR="00D56A0F">
        <w:rPr>
          <w:snapToGrid w:val="0"/>
          <w:sz w:val="24"/>
        </w:rPr>
        <w:softHyphen/>
      </w:r>
      <w:r w:rsidR="000C12A6">
        <w:rPr>
          <w:snapToGrid w:val="0"/>
          <w:sz w:val="24"/>
        </w:rPr>
        <w:t xml:space="preserve">rou znalost stávající odborné literatury, jejíž údaje doplnil příklady z archivních zdrojů. </w:t>
      </w:r>
      <w:r w:rsidR="00755C7E">
        <w:rPr>
          <w:snapToGrid w:val="0"/>
          <w:sz w:val="24"/>
        </w:rPr>
        <w:t>Ně</w:t>
      </w:r>
      <w:r w:rsidR="00D56A0F">
        <w:rPr>
          <w:snapToGrid w:val="0"/>
          <w:sz w:val="24"/>
        </w:rPr>
        <w:softHyphen/>
      </w:r>
      <w:r w:rsidR="00755C7E">
        <w:rPr>
          <w:snapToGrid w:val="0"/>
          <w:sz w:val="24"/>
        </w:rPr>
        <w:t>které údaje jsou ovšem sporné – např. ten o národnostním složení obyvatelstva republiky dle sčítání z roku 1930 (pozn. 89). Autor totiž na začátku poznámky píše o ČSR, ale z odkazu je zřejmé, že se jedná pouze o české země. Stejně tak Jakschovi sudetoněmečtí sociální demo</w:t>
      </w:r>
      <w:r w:rsidR="00D56A0F">
        <w:rPr>
          <w:snapToGrid w:val="0"/>
          <w:sz w:val="24"/>
        </w:rPr>
        <w:softHyphen/>
      </w:r>
      <w:r w:rsidR="00755C7E">
        <w:rPr>
          <w:snapToGrid w:val="0"/>
          <w:sz w:val="24"/>
        </w:rPr>
        <w:t xml:space="preserve">kraté v exilu jen nesledovali jednání o svém budoucím osudu (s. 22), ale určitou dobu přímo </w:t>
      </w:r>
      <w:r w:rsidR="000C2936">
        <w:rPr>
          <w:snapToGrid w:val="0"/>
          <w:sz w:val="24"/>
        </w:rPr>
        <w:t xml:space="preserve">sami </w:t>
      </w:r>
      <w:r w:rsidR="00755C7E">
        <w:rPr>
          <w:snapToGrid w:val="0"/>
          <w:sz w:val="24"/>
        </w:rPr>
        <w:t>s Benešem jednali – nedosáhli ovšem názorové shody. Za přelomový rok v otázce pří</w:t>
      </w:r>
      <w:r w:rsidR="00D56A0F">
        <w:rPr>
          <w:snapToGrid w:val="0"/>
          <w:sz w:val="24"/>
        </w:rPr>
        <w:softHyphen/>
      </w:r>
      <w:r w:rsidR="00755C7E">
        <w:rPr>
          <w:snapToGrid w:val="0"/>
          <w:sz w:val="24"/>
        </w:rPr>
        <w:t>stupu k odsunu Němců se považuje spíše rok 1942 – rok heydrichiády, Lidic a Le</w:t>
      </w:r>
      <w:r w:rsidR="000C2936">
        <w:rPr>
          <w:snapToGrid w:val="0"/>
          <w:sz w:val="24"/>
        </w:rPr>
        <w:softHyphen/>
      </w:r>
      <w:r w:rsidR="00755C7E">
        <w:rPr>
          <w:snapToGrid w:val="0"/>
          <w:sz w:val="24"/>
        </w:rPr>
        <w:t xml:space="preserve">žáků. </w:t>
      </w:r>
      <w:r w:rsidR="00B529D2">
        <w:rPr>
          <w:snapToGrid w:val="0"/>
          <w:sz w:val="24"/>
        </w:rPr>
        <w:t>Obec</w:t>
      </w:r>
      <w:r w:rsidR="00D56A0F">
        <w:rPr>
          <w:snapToGrid w:val="0"/>
          <w:sz w:val="24"/>
        </w:rPr>
        <w:t>-</w:t>
      </w:r>
      <w:r w:rsidR="00B529D2">
        <w:rPr>
          <w:snapToGrid w:val="0"/>
          <w:sz w:val="24"/>
        </w:rPr>
        <w:t>ně je ale možno říci, že je tato část zpracována dobře a vytváří dobrý zá</w:t>
      </w:r>
      <w:r w:rsidR="000C2936">
        <w:rPr>
          <w:snapToGrid w:val="0"/>
          <w:sz w:val="24"/>
        </w:rPr>
        <w:softHyphen/>
      </w:r>
      <w:r w:rsidR="00B529D2">
        <w:rPr>
          <w:snapToGrid w:val="0"/>
          <w:sz w:val="24"/>
        </w:rPr>
        <w:t xml:space="preserve">klad pro podrobnější přístup ke zkoumaným otázkám. </w:t>
      </w:r>
    </w:p>
    <w:p w:rsidR="00640EB2" w:rsidRDefault="00B529D2" w:rsidP="00D56A0F">
      <w:pPr>
        <w:jc w:val="both"/>
        <w:rPr>
          <w:snapToGrid w:val="0"/>
          <w:sz w:val="24"/>
        </w:rPr>
      </w:pPr>
      <w:r>
        <w:rPr>
          <w:snapToGrid w:val="0"/>
          <w:sz w:val="24"/>
        </w:rPr>
        <w:tab/>
        <w:t>Čtvrtá kapitola již vypovídá o poválečné obnově kulturního a spolkového ži</w:t>
      </w:r>
      <w:r w:rsidR="000C2936">
        <w:rPr>
          <w:snapToGrid w:val="0"/>
          <w:sz w:val="24"/>
        </w:rPr>
        <w:softHyphen/>
      </w:r>
      <w:r>
        <w:rPr>
          <w:snapToGrid w:val="0"/>
          <w:sz w:val="24"/>
        </w:rPr>
        <w:t xml:space="preserve">vota. </w:t>
      </w:r>
      <w:r w:rsidR="00EF0E82">
        <w:rPr>
          <w:snapToGrid w:val="0"/>
          <w:sz w:val="24"/>
        </w:rPr>
        <w:t xml:space="preserve">Opět se vychází z obecných poznatků k jednotlivým určitým okruhům </w:t>
      </w:r>
      <w:r w:rsidR="00DB7252">
        <w:rPr>
          <w:snapToGrid w:val="0"/>
          <w:sz w:val="24"/>
        </w:rPr>
        <w:t>– divadlo, literatura, tisk</w:t>
      </w:r>
      <w:r w:rsidR="00D56A0F">
        <w:rPr>
          <w:snapToGrid w:val="0"/>
          <w:sz w:val="24"/>
        </w:rPr>
        <w:t xml:space="preserve">      </w:t>
      </w:r>
      <w:r w:rsidR="00DB7252">
        <w:rPr>
          <w:snapToGrid w:val="0"/>
          <w:sz w:val="24"/>
        </w:rPr>
        <w:t>a další media, zvláštní pozornost je zaměřena na spolky, mezi nimiž hrály celkem pochopitelně hlavní úlohu spolky divadelní, hasičské a sportovní. To vše pak autor rozebírá s ohledem na poválečné Broumovsko, většinou již za využití ar</w:t>
      </w:r>
      <w:r w:rsidR="000C2936">
        <w:rPr>
          <w:snapToGrid w:val="0"/>
          <w:sz w:val="24"/>
        </w:rPr>
        <w:softHyphen/>
      </w:r>
      <w:r w:rsidR="00DB7252">
        <w:rPr>
          <w:snapToGrid w:val="0"/>
          <w:sz w:val="24"/>
        </w:rPr>
        <w:t xml:space="preserve">chivních pramenů, sleduje i – ne všude možnou – návaznost na předválečnou tradici. </w:t>
      </w:r>
      <w:r w:rsidR="00640EB2">
        <w:rPr>
          <w:snapToGrid w:val="0"/>
          <w:sz w:val="24"/>
        </w:rPr>
        <w:t xml:space="preserve">Zde autor pracoval i s historickými </w:t>
      </w:r>
      <w:r w:rsidR="00D56A0F">
        <w:rPr>
          <w:snapToGrid w:val="0"/>
          <w:sz w:val="24"/>
        </w:rPr>
        <w:t xml:space="preserve">    </w:t>
      </w:r>
      <w:r w:rsidR="00640EB2">
        <w:rPr>
          <w:snapToGrid w:val="0"/>
          <w:sz w:val="24"/>
        </w:rPr>
        <w:t>a vzpomín</w:t>
      </w:r>
      <w:r w:rsidR="00D56A0F">
        <w:rPr>
          <w:snapToGrid w:val="0"/>
          <w:sz w:val="24"/>
        </w:rPr>
        <w:softHyphen/>
      </w:r>
      <w:r w:rsidR="00640EB2">
        <w:rPr>
          <w:snapToGrid w:val="0"/>
          <w:sz w:val="24"/>
        </w:rPr>
        <w:t>kovými texty pocházejícími z prostředí sudetoněmeckých krajanských organisací v zahraničí. Zvláštní poměry v nově osidlo</w:t>
      </w:r>
      <w:r w:rsidR="000C2936">
        <w:rPr>
          <w:snapToGrid w:val="0"/>
          <w:sz w:val="24"/>
        </w:rPr>
        <w:softHyphen/>
      </w:r>
      <w:r w:rsidR="00640EB2">
        <w:rPr>
          <w:snapToGrid w:val="0"/>
          <w:sz w:val="24"/>
        </w:rPr>
        <w:t>vaném pohraničí popisuje ještě kapitola o nové identitě tamních obyvatel, jež se utvá</w:t>
      </w:r>
      <w:r w:rsidR="000C2936">
        <w:rPr>
          <w:snapToGrid w:val="0"/>
          <w:sz w:val="24"/>
        </w:rPr>
        <w:softHyphen/>
      </w:r>
      <w:r w:rsidR="00640EB2">
        <w:rPr>
          <w:snapToGrid w:val="0"/>
          <w:sz w:val="24"/>
        </w:rPr>
        <w:t>řela převážně v rámci nových tradic, zaváděných po únoru 1948 komu</w:t>
      </w:r>
      <w:r w:rsidR="00D56A0F">
        <w:rPr>
          <w:snapToGrid w:val="0"/>
          <w:sz w:val="24"/>
        </w:rPr>
        <w:softHyphen/>
      </w:r>
      <w:r w:rsidR="00640EB2">
        <w:rPr>
          <w:snapToGrid w:val="0"/>
          <w:sz w:val="24"/>
        </w:rPr>
        <w:t>nistickým re</w:t>
      </w:r>
      <w:r w:rsidR="000C2936">
        <w:rPr>
          <w:snapToGrid w:val="0"/>
          <w:sz w:val="24"/>
        </w:rPr>
        <w:softHyphen/>
      </w:r>
      <w:r w:rsidR="00640EB2">
        <w:rPr>
          <w:snapToGrid w:val="0"/>
          <w:sz w:val="24"/>
        </w:rPr>
        <w:t>žimem. Práci zakončuje delší shrnující a hodnotící závěr. Seznam pramenů a lite</w:t>
      </w:r>
      <w:r w:rsidR="00D56A0F">
        <w:rPr>
          <w:snapToGrid w:val="0"/>
          <w:sz w:val="24"/>
        </w:rPr>
        <w:softHyphen/>
      </w:r>
      <w:r w:rsidR="00640EB2">
        <w:rPr>
          <w:snapToGrid w:val="0"/>
          <w:sz w:val="24"/>
        </w:rPr>
        <w:t>ra</w:t>
      </w:r>
      <w:r w:rsidR="000C2936">
        <w:rPr>
          <w:snapToGrid w:val="0"/>
          <w:sz w:val="24"/>
        </w:rPr>
        <w:softHyphen/>
      </w:r>
      <w:r w:rsidR="00640EB2">
        <w:rPr>
          <w:snapToGrid w:val="0"/>
          <w:sz w:val="24"/>
        </w:rPr>
        <w:t>tury je velmi obsáhlý, avšak ne zcela správně uspořádaný (studie, články, brožury a kata</w:t>
      </w:r>
      <w:r w:rsidR="00D56A0F">
        <w:rPr>
          <w:snapToGrid w:val="0"/>
          <w:sz w:val="24"/>
        </w:rPr>
        <w:softHyphen/>
      </w:r>
      <w:r w:rsidR="00640EB2">
        <w:rPr>
          <w:snapToGrid w:val="0"/>
          <w:sz w:val="24"/>
        </w:rPr>
        <w:t>logy není třeba vydělovat z celkového rámce literatury, některé by se daly hodnotit jako pu</w:t>
      </w:r>
      <w:r w:rsidR="00D56A0F">
        <w:rPr>
          <w:snapToGrid w:val="0"/>
          <w:sz w:val="24"/>
        </w:rPr>
        <w:softHyphen/>
      </w:r>
      <w:r w:rsidR="00640EB2">
        <w:rPr>
          <w:snapToGrid w:val="0"/>
          <w:sz w:val="24"/>
        </w:rPr>
        <w:t>blikované prameny, stejně tak zákony a dekrety presidenta republiky, pamětní knihy patří mezi prameny)</w:t>
      </w:r>
      <w:r w:rsidR="000C2936">
        <w:rPr>
          <w:snapToGrid w:val="0"/>
          <w:sz w:val="24"/>
        </w:rPr>
        <w:t>. Vhodným doplňkem jsou dobře zvolené fotogra</w:t>
      </w:r>
      <w:r w:rsidR="000C2936">
        <w:rPr>
          <w:snapToGrid w:val="0"/>
          <w:sz w:val="24"/>
        </w:rPr>
        <w:softHyphen/>
        <w:t>ficko-textové a obrazové pří</w:t>
      </w:r>
      <w:r w:rsidR="00D56A0F">
        <w:rPr>
          <w:snapToGrid w:val="0"/>
          <w:sz w:val="24"/>
        </w:rPr>
        <w:softHyphen/>
      </w:r>
      <w:r w:rsidR="000C2936">
        <w:rPr>
          <w:snapToGrid w:val="0"/>
          <w:sz w:val="24"/>
        </w:rPr>
        <w:t xml:space="preserve">lohy. </w:t>
      </w:r>
    </w:p>
    <w:p w:rsidR="000C2936" w:rsidRPr="000C2936" w:rsidRDefault="000C2936" w:rsidP="00D56A0F">
      <w:pPr>
        <w:jc w:val="both"/>
        <w:rPr>
          <w:snapToGrid w:val="0"/>
          <w:sz w:val="24"/>
        </w:rPr>
      </w:pPr>
      <w:r w:rsidRPr="000C2936">
        <w:rPr>
          <w:snapToGrid w:val="0"/>
          <w:sz w:val="24"/>
        </w:rPr>
        <w:tab/>
        <w:t xml:space="preserve">Práce je uspořádána logicky, kapitoly na sebe navzájem </w:t>
      </w:r>
      <w:r>
        <w:rPr>
          <w:snapToGrid w:val="0"/>
          <w:sz w:val="24"/>
        </w:rPr>
        <w:t>přirozeně navazují a mají přimě</w:t>
      </w:r>
      <w:r w:rsidR="00D56A0F">
        <w:rPr>
          <w:snapToGrid w:val="0"/>
          <w:sz w:val="24"/>
        </w:rPr>
        <w:softHyphen/>
      </w:r>
      <w:r>
        <w:rPr>
          <w:snapToGrid w:val="0"/>
          <w:sz w:val="24"/>
        </w:rPr>
        <w:t>řený rozsah. Přínos je nesporný, spočívá v osvětlení dosud málo zpracova</w:t>
      </w:r>
      <w:r>
        <w:rPr>
          <w:snapToGrid w:val="0"/>
          <w:sz w:val="24"/>
        </w:rPr>
        <w:softHyphen/>
        <w:t>ného tematu s teritoriálním vymezením na pohraniční oblast.</w:t>
      </w:r>
    </w:p>
    <w:p w:rsidR="00F27152" w:rsidRDefault="0080782A" w:rsidP="00D56A0F">
      <w:pPr>
        <w:ind w:firstLine="720"/>
        <w:jc w:val="both"/>
        <w:rPr>
          <w:snapToGrid w:val="0"/>
          <w:sz w:val="24"/>
        </w:rPr>
      </w:pPr>
      <w:r w:rsidRPr="00DB7252">
        <w:rPr>
          <w:snapToGrid w:val="0"/>
          <w:sz w:val="24"/>
        </w:rPr>
        <w:t>Formální náležitosti práce</w:t>
      </w:r>
      <w:r w:rsidR="00DB7252" w:rsidRPr="00DB7252">
        <w:rPr>
          <w:snapToGrid w:val="0"/>
          <w:sz w:val="24"/>
        </w:rPr>
        <w:t xml:space="preserve"> jsou v pořádku, </w:t>
      </w:r>
      <w:r w:rsidR="000C2936">
        <w:rPr>
          <w:snapToGrid w:val="0"/>
          <w:sz w:val="24"/>
        </w:rPr>
        <w:t xml:space="preserve">objevují se jen </w:t>
      </w:r>
      <w:r w:rsidR="00DB7252" w:rsidRPr="00DB7252">
        <w:rPr>
          <w:snapToGrid w:val="0"/>
          <w:sz w:val="24"/>
        </w:rPr>
        <w:t xml:space="preserve">malé nedostatky – např. </w:t>
      </w:r>
      <w:r w:rsidR="00D56A0F">
        <w:rPr>
          <w:snapToGrid w:val="0"/>
          <w:sz w:val="24"/>
        </w:rPr>
        <w:t xml:space="preserve">      </w:t>
      </w:r>
      <w:r w:rsidR="00DB7252" w:rsidRPr="00DB7252">
        <w:rPr>
          <w:snapToGrid w:val="0"/>
          <w:sz w:val="24"/>
        </w:rPr>
        <w:t>u tab</w:t>
      </w:r>
      <w:r w:rsidR="00D56A0F">
        <w:rPr>
          <w:snapToGrid w:val="0"/>
          <w:sz w:val="24"/>
        </w:rPr>
        <w:t>.</w:t>
      </w:r>
      <w:r w:rsidR="00DB7252" w:rsidRPr="00DB7252">
        <w:rPr>
          <w:snapToGrid w:val="0"/>
          <w:sz w:val="24"/>
        </w:rPr>
        <w:t xml:space="preserve"> 1 na s. 78 není uveden zdroj. </w:t>
      </w:r>
      <w:r w:rsidR="001A7C8F" w:rsidRPr="000C2936">
        <w:rPr>
          <w:snapToGrid w:val="0"/>
          <w:sz w:val="24"/>
        </w:rPr>
        <w:t>Písemný projev posluchače</w:t>
      </w:r>
      <w:r w:rsidR="000C2936">
        <w:rPr>
          <w:snapToGrid w:val="0"/>
          <w:sz w:val="24"/>
        </w:rPr>
        <w:t xml:space="preserve"> vykazuje určité nedostatky, v textu zůstaly pře</w:t>
      </w:r>
      <w:r w:rsidR="000C2936">
        <w:rPr>
          <w:snapToGrid w:val="0"/>
          <w:sz w:val="24"/>
        </w:rPr>
        <w:softHyphen/>
        <w:t>hlédnuté pravopisné chyby (h</w:t>
      </w:r>
      <w:r w:rsidR="00F27152" w:rsidRPr="00F27152">
        <w:rPr>
          <w:snapToGrid w:val="0"/>
          <w:sz w:val="24"/>
        </w:rPr>
        <w:t>rubky – s. 2 hned v prvních dvou o</w:t>
      </w:r>
      <w:r w:rsidR="00F27152">
        <w:rPr>
          <w:snapToGrid w:val="0"/>
          <w:sz w:val="24"/>
        </w:rPr>
        <w:t>d</w:t>
      </w:r>
      <w:r w:rsidR="00F27152" w:rsidRPr="00F27152">
        <w:rPr>
          <w:snapToGrid w:val="0"/>
          <w:sz w:val="24"/>
        </w:rPr>
        <w:t>stavcích, 9</w:t>
      </w:r>
      <w:r w:rsidR="000C2936">
        <w:rPr>
          <w:snapToGrid w:val="0"/>
          <w:sz w:val="24"/>
        </w:rPr>
        <w:t xml:space="preserve"> aj.,</w:t>
      </w:r>
      <w:r w:rsidR="00F27152">
        <w:rPr>
          <w:snapToGrid w:val="0"/>
          <w:sz w:val="24"/>
        </w:rPr>
        <w:t xml:space="preserve"> </w:t>
      </w:r>
      <w:r w:rsidR="000C2936">
        <w:rPr>
          <w:snapToGrid w:val="0"/>
          <w:sz w:val="24"/>
        </w:rPr>
        <w:t>v</w:t>
      </w:r>
      <w:r w:rsidR="00F27152">
        <w:rPr>
          <w:snapToGrid w:val="0"/>
          <w:sz w:val="24"/>
        </w:rPr>
        <w:t>elká písmena, slovo „viz“ není zkratka, nepíše se s</w:t>
      </w:r>
      <w:r w:rsidR="000C2936">
        <w:rPr>
          <w:snapToGrid w:val="0"/>
          <w:sz w:val="24"/>
        </w:rPr>
        <w:t> </w:t>
      </w:r>
      <w:r w:rsidR="00F27152">
        <w:rPr>
          <w:snapToGrid w:val="0"/>
          <w:sz w:val="24"/>
        </w:rPr>
        <w:t>tečkou</w:t>
      </w:r>
      <w:r w:rsidR="000C2936">
        <w:rPr>
          <w:snapToGrid w:val="0"/>
          <w:sz w:val="24"/>
        </w:rPr>
        <w:t xml:space="preserve">). Sloh je ale v pořádku, práce je napsána čtivě. </w:t>
      </w:r>
      <w:r w:rsidR="00F27152">
        <w:rPr>
          <w:snapToGrid w:val="0"/>
          <w:sz w:val="24"/>
        </w:rPr>
        <w:t xml:space="preserve">  </w:t>
      </w:r>
    </w:p>
    <w:p w:rsidR="00D56A0F" w:rsidRPr="00F27152" w:rsidRDefault="00D56A0F" w:rsidP="00D56A0F">
      <w:pPr>
        <w:ind w:firstLine="720"/>
        <w:jc w:val="both"/>
        <w:rPr>
          <w:snapToGrid w:val="0"/>
          <w:sz w:val="24"/>
        </w:rPr>
      </w:pPr>
    </w:p>
    <w:p w:rsidR="00D56A0F" w:rsidRDefault="000C2936" w:rsidP="00D56A0F">
      <w:pPr>
        <w:jc w:val="both"/>
        <w:rPr>
          <w:snapToGrid w:val="0"/>
          <w:sz w:val="24"/>
        </w:rPr>
      </w:pPr>
      <w:r w:rsidRPr="000C2936">
        <w:rPr>
          <w:snapToGrid w:val="0"/>
          <w:sz w:val="24"/>
        </w:rPr>
        <w:tab/>
        <w:t>Práci Jindřich Žáka jako velmi přínosnou jednoznačně doporučuji k obhajobě a navr</w:t>
      </w:r>
      <w:r w:rsidR="00D56A0F">
        <w:rPr>
          <w:snapToGrid w:val="0"/>
          <w:sz w:val="24"/>
        </w:rPr>
        <w:softHyphen/>
      </w:r>
      <w:r w:rsidRPr="000C2936">
        <w:rPr>
          <w:snapToGrid w:val="0"/>
          <w:sz w:val="24"/>
        </w:rPr>
        <w:t xml:space="preserve">huji hodnocení </w:t>
      </w:r>
      <w:r w:rsidRPr="000C2936">
        <w:rPr>
          <w:b/>
          <w:snapToGrid w:val="0"/>
          <w:sz w:val="24"/>
        </w:rPr>
        <w:t>výborně</w:t>
      </w:r>
      <w:r w:rsidRPr="000C2936">
        <w:rPr>
          <w:snapToGrid w:val="0"/>
          <w:sz w:val="24"/>
        </w:rPr>
        <w:t xml:space="preserve">. </w:t>
      </w:r>
    </w:p>
    <w:p w:rsidR="00D56A0F" w:rsidRDefault="00D56A0F" w:rsidP="00D56A0F">
      <w:pPr>
        <w:rPr>
          <w:snapToGrid w:val="0"/>
          <w:sz w:val="24"/>
        </w:rPr>
      </w:pPr>
    </w:p>
    <w:p w:rsidR="000C2936" w:rsidRPr="000C2936" w:rsidRDefault="000C2936" w:rsidP="00D56A0F">
      <w:pPr>
        <w:rPr>
          <w:snapToGrid w:val="0"/>
          <w:sz w:val="24"/>
        </w:rPr>
      </w:pPr>
      <w:r>
        <w:rPr>
          <w:snapToGrid w:val="0"/>
          <w:sz w:val="24"/>
        </w:rPr>
        <w:t>Pardubice 20. ledna 2016</w:t>
      </w:r>
    </w:p>
    <w:sectPr w:rsidR="000C2936" w:rsidRPr="000C2936" w:rsidSect="00D56A0F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E35"/>
    <w:rsid w:val="000C12A6"/>
    <w:rsid w:val="000C2936"/>
    <w:rsid w:val="000F4D38"/>
    <w:rsid w:val="0010566E"/>
    <w:rsid w:val="001A7C8F"/>
    <w:rsid w:val="00464E35"/>
    <w:rsid w:val="00495D29"/>
    <w:rsid w:val="004C3651"/>
    <w:rsid w:val="00633E5D"/>
    <w:rsid w:val="00640EB2"/>
    <w:rsid w:val="00650600"/>
    <w:rsid w:val="00755C7E"/>
    <w:rsid w:val="0080782A"/>
    <w:rsid w:val="008C394E"/>
    <w:rsid w:val="009D4233"/>
    <w:rsid w:val="00AF1645"/>
    <w:rsid w:val="00AF4456"/>
    <w:rsid w:val="00B529D2"/>
    <w:rsid w:val="00CD5B7D"/>
    <w:rsid w:val="00D360AE"/>
    <w:rsid w:val="00D56A0F"/>
    <w:rsid w:val="00DB7252"/>
    <w:rsid w:val="00EB0713"/>
    <w:rsid w:val="00EF0E82"/>
    <w:rsid w:val="00F27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526</Words>
  <Characters>3105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3624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creator>Tomáš Jiránek</dc:creator>
  <dc:description>Filtr T602 id:</dc:description>
  <cp:lastModifiedBy>spravce</cp:lastModifiedBy>
  <cp:revision>2</cp:revision>
  <cp:lastPrinted>2006-04-13T12:53:00Z</cp:lastPrinted>
  <dcterms:created xsi:type="dcterms:W3CDTF">2016-01-21T07:47:00Z</dcterms:created>
  <dcterms:modified xsi:type="dcterms:W3CDTF">2016-01-21T07:47:00Z</dcterms:modified>
</cp:coreProperties>
</file>