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652" w:rsidRDefault="002D4652" w:rsidP="002D4652">
      <w:pPr>
        <w:jc w:val="both"/>
        <w:rPr>
          <w:b/>
          <w:bCs/>
        </w:rPr>
      </w:pPr>
      <w:r>
        <w:rPr>
          <w:b/>
          <w:bCs/>
        </w:rPr>
        <w:t>Alexandra Šlesingrová</w:t>
      </w:r>
    </w:p>
    <w:p w:rsidR="002D4652" w:rsidRDefault="002D4652" w:rsidP="002D4652">
      <w:pPr>
        <w:jc w:val="both"/>
        <w:rPr>
          <w:b/>
          <w:bCs/>
        </w:rPr>
      </w:pPr>
    </w:p>
    <w:p w:rsidR="002D4652" w:rsidRDefault="002D4652" w:rsidP="002D4652">
      <w:pPr>
        <w:jc w:val="both"/>
        <w:rPr>
          <w:b/>
          <w:bCs/>
        </w:rPr>
      </w:pPr>
      <w:proofErr w:type="spellStart"/>
      <w:r>
        <w:rPr>
          <w:b/>
          <w:bCs/>
        </w:rPr>
        <w:t>Das</w:t>
      </w:r>
      <w:proofErr w:type="spellEnd"/>
      <w:r>
        <w:rPr>
          <w:b/>
          <w:bCs/>
        </w:rPr>
        <w:t xml:space="preserve"> </w:t>
      </w:r>
      <w:proofErr w:type="spellStart"/>
      <w:r>
        <w:rPr>
          <w:b/>
          <w:bCs/>
        </w:rPr>
        <w:t>Leben</w:t>
      </w:r>
      <w:proofErr w:type="spellEnd"/>
      <w:r>
        <w:rPr>
          <w:b/>
          <w:bCs/>
        </w:rPr>
        <w:t xml:space="preserve"> in </w:t>
      </w:r>
      <w:proofErr w:type="spellStart"/>
      <w:r>
        <w:rPr>
          <w:b/>
          <w:bCs/>
        </w:rPr>
        <w:t>Wien</w:t>
      </w:r>
      <w:proofErr w:type="spellEnd"/>
      <w:r>
        <w:rPr>
          <w:b/>
          <w:bCs/>
        </w:rPr>
        <w:t xml:space="preserve"> </w:t>
      </w:r>
      <w:proofErr w:type="spellStart"/>
      <w:r>
        <w:rPr>
          <w:b/>
          <w:bCs/>
        </w:rPr>
        <w:t>und</w:t>
      </w:r>
      <w:proofErr w:type="spellEnd"/>
      <w:r>
        <w:rPr>
          <w:b/>
          <w:bCs/>
        </w:rPr>
        <w:t xml:space="preserve"> </w:t>
      </w:r>
      <w:proofErr w:type="spellStart"/>
      <w:r>
        <w:rPr>
          <w:b/>
          <w:bCs/>
        </w:rPr>
        <w:t>auf</w:t>
      </w:r>
      <w:proofErr w:type="spellEnd"/>
      <w:r>
        <w:rPr>
          <w:b/>
          <w:bCs/>
        </w:rPr>
        <w:t xml:space="preserve"> dem </w:t>
      </w:r>
      <w:r>
        <w:rPr>
          <w:b/>
          <w:bCs/>
          <w:lang w:val="de-DE"/>
        </w:rPr>
        <w:t>mährischen</w:t>
      </w:r>
      <w:r>
        <w:rPr>
          <w:b/>
          <w:bCs/>
        </w:rPr>
        <w:t xml:space="preserve"> </w:t>
      </w:r>
      <w:proofErr w:type="spellStart"/>
      <w:r>
        <w:rPr>
          <w:b/>
          <w:bCs/>
        </w:rPr>
        <w:t>Lande</w:t>
      </w:r>
      <w:proofErr w:type="spellEnd"/>
      <w:r>
        <w:rPr>
          <w:b/>
          <w:bCs/>
        </w:rPr>
        <w:t xml:space="preserve"> in der </w:t>
      </w:r>
      <w:proofErr w:type="spellStart"/>
      <w:r>
        <w:rPr>
          <w:b/>
          <w:bCs/>
        </w:rPr>
        <w:t>zweiten</w:t>
      </w:r>
      <w:proofErr w:type="spellEnd"/>
      <w:r>
        <w:rPr>
          <w:b/>
          <w:bCs/>
        </w:rPr>
        <w:t xml:space="preserve"> </w:t>
      </w:r>
      <w:proofErr w:type="spellStart"/>
      <w:r>
        <w:rPr>
          <w:b/>
          <w:bCs/>
        </w:rPr>
        <w:t>Hälfte</w:t>
      </w:r>
      <w:proofErr w:type="spellEnd"/>
      <w:r>
        <w:rPr>
          <w:b/>
          <w:bCs/>
        </w:rPr>
        <w:t xml:space="preserve"> des 19. </w:t>
      </w:r>
      <w:proofErr w:type="spellStart"/>
      <w:r>
        <w:rPr>
          <w:b/>
          <w:bCs/>
        </w:rPr>
        <w:t>Jahrhunderts</w:t>
      </w:r>
      <w:proofErr w:type="spellEnd"/>
      <w:r>
        <w:rPr>
          <w:b/>
          <w:bCs/>
        </w:rPr>
        <w:t xml:space="preserve"> in den </w:t>
      </w:r>
      <w:proofErr w:type="spellStart"/>
      <w:r>
        <w:rPr>
          <w:b/>
          <w:bCs/>
        </w:rPr>
        <w:t>literarischen</w:t>
      </w:r>
      <w:proofErr w:type="spellEnd"/>
      <w:r>
        <w:rPr>
          <w:b/>
          <w:bCs/>
        </w:rPr>
        <w:t xml:space="preserve"> </w:t>
      </w:r>
      <w:proofErr w:type="spellStart"/>
      <w:r>
        <w:rPr>
          <w:b/>
          <w:bCs/>
        </w:rPr>
        <w:t>Werken</w:t>
      </w:r>
      <w:proofErr w:type="spellEnd"/>
      <w:r>
        <w:rPr>
          <w:b/>
          <w:bCs/>
        </w:rPr>
        <w:t xml:space="preserve"> von Jakob Julius David</w:t>
      </w:r>
    </w:p>
    <w:p w:rsidR="002D4652" w:rsidRDefault="002D4652" w:rsidP="002D4652">
      <w:pPr>
        <w:jc w:val="both"/>
        <w:rPr>
          <w:b/>
          <w:bCs/>
        </w:rPr>
      </w:pPr>
    </w:p>
    <w:p w:rsidR="002D4652" w:rsidRDefault="002D4652" w:rsidP="002D4652">
      <w:pPr>
        <w:jc w:val="both"/>
      </w:pPr>
      <w:proofErr w:type="spellStart"/>
      <w:r>
        <w:rPr>
          <w:b/>
          <w:bCs/>
        </w:rPr>
        <w:t>Abschlussarbeit</w:t>
      </w:r>
      <w:proofErr w:type="spellEnd"/>
      <w:r>
        <w:rPr>
          <w:b/>
          <w:bCs/>
        </w:rPr>
        <w:t xml:space="preserve">. Pardubice 2016 </w:t>
      </w:r>
    </w:p>
    <w:p w:rsidR="002D4652" w:rsidRDefault="002D4652" w:rsidP="002D4652">
      <w:pPr>
        <w:jc w:val="both"/>
      </w:pPr>
    </w:p>
    <w:p w:rsidR="002D4652" w:rsidRDefault="002D4652" w:rsidP="002D4652">
      <w:pPr>
        <w:jc w:val="both"/>
        <w:rPr>
          <w:i/>
          <w:iCs/>
          <w:lang w:val="de-DE"/>
        </w:rPr>
      </w:pPr>
      <w:r>
        <w:t xml:space="preserve">      Die </w:t>
      </w:r>
      <w:proofErr w:type="spellStart"/>
      <w:r>
        <w:t>vorliegende</w:t>
      </w:r>
      <w:proofErr w:type="spellEnd"/>
      <w:r>
        <w:t xml:space="preserve"> </w:t>
      </w:r>
      <w:proofErr w:type="spellStart"/>
      <w:r>
        <w:t>Arbeit</w:t>
      </w:r>
      <w:proofErr w:type="spellEnd"/>
      <w:r>
        <w:t xml:space="preserve"> </w:t>
      </w:r>
      <w:proofErr w:type="spellStart"/>
      <w:r>
        <w:t>beginnt</w:t>
      </w:r>
      <w:proofErr w:type="spellEnd"/>
      <w:r>
        <w:t xml:space="preserve"> </w:t>
      </w:r>
      <w:proofErr w:type="spellStart"/>
      <w:r>
        <w:t>mit</w:t>
      </w:r>
      <w:proofErr w:type="spellEnd"/>
      <w:r>
        <w:t xml:space="preserve"> den </w:t>
      </w:r>
      <w:proofErr w:type="spellStart"/>
      <w:r>
        <w:t>allgemeinen</w:t>
      </w:r>
      <w:proofErr w:type="spellEnd"/>
      <w:r>
        <w:t xml:space="preserve"> </w:t>
      </w:r>
      <w:proofErr w:type="spellStart"/>
      <w:r>
        <w:t>Gesichtspunkten</w:t>
      </w:r>
      <w:proofErr w:type="spellEnd"/>
      <w:r>
        <w:t xml:space="preserve"> Realismus </w:t>
      </w:r>
      <w:proofErr w:type="spellStart"/>
      <w:r>
        <w:t>und</w:t>
      </w:r>
      <w:proofErr w:type="spellEnd"/>
      <w:r>
        <w:t xml:space="preserve"> Naturalismus, </w:t>
      </w:r>
      <w:proofErr w:type="spellStart"/>
      <w:r>
        <w:t>widmet</w:t>
      </w:r>
      <w:proofErr w:type="spellEnd"/>
      <w:r>
        <w:t xml:space="preserve"> </w:t>
      </w:r>
      <w:proofErr w:type="spellStart"/>
      <w:r>
        <w:t>sich</w:t>
      </w:r>
      <w:proofErr w:type="spellEnd"/>
      <w:r>
        <w:t xml:space="preserve"> </w:t>
      </w:r>
      <w:proofErr w:type="spellStart"/>
      <w:r>
        <w:t>dann</w:t>
      </w:r>
      <w:proofErr w:type="spellEnd"/>
      <w:r>
        <w:t xml:space="preserve"> </w:t>
      </w:r>
      <w:proofErr w:type="spellStart"/>
      <w:r>
        <w:t>unter</w:t>
      </w:r>
      <w:proofErr w:type="spellEnd"/>
      <w:r>
        <w:t xml:space="preserve"> </w:t>
      </w:r>
      <w:proofErr w:type="spellStart"/>
      <w:r>
        <w:t>engerem</w:t>
      </w:r>
      <w:proofErr w:type="spellEnd"/>
      <w:r>
        <w:t xml:space="preserve"> </w:t>
      </w:r>
      <w:proofErr w:type="spellStart"/>
      <w:r>
        <w:t>Blickwinkel</w:t>
      </w:r>
      <w:proofErr w:type="spellEnd"/>
      <w:r>
        <w:t xml:space="preserve"> dem </w:t>
      </w:r>
      <w:proofErr w:type="spellStart"/>
      <w:r>
        <w:t>religiösen</w:t>
      </w:r>
      <w:proofErr w:type="spellEnd"/>
      <w:r>
        <w:t xml:space="preserve"> </w:t>
      </w:r>
      <w:r>
        <w:rPr>
          <w:lang w:val="de-DE"/>
        </w:rPr>
        <w:t>sowie überhaupt dem kulturellen</w:t>
      </w:r>
      <w:r>
        <w:t xml:space="preserve"> </w:t>
      </w:r>
      <w:proofErr w:type="spellStart"/>
      <w:r>
        <w:t>Leben</w:t>
      </w:r>
      <w:proofErr w:type="spellEnd"/>
      <w:r>
        <w:t xml:space="preserve"> in </w:t>
      </w:r>
      <w:r>
        <w:rPr>
          <w:lang w:val="de-DE"/>
        </w:rPr>
        <w:t>der Hauptstadt der Monarchie (Wien)</w:t>
      </w:r>
      <w:r>
        <w:t xml:space="preserve"> </w:t>
      </w:r>
      <w:r>
        <w:rPr>
          <w:lang w:val="de-DE"/>
        </w:rPr>
        <w:t>sowie in der mährischen Provinz, um dann mit Leben und Werk des Schriftstellers Jakob Julius David fortzufahren, wobei hier der Verfasserin der Abschlussarbeit zu danken ist, dass sie sich mit einem der weniger bekannten deutschen Autoren der böhmischen Länder befasst hat, der aus Mährisch Weißkirchen (</w:t>
      </w:r>
      <w:proofErr w:type="spellStart"/>
      <w:r>
        <w:rPr>
          <w:lang w:val="de-DE"/>
        </w:rPr>
        <w:t>Hranice</w:t>
      </w:r>
      <w:proofErr w:type="spellEnd"/>
      <w:r>
        <w:rPr>
          <w:lang w:val="de-DE"/>
        </w:rPr>
        <w:t xml:space="preserve"> na </w:t>
      </w:r>
      <w:r>
        <w:t xml:space="preserve">Moravě) </w:t>
      </w:r>
      <w:proofErr w:type="spellStart"/>
      <w:r>
        <w:t>stammte</w:t>
      </w:r>
      <w:proofErr w:type="spellEnd"/>
      <w:r>
        <w:t xml:space="preserve">. </w:t>
      </w:r>
      <w:proofErr w:type="spellStart"/>
      <w:r>
        <w:t>Zu</w:t>
      </w:r>
      <w:proofErr w:type="spellEnd"/>
      <w:r>
        <w:t xml:space="preserve"> </w:t>
      </w:r>
      <w:proofErr w:type="spellStart"/>
      <w:r>
        <w:t>seinem</w:t>
      </w:r>
      <w:proofErr w:type="spellEnd"/>
      <w:r>
        <w:t xml:space="preserve">  </w:t>
      </w:r>
      <w:proofErr w:type="spellStart"/>
      <w:r>
        <w:t>Namen</w:t>
      </w:r>
      <w:proofErr w:type="spellEnd"/>
      <w:r>
        <w:t xml:space="preserve"> </w:t>
      </w:r>
      <w:proofErr w:type="spellStart"/>
      <w:r>
        <w:t>findet</w:t>
      </w:r>
      <w:proofErr w:type="spellEnd"/>
      <w:r>
        <w:t xml:space="preserve"> man </w:t>
      </w:r>
      <w:proofErr w:type="spellStart"/>
      <w:r>
        <w:t>einige</w:t>
      </w:r>
      <w:proofErr w:type="spellEnd"/>
      <w:r>
        <w:t xml:space="preserve"> </w:t>
      </w:r>
      <w:proofErr w:type="spellStart"/>
      <w:r>
        <w:t>Zeilen</w:t>
      </w:r>
      <w:proofErr w:type="spellEnd"/>
      <w:r>
        <w:t xml:space="preserve"> </w:t>
      </w:r>
      <w:proofErr w:type="spellStart"/>
      <w:r>
        <w:t>im</w:t>
      </w:r>
      <w:proofErr w:type="spellEnd"/>
      <w:r>
        <w:t xml:space="preserve"> Lexikon </w:t>
      </w:r>
      <w:proofErr w:type="spellStart"/>
      <w:r>
        <w:rPr>
          <w:i/>
          <w:iCs/>
        </w:rPr>
        <w:t>Sudetenland</w:t>
      </w:r>
      <w:proofErr w:type="spellEnd"/>
      <w:r>
        <w:rPr>
          <w:i/>
          <w:iCs/>
        </w:rPr>
        <w:t xml:space="preserve"> </w:t>
      </w:r>
      <w:r>
        <w:t xml:space="preserve">von Josef </w:t>
      </w:r>
      <w:proofErr w:type="spellStart"/>
      <w:r>
        <w:t>Hemmerle</w:t>
      </w:r>
      <w:proofErr w:type="spellEnd"/>
      <w:r>
        <w:t xml:space="preserve">. In der </w:t>
      </w:r>
      <w:proofErr w:type="spellStart"/>
      <w:r>
        <w:t>umfassenden</w:t>
      </w:r>
      <w:proofErr w:type="spellEnd"/>
      <w:r>
        <w:t xml:space="preserve"> </w:t>
      </w:r>
      <w:proofErr w:type="spellStart"/>
      <w:r>
        <w:t>Arbeit</w:t>
      </w:r>
      <w:proofErr w:type="spellEnd"/>
      <w:r>
        <w:t xml:space="preserve"> von Andrea </w:t>
      </w:r>
      <w:proofErr w:type="spellStart"/>
      <w:r>
        <w:t>Hohmeyer</w:t>
      </w:r>
      <w:proofErr w:type="spellEnd"/>
      <w:r>
        <w:t xml:space="preserve"> </w:t>
      </w:r>
      <w:proofErr w:type="spellStart"/>
      <w:r>
        <w:rPr>
          <w:i/>
          <w:iCs/>
        </w:rPr>
        <w:t>Böhmischen</w:t>
      </w:r>
      <w:proofErr w:type="spellEnd"/>
      <w:r>
        <w:rPr>
          <w:i/>
          <w:iCs/>
        </w:rPr>
        <w:t xml:space="preserve"> </w:t>
      </w:r>
      <w:proofErr w:type="spellStart"/>
      <w:r>
        <w:rPr>
          <w:i/>
          <w:iCs/>
        </w:rPr>
        <w:t>Volkes</w:t>
      </w:r>
      <w:proofErr w:type="spellEnd"/>
      <w:r>
        <w:rPr>
          <w:i/>
          <w:iCs/>
        </w:rPr>
        <w:t xml:space="preserve"> </w:t>
      </w:r>
      <w:proofErr w:type="spellStart"/>
      <w:r>
        <w:rPr>
          <w:i/>
          <w:iCs/>
        </w:rPr>
        <w:t>Weisen</w:t>
      </w:r>
      <w:proofErr w:type="spellEnd"/>
      <w:r>
        <w:rPr>
          <w:i/>
          <w:iCs/>
        </w:rPr>
        <w:t xml:space="preserve"> </w:t>
      </w:r>
      <w:r>
        <w:rPr>
          <w:lang w:val="de-DE"/>
        </w:rPr>
        <w:t>über</w:t>
      </w:r>
      <w:r>
        <w:t xml:space="preserve"> </w:t>
      </w:r>
      <w:proofErr w:type="spellStart"/>
      <w:r>
        <w:t>die</w:t>
      </w:r>
      <w:proofErr w:type="spellEnd"/>
      <w:r>
        <w:t xml:space="preserve"> </w:t>
      </w:r>
      <w:proofErr w:type="spellStart"/>
      <w:r>
        <w:t>deutschsprachige</w:t>
      </w:r>
      <w:proofErr w:type="spellEnd"/>
      <w:r>
        <w:t xml:space="preserve"> </w:t>
      </w:r>
      <w:proofErr w:type="spellStart"/>
      <w:r>
        <w:t>Dichtung</w:t>
      </w:r>
      <w:proofErr w:type="spellEnd"/>
      <w:r>
        <w:t xml:space="preserve"> </w:t>
      </w:r>
      <w:r>
        <w:rPr>
          <w:lang w:val="de-DE"/>
        </w:rPr>
        <w:t>wird</w:t>
      </w:r>
      <w:r>
        <w:t xml:space="preserve"> </w:t>
      </w:r>
      <w:r>
        <w:rPr>
          <w:lang w:val="de-DE"/>
        </w:rPr>
        <w:t xml:space="preserve">er </w:t>
      </w:r>
      <w:proofErr w:type="spellStart"/>
      <w:r>
        <w:t>dagegen</w:t>
      </w:r>
      <w:proofErr w:type="spellEnd"/>
      <w:r>
        <w:t xml:space="preserve"> </w:t>
      </w:r>
      <w:proofErr w:type="spellStart"/>
      <w:r>
        <w:t>nur</w:t>
      </w:r>
      <w:proofErr w:type="spellEnd"/>
      <w:r>
        <w:t xml:space="preserve"> in </w:t>
      </w:r>
      <w:proofErr w:type="spellStart"/>
      <w:r>
        <w:t>einer</w:t>
      </w:r>
      <w:proofErr w:type="spellEnd"/>
      <w:r>
        <w:t xml:space="preserve"> </w:t>
      </w:r>
      <w:proofErr w:type="spellStart"/>
      <w:r>
        <w:t>Zeile</w:t>
      </w:r>
      <w:proofErr w:type="spellEnd"/>
      <w:r>
        <w:t xml:space="preserve"> </w:t>
      </w:r>
      <w:proofErr w:type="spellStart"/>
      <w:r>
        <w:t>und</w:t>
      </w:r>
      <w:proofErr w:type="spellEnd"/>
      <w:r>
        <w:t xml:space="preserve">  </w:t>
      </w:r>
      <w:proofErr w:type="spellStart"/>
      <w:r>
        <w:t>einer</w:t>
      </w:r>
      <w:proofErr w:type="spellEnd"/>
      <w:r>
        <w:t xml:space="preserve"> </w:t>
      </w:r>
      <w:proofErr w:type="spellStart"/>
      <w:r>
        <w:t>Fu</w:t>
      </w:r>
      <w:r>
        <w:rPr>
          <w:lang w:val="de-DE"/>
        </w:rPr>
        <w:t>ßnote</w:t>
      </w:r>
      <w:proofErr w:type="spellEnd"/>
      <w:r>
        <w:rPr>
          <w:lang w:val="de-DE"/>
        </w:rPr>
        <w:t xml:space="preserve"> erwähnt – dort knapp charakterisiert als „Erzähler und Journalist“. Ausführlicher ist Josef Mühlbergers </w:t>
      </w:r>
      <w:r>
        <w:rPr>
          <w:i/>
          <w:iCs/>
          <w:lang w:val="de-DE"/>
        </w:rPr>
        <w:t xml:space="preserve">Geschichte der deutschen Literatur, </w:t>
      </w:r>
      <w:r>
        <w:rPr>
          <w:lang w:val="de-DE"/>
        </w:rPr>
        <w:t xml:space="preserve">zu der eine moderne tschechische Übersetzung vorliegt. Und auf zwei Seiten behandelt ihn Dieter </w:t>
      </w:r>
      <w:proofErr w:type="spellStart"/>
      <w:r>
        <w:rPr>
          <w:lang w:val="de-DE"/>
        </w:rPr>
        <w:t>Krywalski</w:t>
      </w:r>
      <w:proofErr w:type="spellEnd"/>
      <w:r>
        <w:rPr>
          <w:lang w:val="de-DE"/>
        </w:rPr>
        <w:t xml:space="preserve">  in seinen </w:t>
      </w:r>
      <w:proofErr w:type="spellStart"/>
      <w:r>
        <w:rPr>
          <w:lang w:val="de-DE"/>
        </w:rPr>
        <w:t>literaraturgeschichtlichen</w:t>
      </w:r>
      <w:proofErr w:type="spellEnd"/>
      <w:r>
        <w:rPr>
          <w:lang w:val="de-DE"/>
        </w:rPr>
        <w:t xml:space="preserve"> Beobachtungen </w:t>
      </w:r>
      <w:proofErr w:type="spellStart"/>
      <w:r>
        <w:rPr>
          <w:i/>
          <w:iCs/>
          <w:lang w:val="de-DE"/>
        </w:rPr>
        <w:t>Weit</w:t>
      </w:r>
      <w:proofErr w:type="spellEnd"/>
      <w:r>
        <w:rPr>
          <w:i/>
          <w:iCs/>
          <w:lang w:val="de-DE"/>
        </w:rPr>
        <w:t xml:space="preserve"> von hier wohnen wir, weit von hier. </w:t>
      </w:r>
      <w:r>
        <w:rPr>
          <w:lang w:val="de-DE"/>
        </w:rPr>
        <w:t xml:space="preserve"> Soweit ein erster Überblick.</w:t>
      </w:r>
    </w:p>
    <w:p w:rsidR="002D4652" w:rsidRDefault="002D4652" w:rsidP="002D4652">
      <w:pPr>
        <w:jc w:val="both"/>
        <w:rPr>
          <w:lang w:val="de-DE"/>
        </w:rPr>
      </w:pPr>
      <w:r>
        <w:rPr>
          <w:i/>
          <w:iCs/>
          <w:lang w:val="de-DE"/>
        </w:rPr>
        <w:t xml:space="preserve">         </w:t>
      </w:r>
      <w:r>
        <w:rPr>
          <w:lang w:val="de-DE"/>
        </w:rPr>
        <w:t xml:space="preserve">Diese Bemerkungen können uns zeigen, erstens welcher literarische Rang diesem mährischen Schriftsteller zugemessen wird, womit sich zweitens auch ein Hinweis darauf verbinden ließe, wie es wahrscheinlich um die literaturwissenschaftliche Erforschung von Davids Leben und Werk steht. Alexandra </w:t>
      </w:r>
      <w:r>
        <w:t xml:space="preserve">Šlesingrová </w:t>
      </w:r>
      <w:r>
        <w:rPr>
          <w:lang w:val="de-DE"/>
        </w:rPr>
        <w:t>führt</w:t>
      </w:r>
      <w:r>
        <w:t xml:space="preserve">  in </w:t>
      </w:r>
      <w:proofErr w:type="spellStart"/>
      <w:r>
        <w:t>ihrem</w:t>
      </w:r>
      <w:proofErr w:type="spellEnd"/>
      <w:r>
        <w:t xml:space="preserve"> </w:t>
      </w:r>
      <w:r>
        <w:rPr>
          <w:lang w:val="de-DE"/>
        </w:rPr>
        <w:t xml:space="preserve">eigenen </w:t>
      </w:r>
      <w:proofErr w:type="spellStart"/>
      <w:r>
        <w:t>Literaturverzeichnis</w:t>
      </w:r>
      <w:proofErr w:type="spellEnd"/>
      <w:r>
        <w:t xml:space="preserve"> au</w:t>
      </w:r>
      <w:proofErr w:type="spellStart"/>
      <w:r>
        <w:rPr>
          <w:lang w:val="de-DE"/>
        </w:rPr>
        <w:t>ßer</w:t>
      </w:r>
      <w:proofErr w:type="spellEnd"/>
      <w:r>
        <w:rPr>
          <w:lang w:val="de-DE"/>
        </w:rPr>
        <w:t xml:space="preserve"> kultur- und literaturgeschichtlichen Werken ebenfalls keine Hinweise auf speziell Jakob Julius David gewidmete Untersuchungen an. An einer Stelle ist  wenigstens eine Brünner Bachelorarbeit über die literarische Gestaltung der mährischen Welt erwähnt – sich aber an Marie Ebner von Eschenbach orientierend, die  Dieter </w:t>
      </w:r>
      <w:proofErr w:type="spellStart"/>
      <w:r>
        <w:rPr>
          <w:lang w:val="de-DE"/>
        </w:rPr>
        <w:t>Krywalski</w:t>
      </w:r>
      <w:proofErr w:type="spellEnd"/>
      <w:r>
        <w:rPr>
          <w:lang w:val="de-DE"/>
        </w:rPr>
        <w:t xml:space="preserve">  - zum Vergleich -  auf fünf Seiten behandelt hat. In den Anmerkungen zu den Interpretationen können wir also keine weitere Forschungsliteratur finden: Die Zitate beziehen sich vor allem auf die neuere Textausgabe des österreichischen Residenzverlags und auf Internetquellen. Soviel zu den Voraussetzungen dieser Bachelorarbeit.</w:t>
      </w:r>
    </w:p>
    <w:p w:rsidR="002D4652" w:rsidRDefault="002D4652" w:rsidP="002D4652">
      <w:pPr>
        <w:jc w:val="both"/>
        <w:rPr>
          <w:lang w:val="de-DE"/>
        </w:rPr>
      </w:pPr>
      <w:r>
        <w:rPr>
          <w:lang w:val="de-DE"/>
        </w:rPr>
        <w:t xml:space="preserve">       </w:t>
      </w:r>
      <w:proofErr w:type="spellStart"/>
      <w:r>
        <w:t>Daraus</w:t>
      </w:r>
      <w:proofErr w:type="spellEnd"/>
      <w:r>
        <w:rPr>
          <w:lang w:val="de-DE"/>
        </w:rPr>
        <w:t xml:space="preserve"> möchte ich nur den Begriff </w:t>
      </w:r>
      <w:r>
        <w:rPr>
          <w:i/>
          <w:iCs/>
          <w:lang w:val="de-DE"/>
        </w:rPr>
        <w:t xml:space="preserve">Erzählung </w:t>
      </w:r>
      <w:r>
        <w:rPr>
          <w:lang w:val="de-DE"/>
        </w:rPr>
        <w:t xml:space="preserve">hervorheben, mit dem die beiden für die Untersuchung gewählten Werke Davids bezeichnet werden: Siehe die Erzählung </w:t>
      </w:r>
      <w:r>
        <w:rPr>
          <w:i/>
          <w:iCs/>
          <w:lang w:val="de-DE"/>
        </w:rPr>
        <w:t xml:space="preserve">Das königliche Spiel, </w:t>
      </w:r>
      <w:r>
        <w:rPr>
          <w:lang w:val="de-DE"/>
        </w:rPr>
        <w:t xml:space="preserve">die Erzählung </w:t>
      </w:r>
      <w:r>
        <w:rPr>
          <w:i/>
          <w:iCs/>
          <w:lang w:val="de-DE"/>
        </w:rPr>
        <w:t xml:space="preserve">Halluzinationen, </w:t>
      </w:r>
      <w:r>
        <w:rPr>
          <w:lang w:val="de-DE"/>
        </w:rPr>
        <w:t xml:space="preserve">die Erzählung </w:t>
      </w:r>
      <w:r>
        <w:rPr>
          <w:i/>
          <w:iCs/>
          <w:lang w:val="de-DE"/>
        </w:rPr>
        <w:t xml:space="preserve">Die Hanna. </w:t>
      </w:r>
      <w:r>
        <w:rPr>
          <w:lang w:val="de-DE"/>
        </w:rPr>
        <w:t xml:space="preserve">Nun findet sich aber im Titel der Ausgabe des Residenzverlags eine andere Genrebezeichnung: Novellen – bei der Ausgabe der </w:t>
      </w:r>
      <w:r>
        <w:rPr>
          <w:i/>
          <w:iCs/>
          <w:lang w:val="de-DE"/>
        </w:rPr>
        <w:t xml:space="preserve">Halluzinationen </w:t>
      </w:r>
      <w:r>
        <w:rPr>
          <w:lang w:val="de-DE"/>
        </w:rPr>
        <w:t xml:space="preserve">und bei der </w:t>
      </w:r>
      <w:r>
        <w:rPr>
          <w:i/>
          <w:iCs/>
          <w:lang w:val="de-DE"/>
        </w:rPr>
        <w:t xml:space="preserve">Die Hanna </w:t>
      </w:r>
      <w:r>
        <w:rPr>
          <w:lang w:val="de-DE"/>
        </w:rPr>
        <w:t xml:space="preserve">(ein Texttitel daraus als Bezeichnung der ganzen Edition). Literaturwissenschaftlich werden bekanntlich unterschieden: Erzählungen, Kurzgeschichten und eben die Novellen, dazu heute noch die </w:t>
      </w:r>
      <w:proofErr w:type="spellStart"/>
      <w:r>
        <w:rPr>
          <w:lang w:val="de-DE"/>
        </w:rPr>
        <w:t>Kürzestgeschichte</w:t>
      </w:r>
      <w:proofErr w:type="spellEnd"/>
      <w:r>
        <w:rPr>
          <w:lang w:val="de-DE"/>
        </w:rPr>
        <w:t xml:space="preserve"> (eher als Textminimum zu verstehen). Unter den Erzählungen kann man sogar Texte finden, die eher als kurze Roman</w:t>
      </w:r>
      <w:r>
        <w:t>e</w:t>
      </w:r>
      <w:r>
        <w:rPr>
          <w:lang w:val="de-DE"/>
        </w:rPr>
        <w:t xml:space="preserve"> erscheinen. Jetzt erhebt sich die Frage, ob David Texte im Stil der klassischen deutschen Novelle oder Erzählungen geschrieben hat </w:t>
      </w:r>
      <w:proofErr w:type="spellStart"/>
      <w:r>
        <w:t>und</w:t>
      </w:r>
      <w:proofErr w:type="spellEnd"/>
      <w:r>
        <w:t xml:space="preserve"> ob </w:t>
      </w:r>
      <w:proofErr w:type="spellStart"/>
      <w:r>
        <w:t>er</w:t>
      </w:r>
      <w:proofErr w:type="spellEnd"/>
      <w:r>
        <w:t xml:space="preserve"> </w:t>
      </w:r>
      <w:proofErr w:type="spellStart"/>
      <w:r>
        <w:t>dabei</w:t>
      </w:r>
      <w:proofErr w:type="spellEnd"/>
      <w:r>
        <w:rPr>
          <w:lang w:val="de-DE"/>
        </w:rPr>
        <w:t xml:space="preserve"> auch schon experimentierte  in Richtung  Kurzgeschichte. Hier könnten uns eventuell schon die ersten Sätze der von </w:t>
      </w:r>
      <w:r>
        <w:t xml:space="preserve">Šlesingrová </w:t>
      </w:r>
      <w:r>
        <w:rPr>
          <w:lang w:val="de-DE"/>
        </w:rPr>
        <w:t>ausgewählten</w:t>
      </w:r>
      <w:r>
        <w:t xml:space="preserve"> </w:t>
      </w:r>
      <w:proofErr w:type="spellStart"/>
      <w:r>
        <w:t>zwei</w:t>
      </w:r>
      <w:proofErr w:type="spellEnd"/>
      <w:r>
        <w:t xml:space="preserve"> Texte </w:t>
      </w:r>
      <w:r>
        <w:rPr>
          <w:lang w:val="de-DE"/>
        </w:rPr>
        <w:t xml:space="preserve">(Das königliche Spiel/Die Hanna) helfen.  </w:t>
      </w:r>
    </w:p>
    <w:p w:rsidR="002D4652" w:rsidRDefault="002D4652" w:rsidP="002D4652">
      <w:pPr>
        <w:jc w:val="both"/>
        <w:rPr>
          <w:lang w:val="de-DE"/>
        </w:rPr>
      </w:pPr>
      <w:r>
        <w:rPr>
          <w:lang w:val="de-DE"/>
        </w:rPr>
        <w:t xml:space="preserve">     Die Verfasserin hat ihre Untersuchung auf die Inhalte und den kulturellen Hintergrund der  Werke Davids eingegrenzt und dabei auch das Wiener Café nicht unbeobachtet gelassen (zu nennen wäre </w:t>
      </w:r>
      <w:proofErr w:type="spellStart"/>
      <w:r>
        <w:t>diesbezüglich</w:t>
      </w:r>
      <w:proofErr w:type="spellEnd"/>
      <w:r>
        <w:rPr>
          <w:lang w:val="de-DE"/>
        </w:rPr>
        <w:t xml:space="preserve"> Moritz </w:t>
      </w:r>
      <w:proofErr w:type="spellStart"/>
      <w:r>
        <w:rPr>
          <w:lang w:val="de-DE"/>
        </w:rPr>
        <w:t>Csákys</w:t>
      </w:r>
      <w:proofErr w:type="spellEnd"/>
      <w:r>
        <w:rPr>
          <w:lang w:val="de-DE"/>
        </w:rPr>
        <w:t xml:space="preserve"> </w:t>
      </w:r>
      <w:r>
        <w:rPr>
          <w:i/>
          <w:iCs/>
          <w:lang w:val="de-DE"/>
        </w:rPr>
        <w:t xml:space="preserve">Das Gedächtnis der Städte </w:t>
      </w:r>
      <w:r>
        <w:rPr>
          <w:lang w:val="de-DE"/>
        </w:rPr>
        <w:t xml:space="preserve">wegen den Kapiteln „'Böhmisches' Wien“ und „Schnittstelle Kaffeehaus“ </w:t>
      </w:r>
      <w:proofErr w:type="spellStart"/>
      <w:r>
        <w:t>gewesen</w:t>
      </w:r>
      <w:proofErr w:type="spellEnd"/>
      <w:r>
        <w:rPr>
          <w:lang w:val="de-DE"/>
        </w:rPr>
        <w:t xml:space="preserve">). Sich mit Jakob Julius David als Schriftsteller befasst zu haben ist hier deswegen zu würdigen, weil dieser nicht im </w:t>
      </w:r>
      <w:r>
        <w:rPr>
          <w:lang w:val="de-DE"/>
        </w:rPr>
        <w:lastRenderedPageBreak/>
        <w:t xml:space="preserve">Vordergrund des </w:t>
      </w:r>
      <w:proofErr w:type="spellStart"/>
      <w:r>
        <w:t>wissenschaftlichen</w:t>
      </w:r>
      <w:proofErr w:type="spellEnd"/>
      <w:r>
        <w:t xml:space="preserve"> </w:t>
      </w:r>
      <w:r>
        <w:rPr>
          <w:lang w:val="de-DE"/>
        </w:rPr>
        <w:t xml:space="preserve"> Interesses stehende Autor zur mitteleuropäischen Literatur ebenfalls seinen Beitrag geleistet hat.</w:t>
      </w:r>
    </w:p>
    <w:p w:rsidR="002D4652" w:rsidRDefault="002D4652" w:rsidP="002D4652">
      <w:pPr>
        <w:jc w:val="both"/>
        <w:rPr>
          <w:lang w:val="de-DE"/>
        </w:rPr>
      </w:pPr>
    </w:p>
    <w:p w:rsidR="002D4652" w:rsidRDefault="002D4652" w:rsidP="002D4652">
      <w:pPr>
        <w:jc w:val="both"/>
      </w:pPr>
      <w:r>
        <w:rPr>
          <w:lang w:val="de-DE"/>
        </w:rPr>
        <w:t xml:space="preserve">Ergebnis: </w:t>
      </w:r>
      <w:r>
        <w:rPr>
          <w:b/>
          <w:bCs/>
          <w:lang w:val="de-DE"/>
        </w:rPr>
        <w:t xml:space="preserve"> v e l m i   d o b </w:t>
      </w:r>
      <w:r>
        <w:rPr>
          <w:b/>
          <w:bCs/>
        </w:rPr>
        <w:t>ř e</w:t>
      </w:r>
      <w:r>
        <w:rPr>
          <w:lang w:val="de-DE"/>
        </w:rPr>
        <w:t xml:space="preserve"> </w:t>
      </w:r>
    </w:p>
    <w:p w:rsidR="002D4652" w:rsidRDefault="002D4652" w:rsidP="002D4652">
      <w:pPr>
        <w:jc w:val="both"/>
      </w:pPr>
    </w:p>
    <w:p w:rsidR="002D4652" w:rsidRDefault="002D4652" w:rsidP="002D4652">
      <w:pPr>
        <w:jc w:val="both"/>
      </w:pPr>
    </w:p>
    <w:p w:rsidR="002D4652" w:rsidRDefault="002D4652" w:rsidP="002D4652">
      <w:pPr>
        <w:jc w:val="both"/>
      </w:pPr>
      <w:r>
        <w:rPr>
          <w:lang w:val="de-DE"/>
        </w:rPr>
        <w:t xml:space="preserve">                 </w:t>
      </w:r>
      <w:r>
        <w:t xml:space="preserve">Winfried </w:t>
      </w:r>
      <w:proofErr w:type="spellStart"/>
      <w:r>
        <w:t>Baumann</w:t>
      </w:r>
      <w:proofErr w:type="spellEnd"/>
    </w:p>
    <w:p w:rsidR="002D4652" w:rsidRDefault="002D4652" w:rsidP="002D4652">
      <w:pPr>
        <w:jc w:val="both"/>
      </w:pPr>
    </w:p>
    <w:p w:rsidR="002D4652" w:rsidRDefault="002D4652" w:rsidP="002D4652">
      <w:pPr>
        <w:jc w:val="both"/>
      </w:pPr>
    </w:p>
    <w:p w:rsidR="002D4652" w:rsidRDefault="002D4652" w:rsidP="002D4652">
      <w:pPr>
        <w:jc w:val="both"/>
      </w:pPr>
    </w:p>
    <w:p w:rsidR="002D4652" w:rsidRDefault="002D4652" w:rsidP="002D4652">
      <w:pPr>
        <w:jc w:val="both"/>
      </w:pPr>
    </w:p>
    <w:p w:rsidR="002D4652" w:rsidRDefault="002D4652" w:rsidP="002D4652">
      <w:pPr>
        <w:jc w:val="both"/>
      </w:pPr>
    </w:p>
    <w:p w:rsidR="002D4652" w:rsidRDefault="002D4652" w:rsidP="002D4652">
      <w:pPr>
        <w:jc w:val="both"/>
      </w:pPr>
    </w:p>
    <w:p w:rsidR="002D4652" w:rsidRDefault="002D4652" w:rsidP="002D4652"/>
    <w:p w:rsidR="008D02AB" w:rsidRDefault="008D02AB">
      <w:bookmarkStart w:id="0" w:name="_GoBack"/>
      <w:bookmarkEnd w:id="0"/>
    </w:p>
    <w:sectPr w:rsidR="008D02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652"/>
    <w:rsid w:val="002D4652"/>
    <w:rsid w:val="008D02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D4652"/>
    <w:pPr>
      <w:widowControl w:val="0"/>
      <w:suppressAutoHyphens/>
      <w:spacing w:after="0" w:line="240" w:lineRule="auto"/>
    </w:pPr>
    <w:rPr>
      <w:rFonts w:ascii="Times New Roman" w:eastAsia="SimSun" w:hAnsi="Times New Roman" w:cs="Mangal"/>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D4652"/>
    <w:pPr>
      <w:widowControl w:val="0"/>
      <w:suppressAutoHyphens/>
      <w:spacing w:after="0" w:line="240" w:lineRule="auto"/>
    </w:pPr>
    <w:rPr>
      <w:rFonts w:ascii="Times New Roman" w:eastAsia="SimSun" w:hAnsi="Times New Roman" w:cs="Mangal"/>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598</Words>
  <Characters>3535</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2016-05-16T05:44:00Z</dcterms:created>
  <dcterms:modified xsi:type="dcterms:W3CDTF">2016-05-16T05:44:00Z</dcterms:modified>
</cp:coreProperties>
</file>