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62B7" w:rsidRDefault="000C62B7" w:rsidP="000C62B7">
      <w:pPr>
        <w:pStyle w:val="Nadpis1"/>
        <w:rPr>
          <w:b w:val="0"/>
        </w:rPr>
      </w:pPr>
      <w:r>
        <w:t>Bc. Tereza Exnerová:</w:t>
      </w:r>
      <w:r>
        <w:br/>
      </w:r>
      <w:r>
        <w:rPr>
          <w:i/>
        </w:rPr>
        <w:t>Kunderovská stopa v české próze od osmdesátých let do současnosti</w:t>
      </w:r>
      <w:r>
        <w:tab/>
      </w:r>
    </w:p>
    <w:p w:rsidR="000C62B7" w:rsidRDefault="000C62B7" w:rsidP="000C62B7">
      <w:pPr>
        <w:rPr>
          <w:b/>
          <w:sz w:val="24"/>
        </w:rPr>
      </w:pPr>
      <w:r>
        <w:rPr>
          <w:b/>
          <w:sz w:val="24"/>
        </w:rPr>
        <w:t xml:space="preserve">Diplomová práce. Ústav historických věd. Univerzita Pardubice. Fakulta </w:t>
      </w:r>
      <w:r>
        <w:rPr>
          <w:b/>
          <w:sz w:val="24"/>
        </w:rPr>
        <w:t>filozofická. Pardubice 2017, 119</w:t>
      </w:r>
      <w:r>
        <w:rPr>
          <w:b/>
          <w:sz w:val="24"/>
        </w:rPr>
        <w:t xml:space="preserve"> s.</w:t>
      </w:r>
    </w:p>
    <w:p w:rsidR="000C62B7" w:rsidRDefault="000C62B7" w:rsidP="000C62B7">
      <w:pPr>
        <w:rPr>
          <w:b/>
          <w:sz w:val="24"/>
        </w:rPr>
      </w:pPr>
      <w:r>
        <w:rPr>
          <w:b/>
          <w:sz w:val="24"/>
        </w:rPr>
        <w:t>Studijní obor: Kulturní dějiny – Dějiny literární kultury</w:t>
      </w:r>
    </w:p>
    <w:p w:rsidR="000C62B7" w:rsidRDefault="000C62B7" w:rsidP="000C62B7">
      <w:pPr>
        <w:rPr>
          <w:b/>
          <w:sz w:val="24"/>
        </w:rPr>
      </w:pPr>
      <w:r>
        <w:rPr>
          <w:b/>
          <w:sz w:val="24"/>
        </w:rPr>
        <w:t>Ved</w:t>
      </w:r>
      <w:r>
        <w:rPr>
          <w:b/>
          <w:sz w:val="24"/>
        </w:rPr>
        <w:t>oucí práce: doc. PhDr. Petr Poslední, CSc</w:t>
      </w:r>
      <w:r>
        <w:rPr>
          <w:b/>
          <w:sz w:val="24"/>
        </w:rPr>
        <w:t>.</w:t>
      </w:r>
    </w:p>
    <w:p w:rsidR="000C62B7" w:rsidRDefault="000C62B7" w:rsidP="000C62B7">
      <w:pPr>
        <w:rPr>
          <w:b/>
          <w:sz w:val="24"/>
        </w:rPr>
      </w:pPr>
      <w:r>
        <w:rPr>
          <w:b/>
          <w:sz w:val="24"/>
        </w:rPr>
        <w:t>Oponent práce: PhDr. Ivo Říha, Ph.D.</w:t>
      </w:r>
    </w:p>
    <w:p w:rsidR="000C62B7" w:rsidRDefault="000C62B7" w:rsidP="000C62B7">
      <w:pPr>
        <w:rPr>
          <w:b/>
          <w:sz w:val="24"/>
        </w:rPr>
      </w:pPr>
    </w:p>
    <w:p w:rsidR="000C62B7" w:rsidRDefault="000C62B7" w:rsidP="000C62B7">
      <w:pPr>
        <w:rPr>
          <w:b/>
          <w:sz w:val="24"/>
        </w:rPr>
      </w:pPr>
    </w:p>
    <w:p w:rsidR="000C62B7" w:rsidRDefault="000C62B7" w:rsidP="000C62B7">
      <w:pPr>
        <w:rPr>
          <w:b/>
          <w:sz w:val="24"/>
        </w:rPr>
      </w:pPr>
      <w:r>
        <w:rPr>
          <w:b/>
          <w:sz w:val="24"/>
        </w:rPr>
        <w:t xml:space="preserve">Posudek </w:t>
      </w:r>
      <w:r>
        <w:rPr>
          <w:b/>
          <w:sz w:val="24"/>
          <w:u w:val="single"/>
        </w:rPr>
        <w:t>oponenta</w:t>
      </w:r>
      <w:r>
        <w:rPr>
          <w:b/>
          <w:sz w:val="24"/>
        </w:rPr>
        <w:t xml:space="preserve"> diplomové práce:</w:t>
      </w:r>
      <w:r w:rsidR="003E510E">
        <w:rPr>
          <w:b/>
          <w:sz w:val="24"/>
        </w:rPr>
        <w:br/>
      </w:r>
    </w:p>
    <w:p w:rsidR="003E510E" w:rsidRDefault="000C62B7" w:rsidP="003E510E">
      <w:pPr>
        <w:rPr>
          <w:sz w:val="24"/>
        </w:rPr>
      </w:pPr>
      <w:r>
        <w:rPr>
          <w:b/>
          <w:sz w:val="24"/>
        </w:rPr>
        <w:br/>
      </w:r>
      <w:r>
        <w:rPr>
          <w:sz w:val="24"/>
        </w:rPr>
        <w:t xml:space="preserve">      </w:t>
      </w:r>
      <w:r w:rsidR="004D0356">
        <w:rPr>
          <w:sz w:val="24"/>
        </w:rPr>
        <w:t>V Úvodu předkládané práce se autorka pokouší co nejpodrobněji vymezit cíl svého výzkumu a jeho hlavní metodologické</w:t>
      </w:r>
      <w:r w:rsidR="00463960">
        <w:rPr>
          <w:sz w:val="24"/>
        </w:rPr>
        <w:t xml:space="preserve"> opory. Tuto</w:t>
      </w:r>
      <w:r w:rsidR="004D0356">
        <w:rPr>
          <w:sz w:val="24"/>
        </w:rPr>
        <w:t xml:space="preserve"> snahu o solidní odborné ukotvení všeho, co má dále následovat</w:t>
      </w:r>
      <w:r w:rsidR="00463960">
        <w:rPr>
          <w:sz w:val="24"/>
        </w:rPr>
        <w:t>, je jistě třeba ocenit,</w:t>
      </w:r>
      <w:r w:rsidR="004D0356">
        <w:rPr>
          <w:sz w:val="24"/>
        </w:rPr>
        <w:t xml:space="preserve"> avšak na druhou stranu nelze nezmínit skutečnost, že už zde se nacházejí si</w:t>
      </w:r>
      <w:r w:rsidR="00F81838">
        <w:rPr>
          <w:sz w:val="24"/>
        </w:rPr>
        <w:t>gnály, že v jistých polohách</w:t>
      </w:r>
      <w:r w:rsidR="004D0356">
        <w:rPr>
          <w:sz w:val="24"/>
        </w:rPr>
        <w:t xml:space="preserve"> je </w:t>
      </w:r>
      <w:r w:rsidR="00F81838">
        <w:rPr>
          <w:sz w:val="24"/>
        </w:rPr>
        <w:t xml:space="preserve">a bude </w:t>
      </w:r>
      <w:r w:rsidR="004D0356">
        <w:rPr>
          <w:sz w:val="24"/>
        </w:rPr>
        <w:t>celkový výkon kolegyně Terezy Exnerové ne zcela přesvědčivý. Mám na mysli zejména zdůvodnění výběru jednotlivých autorů, resp. děl obsahujících onu „kunderovskou stopu“ (o tom se ještě zmíním)</w:t>
      </w:r>
      <w:r w:rsidR="006518DA">
        <w:rPr>
          <w:sz w:val="24"/>
        </w:rPr>
        <w:t xml:space="preserve"> a vysvětlení toho, jakým složkám autorského rukopisu a kterým komponentům sémantické výstavby díla bude věnována pozornost (tedy na jakých rovinách a jakým způsobem budou sledovány intertextové vazby</w:t>
      </w:r>
      <w:r w:rsidR="00A9756C">
        <w:rPr>
          <w:sz w:val="24"/>
        </w:rPr>
        <w:t>). Je tady</w:t>
      </w:r>
      <w:r w:rsidR="006518DA">
        <w:rPr>
          <w:sz w:val="24"/>
        </w:rPr>
        <w:t xml:space="preserve"> tak nějak všechno najednou</w:t>
      </w:r>
      <w:r w:rsidR="00A9756C">
        <w:rPr>
          <w:sz w:val="24"/>
        </w:rPr>
        <w:t>…</w:t>
      </w:r>
      <w:r w:rsidR="006518DA">
        <w:rPr>
          <w:sz w:val="24"/>
        </w:rPr>
        <w:t xml:space="preserve"> Takže ačkoli se autorka snaží o zevrubné, co nejpečlivější představení látky a způsobu jejího zkoumání, na straně čtenáře této DP může paradoxně stoupat nejistota ohledně toho, co ho vlastně na dalších stranách čeká.</w:t>
      </w:r>
      <w:r w:rsidR="003E510E">
        <w:rPr>
          <w:sz w:val="24"/>
        </w:rPr>
        <w:br/>
      </w:r>
      <w:r w:rsidR="006518DA">
        <w:rPr>
          <w:sz w:val="24"/>
        </w:rPr>
        <w:br/>
        <w:t xml:space="preserve">      První a druhý oddíl práce kolegyně Exnerová věnuje teoretické přípravě „nástrojů“, s jejichž výbavou hodlá vykročit za naplněním cíle své práce. Přiměřeně obsáhlá pojednání o intertextualitě a komparatistice</w:t>
      </w:r>
      <w:r w:rsidR="00A41E1F">
        <w:rPr>
          <w:sz w:val="24"/>
        </w:rPr>
        <w:t xml:space="preserve"> jsou napsána vcelku přehledně, autorka dokáže položit důraz na podstatná místa, byť se občas nemůžu zbavit dojmu, že se točíme v kruhu, objasňujeme již objasněné a – hlavně – není jisté, do jaké míry bude toto vše využito v centrální, tj. analytické a interpretační části DP (po jejím dočtení musím konstatovat, že míra tohoto využití podkladů rozvedených na obecné teoretické rovině je značně omezená).</w:t>
      </w:r>
      <w:r w:rsidR="00A41E1F">
        <w:rPr>
          <w:sz w:val="24"/>
        </w:rPr>
        <w:br/>
        <w:t xml:space="preserve">      Třetí oddíl je věnován komplexní charakteristice díla Milana Kundery. A opět: tato část</w:t>
      </w:r>
      <w:r w:rsidR="00ED2D36">
        <w:rPr>
          <w:sz w:val="24"/>
        </w:rPr>
        <w:t xml:space="preserve"> obstojí pouze jako příprava toh</w:t>
      </w:r>
      <w:r w:rsidR="00A41E1F">
        <w:rPr>
          <w:sz w:val="24"/>
        </w:rPr>
        <w:t>o, co teprve má přijít (podobně jako u předchozích dvou oddílů); je zde vlastně jen zopakováno to, co bylo o Kunderovi řečeno a napsáno už mnohokrát.</w:t>
      </w:r>
      <w:r w:rsidR="00A727A2">
        <w:rPr>
          <w:sz w:val="24"/>
        </w:rPr>
        <w:br/>
        <w:t xml:space="preserve">      Jádro předkládané práce je otevřeno na s. 41. Tereza Exnerová se zde pokouší znovu zdůvodnit výběr autorů / děl s „kunderovskou stopou“, a formulovat tak svou hlavní badatelskou a tvůrčí intenci. Jak jsem již naznačil, tento moment pokládám za problematický</w:t>
      </w:r>
      <w:r w:rsidR="00F81838">
        <w:rPr>
          <w:sz w:val="24"/>
        </w:rPr>
        <w:t>. C</w:t>
      </w:r>
      <w:r w:rsidR="00A727A2">
        <w:rPr>
          <w:sz w:val="24"/>
        </w:rPr>
        <w:t>ílem přece nemělo být „zpracovat všechny autory“ (s. 41), tzn. vypočítávat, kolik je těch, jejichž dílo bylo prokazatelně ovlivněno něčím, co lze pokládat za „kunderovskou st</w:t>
      </w:r>
      <w:r w:rsidR="00F81838">
        <w:rPr>
          <w:sz w:val="24"/>
        </w:rPr>
        <w:t>o</w:t>
      </w:r>
      <w:r w:rsidR="00A727A2">
        <w:rPr>
          <w:sz w:val="24"/>
        </w:rPr>
        <w:t>pu“. To po autorce DP nikdo nechtěl a nechce, nebylo tudíž nutné se před tímto „požadavkem</w:t>
      </w:r>
      <w:r w:rsidR="0081371C">
        <w:rPr>
          <w:sz w:val="24"/>
        </w:rPr>
        <w:t>“</w:t>
      </w:r>
      <w:r w:rsidR="00A727A2">
        <w:rPr>
          <w:sz w:val="24"/>
        </w:rPr>
        <w:t xml:space="preserve"> hájit. Naopak: cílem bylo (mělo být?) zjistit</w:t>
      </w:r>
      <w:r w:rsidR="004365D2">
        <w:rPr>
          <w:sz w:val="24"/>
        </w:rPr>
        <w:t>, jakými cestami ony „kunderovské stopy“ vedou; jak v tomto smyslu vypadá nastavení konkrétních intertextových</w:t>
      </w:r>
      <w:r w:rsidR="00A727A2">
        <w:rPr>
          <w:sz w:val="24"/>
        </w:rPr>
        <w:t xml:space="preserve"> </w:t>
      </w:r>
      <w:r w:rsidR="004365D2">
        <w:rPr>
          <w:sz w:val="24"/>
        </w:rPr>
        <w:t xml:space="preserve">vazeb (v různých úrovních sémantické struktury uměleckého literárního díla) v české próze posledního čtvrtstoletí. Uvedené mělo být zjišťováno na nějakém – dostatečně výmluvném / reprezentativním – „vzorku“. V tomto </w:t>
      </w:r>
      <w:r w:rsidR="004D0406">
        <w:rPr>
          <w:sz w:val="24"/>
        </w:rPr>
        <w:t xml:space="preserve">ohledu se mi výběr, </w:t>
      </w:r>
      <w:r w:rsidR="004365D2">
        <w:rPr>
          <w:sz w:val="24"/>
        </w:rPr>
        <w:t>uspořádání</w:t>
      </w:r>
      <w:r w:rsidR="004D0406">
        <w:rPr>
          <w:sz w:val="24"/>
        </w:rPr>
        <w:t xml:space="preserve"> a celkové pojetí</w:t>
      </w:r>
      <w:r w:rsidR="004365D2">
        <w:rPr>
          <w:sz w:val="24"/>
        </w:rPr>
        <w:t xml:space="preserve"> toho, co čteme od s. 41 až do konce, jeví jako akceptovatelný počin jen zčásti. Postrádám lepší, přesnější, jasnější utřídění tohoto „vzorku“. Musím se ptát: „Proč teď Kratochv</w:t>
      </w:r>
      <w:r w:rsidR="004D0406">
        <w:rPr>
          <w:sz w:val="24"/>
        </w:rPr>
        <w:t xml:space="preserve">il? Proč potom Přibil? Jaká jsou kritéria jejich výběru? Počítá se tu s generační příslušností? S literárněhistorickým, resp. </w:t>
      </w:r>
      <w:r w:rsidR="004D0406">
        <w:rPr>
          <w:sz w:val="24"/>
        </w:rPr>
        <w:lastRenderedPageBreak/>
        <w:t>sociokulturním kontextem? Počítá se s žánrovými aspekty? Nebo jde o víceméně namátkový výběr z těch, o nichž je známo, že mají ke Kunderovi blízko?“</w:t>
      </w:r>
      <w:r w:rsidR="003E510E">
        <w:rPr>
          <w:sz w:val="24"/>
        </w:rPr>
        <w:br/>
      </w:r>
      <w:r w:rsidR="004D0406">
        <w:rPr>
          <w:sz w:val="24"/>
        </w:rPr>
        <w:br/>
        <w:t xml:space="preserve">      </w:t>
      </w:r>
      <w:r w:rsidR="004365D2">
        <w:rPr>
          <w:sz w:val="24"/>
        </w:rPr>
        <w:t>Kolegyně Exnerová je interpretačně bezesporu velice zdatná, ve spletité motivické síti textu dokáže „vyhmátnout“ důležitý detail a přesně pojmenovat jeho pozici a roli ve významové výstavbě</w:t>
      </w:r>
      <w:r w:rsidR="004D0406">
        <w:rPr>
          <w:sz w:val="24"/>
        </w:rPr>
        <w:t>. Za velice cenné pokládám to, že (a jak) dokázala vlastní interpretační výkon skloubit s </w:t>
      </w:r>
      <w:r w:rsidR="001F777E">
        <w:rPr>
          <w:sz w:val="24"/>
        </w:rPr>
        <w:t>reflexí</w:t>
      </w:r>
      <w:r w:rsidR="004D0406">
        <w:rPr>
          <w:sz w:val="24"/>
        </w:rPr>
        <w:t xml:space="preserve"> příslušných kritických / recenzních ohlasů. Poněkud horší je to ovšem s návazností na teoretickou přípravu z první poloviny DP (jak jsem již naznačil). Autorčiny nápadité a pozoruhodné analýzy dotyčných knih si převážně „žijí vlastním životem“. O soustředěnou, jasně strukturovanou a metodologicky důsledně vedenou práci s konkrétními aspekty intertextuality (tak, jak byly teoreticky rozvedeny</w:t>
      </w:r>
      <w:r w:rsidR="00F91894">
        <w:rPr>
          <w:sz w:val="24"/>
        </w:rPr>
        <w:t>) se ovšem</w:t>
      </w:r>
      <w:r w:rsidR="004D0406">
        <w:rPr>
          <w:sz w:val="24"/>
        </w:rPr>
        <w:t xml:space="preserve"> </w:t>
      </w:r>
      <w:proofErr w:type="gramStart"/>
      <w:r w:rsidR="004D0406">
        <w:rPr>
          <w:sz w:val="24"/>
        </w:rPr>
        <w:t>nejedná</w:t>
      </w:r>
      <w:proofErr w:type="gramEnd"/>
      <w:r w:rsidR="00F91894">
        <w:rPr>
          <w:sz w:val="24"/>
        </w:rPr>
        <w:t>.</w:t>
      </w:r>
      <w:r w:rsidR="00C4230B">
        <w:rPr>
          <w:sz w:val="24"/>
        </w:rPr>
        <w:br/>
        <w:t xml:space="preserve">V tomto směru bohužel nic </w:t>
      </w:r>
      <w:proofErr w:type="gramStart"/>
      <w:r w:rsidR="00C4230B">
        <w:rPr>
          <w:sz w:val="24"/>
        </w:rPr>
        <w:t>nezach</w:t>
      </w:r>
      <w:r w:rsidR="00180396">
        <w:rPr>
          <w:sz w:val="24"/>
        </w:rPr>
        <w:t>ránil</w:t>
      </w:r>
      <w:proofErr w:type="gramEnd"/>
      <w:r w:rsidR="00180396">
        <w:rPr>
          <w:sz w:val="24"/>
        </w:rPr>
        <w:t xml:space="preserve"> ani Závěr DP</w:t>
      </w:r>
      <w:r w:rsidR="003E510E">
        <w:rPr>
          <w:sz w:val="24"/>
        </w:rPr>
        <w:t xml:space="preserve"> (z mého pohledu jde o zbytečně stručnou pasáž, o nedostatečně využitý prostor).</w:t>
      </w:r>
      <w:r w:rsidR="003E510E">
        <w:rPr>
          <w:sz w:val="24"/>
        </w:rPr>
        <w:br/>
      </w:r>
      <w:r w:rsidR="003E510E">
        <w:rPr>
          <w:sz w:val="24"/>
        </w:rPr>
        <w:br/>
        <w:t xml:space="preserve">      Obeznámenost s příslušnou</w:t>
      </w:r>
      <w:r w:rsidR="00A41E1F">
        <w:rPr>
          <w:sz w:val="24"/>
        </w:rPr>
        <w:t xml:space="preserve"> </w:t>
      </w:r>
      <w:r w:rsidR="003E510E">
        <w:rPr>
          <w:sz w:val="24"/>
        </w:rPr>
        <w:t>odbornou</w:t>
      </w:r>
      <w:r w:rsidR="00A41E1F">
        <w:rPr>
          <w:sz w:val="24"/>
        </w:rPr>
        <w:t xml:space="preserve"> </w:t>
      </w:r>
      <w:r w:rsidR="003E510E">
        <w:rPr>
          <w:sz w:val="24"/>
        </w:rPr>
        <w:t>literaturou</w:t>
      </w:r>
      <w:r w:rsidR="00F91894">
        <w:rPr>
          <w:sz w:val="24"/>
        </w:rPr>
        <w:t xml:space="preserve"> pokládám za</w:t>
      </w:r>
      <w:r w:rsidR="003E510E">
        <w:rPr>
          <w:sz w:val="24"/>
        </w:rPr>
        <w:t xml:space="preserve"> dostatečnou</w:t>
      </w:r>
      <w:r w:rsidR="00A41E1F">
        <w:rPr>
          <w:sz w:val="24"/>
        </w:rPr>
        <w:t>, i když by se samozřejmě daly na</w:t>
      </w:r>
      <w:r w:rsidR="00F91894">
        <w:rPr>
          <w:sz w:val="24"/>
        </w:rPr>
        <w:t xml:space="preserve">jít tituly, které </w:t>
      </w:r>
      <w:r w:rsidR="00A41E1F">
        <w:rPr>
          <w:sz w:val="24"/>
        </w:rPr>
        <w:t>výbava Terezy E</w:t>
      </w:r>
      <w:r w:rsidR="00F91894">
        <w:rPr>
          <w:sz w:val="24"/>
        </w:rPr>
        <w:t>xnerové postrádá (</w:t>
      </w:r>
      <w:r w:rsidR="00A41E1F">
        <w:rPr>
          <w:sz w:val="24"/>
        </w:rPr>
        <w:t xml:space="preserve">např. </w:t>
      </w:r>
      <w:r w:rsidR="00F91894">
        <w:rPr>
          <w:sz w:val="24"/>
        </w:rPr>
        <w:t>výrazná kunderovská práce</w:t>
      </w:r>
      <w:r w:rsidR="00A41E1F">
        <w:rPr>
          <w:sz w:val="24"/>
        </w:rPr>
        <w:t xml:space="preserve"> Jakuba Češky</w:t>
      </w:r>
      <w:r w:rsidR="006D57EF">
        <w:rPr>
          <w:sz w:val="24"/>
        </w:rPr>
        <w:t xml:space="preserve"> </w:t>
      </w:r>
      <w:r w:rsidR="006D57EF" w:rsidRPr="006D57EF">
        <w:rPr>
          <w:i/>
          <w:sz w:val="24"/>
        </w:rPr>
        <w:t>Království motivů</w:t>
      </w:r>
      <w:r w:rsidR="006D57EF">
        <w:rPr>
          <w:sz w:val="24"/>
        </w:rPr>
        <w:t xml:space="preserve"> z roku 2005). Jazyková úroveň </w:t>
      </w:r>
      <w:r w:rsidR="00C4230B">
        <w:rPr>
          <w:sz w:val="24"/>
        </w:rPr>
        <w:t xml:space="preserve">textu </w:t>
      </w:r>
      <w:r w:rsidR="006D57EF">
        <w:rPr>
          <w:sz w:val="24"/>
        </w:rPr>
        <w:t xml:space="preserve">je solidní, byť v některých rovinách kolísavá. Objevují se </w:t>
      </w:r>
      <w:r w:rsidR="000D1C53">
        <w:rPr>
          <w:sz w:val="24"/>
        </w:rPr>
        <w:t>naivní, po odborné stránce irelevantní</w:t>
      </w:r>
      <w:r w:rsidR="00C4230B">
        <w:rPr>
          <w:sz w:val="24"/>
        </w:rPr>
        <w:t>, n</w:t>
      </w:r>
      <w:r w:rsidR="000D1C53">
        <w:rPr>
          <w:sz w:val="24"/>
        </w:rPr>
        <w:t xml:space="preserve">eboť nepřesné </w:t>
      </w:r>
      <w:r w:rsidR="00C4230B">
        <w:rPr>
          <w:sz w:val="24"/>
        </w:rPr>
        <w:t>v</w:t>
      </w:r>
      <w:r w:rsidR="000D1C53">
        <w:rPr>
          <w:sz w:val="24"/>
        </w:rPr>
        <w:t>ýroky</w:t>
      </w:r>
      <w:r w:rsidR="00C4230B">
        <w:rPr>
          <w:sz w:val="24"/>
        </w:rPr>
        <w:t xml:space="preserve"> (s. 2: „Ostatní postavy slouží k tomu, aby osvětlili [</w:t>
      </w:r>
      <w:r w:rsidR="00C4230B" w:rsidRPr="00C4230B">
        <w:rPr>
          <w:i/>
          <w:sz w:val="24"/>
        </w:rPr>
        <w:t>sic!</w:t>
      </w:r>
      <w:r w:rsidR="00C4230B">
        <w:rPr>
          <w:sz w:val="24"/>
        </w:rPr>
        <w:t>] to</w:t>
      </w:r>
      <w:r w:rsidR="000D1C53">
        <w:rPr>
          <w:sz w:val="24"/>
        </w:rPr>
        <w:t xml:space="preserve">, </w:t>
      </w:r>
      <w:r w:rsidR="00C4230B">
        <w:rPr>
          <w:sz w:val="24"/>
        </w:rPr>
        <w:t xml:space="preserve">co Ludvík nemůže vidět, ale autor textu chce přesto čtenářům ukázat.“; s. 19: „[…] Kundera se nesnaží vynášet přehnané závěry o tom, proč je člověk na světě.“ – atp.), </w:t>
      </w:r>
      <w:r w:rsidR="000D1C53">
        <w:rPr>
          <w:sz w:val="24"/>
        </w:rPr>
        <w:t>stylisticky nepodařené formulace</w:t>
      </w:r>
      <w:r w:rsidR="00C4230B">
        <w:rPr>
          <w:sz w:val="24"/>
        </w:rPr>
        <w:t>, chyby, překlepy – např. „P</w:t>
      </w:r>
      <w:r w:rsidR="000D1C53">
        <w:rPr>
          <w:sz w:val="24"/>
        </w:rPr>
        <w:t xml:space="preserve">ostavy </w:t>
      </w:r>
      <w:r w:rsidR="00C4230B">
        <w:rPr>
          <w:sz w:val="24"/>
        </w:rPr>
        <w:t xml:space="preserve">zde </w:t>
      </w:r>
      <w:r w:rsidR="000D1C53">
        <w:rPr>
          <w:sz w:val="24"/>
        </w:rPr>
        <w:t>souží</w:t>
      </w:r>
      <w:r w:rsidR="00C4230B">
        <w:rPr>
          <w:sz w:val="24"/>
        </w:rPr>
        <w:t xml:space="preserve"> </w:t>
      </w:r>
      <w:r w:rsidR="00C4230B">
        <w:rPr>
          <w:sz w:val="24"/>
        </w:rPr>
        <w:t>[</w:t>
      </w:r>
      <w:r w:rsidR="00C4230B" w:rsidRPr="00C4230B">
        <w:rPr>
          <w:i/>
          <w:sz w:val="24"/>
        </w:rPr>
        <w:t>sic!</w:t>
      </w:r>
      <w:r w:rsidR="00C4230B">
        <w:rPr>
          <w:sz w:val="24"/>
        </w:rPr>
        <w:t>]</w:t>
      </w:r>
      <w:r w:rsidR="00C4230B">
        <w:rPr>
          <w:sz w:val="24"/>
        </w:rPr>
        <w:t xml:space="preserve"> hlavně k osvětlení určité problematiky</w:t>
      </w:r>
      <w:r w:rsidR="00891D1F">
        <w:rPr>
          <w:sz w:val="24"/>
        </w:rPr>
        <w:t>…</w:t>
      </w:r>
      <w:r w:rsidR="000D1C53">
        <w:rPr>
          <w:sz w:val="24"/>
        </w:rPr>
        <w:t>“</w:t>
      </w:r>
      <w:r w:rsidR="00C4230B">
        <w:rPr>
          <w:sz w:val="24"/>
        </w:rPr>
        <w:t xml:space="preserve"> (s. 80; zde je řeč o knize Davida Zábranského </w:t>
      </w:r>
      <w:r w:rsidR="00C4230B" w:rsidRPr="00C4230B">
        <w:rPr>
          <w:i/>
          <w:sz w:val="24"/>
        </w:rPr>
        <w:t>Slabost pro každou jinou pláž</w:t>
      </w:r>
      <w:r w:rsidR="00C4230B">
        <w:rPr>
          <w:sz w:val="24"/>
        </w:rPr>
        <w:t xml:space="preserve"> – na „obhajobu“ uvedeného autorčina překlepu musím poznamenat, že při četbě tohoto románu mě postavy taky spíše „soužily“</w:t>
      </w:r>
      <w:r w:rsidR="0097739E">
        <w:rPr>
          <w:sz w:val="24"/>
        </w:rPr>
        <w:t xml:space="preserve">, než že by </w:t>
      </w:r>
      <w:r w:rsidR="00C4230B">
        <w:rPr>
          <w:sz w:val="24"/>
        </w:rPr>
        <w:t>něčemu sloužily…).</w:t>
      </w:r>
      <w:r w:rsidR="002F711B">
        <w:rPr>
          <w:sz w:val="24"/>
        </w:rPr>
        <w:br/>
      </w:r>
      <w:bookmarkStart w:id="0" w:name="_GoBack"/>
      <w:bookmarkEnd w:id="0"/>
      <w:r w:rsidR="003E510E">
        <w:rPr>
          <w:sz w:val="24"/>
        </w:rPr>
        <w:br/>
      </w:r>
      <w:r w:rsidR="003E510E">
        <w:rPr>
          <w:sz w:val="24"/>
        </w:rPr>
        <w:br/>
        <w:t xml:space="preserve">      Navzdory výše uvedeným výhradám (jako oponent je mám „v popisu práce“) mohu konstatovat, že předložený spis kolegyně Terezy Exnerové splňuje požadavky kladené na diplomovou práci, </w:t>
      </w:r>
      <w:r w:rsidR="003E510E" w:rsidRPr="00463960">
        <w:rPr>
          <w:b/>
          <w:sz w:val="24"/>
        </w:rPr>
        <w:t>doporučuji jej k obhajobě</w:t>
      </w:r>
      <w:r w:rsidR="003E510E">
        <w:rPr>
          <w:sz w:val="24"/>
        </w:rPr>
        <w:t xml:space="preserve"> a navrhuji klasifikovat stupněm </w:t>
      </w:r>
      <w:r w:rsidR="003E510E" w:rsidRPr="00463960">
        <w:rPr>
          <w:b/>
          <w:sz w:val="24"/>
        </w:rPr>
        <w:t>dobře</w:t>
      </w:r>
      <w:r w:rsidR="003E510E">
        <w:rPr>
          <w:sz w:val="24"/>
        </w:rPr>
        <w:t xml:space="preserve">, případně </w:t>
      </w:r>
      <w:r w:rsidR="003E510E" w:rsidRPr="00463960">
        <w:rPr>
          <w:b/>
          <w:sz w:val="24"/>
        </w:rPr>
        <w:t>velmi dobře</w:t>
      </w:r>
      <w:r w:rsidR="003E510E">
        <w:rPr>
          <w:sz w:val="24"/>
        </w:rPr>
        <w:t>.</w:t>
      </w:r>
      <w:r w:rsidR="003E510E">
        <w:rPr>
          <w:sz w:val="24"/>
        </w:rPr>
        <w:br/>
      </w:r>
      <w:r w:rsidR="003E510E">
        <w:rPr>
          <w:sz w:val="24"/>
        </w:rPr>
        <w:br/>
      </w:r>
    </w:p>
    <w:p w:rsidR="003E510E" w:rsidRDefault="003E510E" w:rsidP="003E510E">
      <w:pPr>
        <w:spacing w:line="360" w:lineRule="auto"/>
        <w:jc w:val="right"/>
        <w:rPr>
          <w:sz w:val="24"/>
        </w:rPr>
      </w:pPr>
      <w:r>
        <w:rPr>
          <w:sz w:val="24"/>
        </w:rPr>
        <w:br/>
        <w:t>PhDr. Ivo Říha, Ph.D.</w:t>
      </w:r>
    </w:p>
    <w:p w:rsidR="000354E5" w:rsidRDefault="003E510E" w:rsidP="004D0356">
      <w:pPr>
        <w:spacing w:line="360" w:lineRule="auto"/>
      </w:pPr>
      <w:r>
        <w:rPr>
          <w:sz w:val="24"/>
        </w:rPr>
        <w:t>V Hradci Králové dne 18. 8. 2017</w:t>
      </w:r>
      <w:r w:rsidR="006518DA">
        <w:rPr>
          <w:sz w:val="24"/>
        </w:rPr>
        <w:br/>
      </w:r>
    </w:p>
    <w:sectPr w:rsidR="000354E5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2343" w:rsidRDefault="00022343" w:rsidP="00022343">
      <w:r>
        <w:separator/>
      </w:r>
    </w:p>
  </w:endnote>
  <w:endnote w:type="continuationSeparator" w:id="0">
    <w:p w:rsidR="00022343" w:rsidRDefault="00022343" w:rsidP="000223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48954445"/>
      <w:docPartObj>
        <w:docPartGallery w:val="Page Numbers (Bottom of Page)"/>
        <w:docPartUnique/>
      </w:docPartObj>
    </w:sdtPr>
    <w:sdtContent>
      <w:p w:rsidR="00022343" w:rsidRDefault="00022343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03C39">
          <w:rPr>
            <w:noProof/>
          </w:rPr>
          <w:t>1</w:t>
        </w:r>
        <w:r>
          <w:fldChar w:fldCharType="end"/>
        </w:r>
      </w:p>
    </w:sdtContent>
  </w:sdt>
  <w:p w:rsidR="00022343" w:rsidRDefault="0002234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2343" w:rsidRDefault="00022343" w:rsidP="00022343">
      <w:r>
        <w:separator/>
      </w:r>
    </w:p>
  </w:footnote>
  <w:footnote w:type="continuationSeparator" w:id="0">
    <w:p w:rsidR="00022343" w:rsidRDefault="00022343" w:rsidP="0002234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2B7"/>
    <w:rsid w:val="00022343"/>
    <w:rsid w:val="000354E5"/>
    <w:rsid w:val="0003566A"/>
    <w:rsid w:val="000C62B7"/>
    <w:rsid w:val="000D1C53"/>
    <w:rsid w:val="00180396"/>
    <w:rsid w:val="001F777E"/>
    <w:rsid w:val="002C12DA"/>
    <w:rsid w:val="002F711B"/>
    <w:rsid w:val="003E510E"/>
    <w:rsid w:val="004365D2"/>
    <w:rsid w:val="00463960"/>
    <w:rsid w:val="004D0356"/>
    <w:rsid w:val="004D0406"/>
    <w:rsid w:val="006518DA"/>
    <w:rsid w:val="006D57EF"/>
    <w:rsid w:val="0081371C"/>
    <w:rsid w:val="00891D1F"/>
    <w:rsid w:val="0097739E"/>
    <w:rsid w:val="00A41E1F"/>
    <w:rsid w:val="00A727A2"/>
    <w:rsid w:val="00A9756C"/>
    <w:rsid w:val="00C4230B"/>
    <w:rsid w:val="00E03C39"/>
    <w:rsid w:val="00ED2D36"/>
    <w:rsid w:val="00F81838"/>
    <w:rsid w:val="00F91894"/>
    <w:rsid w:val="00FB0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C62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0C62B7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0C62B7"/>
    <w:rPr>
      <w:rFonts w:ascii="Times New Roman" w:eastAsia="Times New Roman" w:hAnsi="Times New Roman" w:cs="Times New Roman"/>
      <w:b/>
      <w:sz w:val="28"/>
      <w:szCs w:val="20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02234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2234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2234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22343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C62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0C62B7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0C62B7"/>
    <w:rPr>
      <w:rFonts w:ascii="Times New Roman" w:eastAsia="Times New Roman" w:hAnsi="Times New Roman" w:cs="Times New Roman"/>
      <w:b/>
      <w:sz w:val="28"/>
      <w:szCs w:val="20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02234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2234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2234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22343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335</TotalTime>
  <Pages>2</Pages>
  <Words>839</Words>
  <Characters>4954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5782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23</cp:revision>
  <dcterms:created xsi:type="dcterms:W3CDTF">2017-08-20T12:37:00Z</dcterms:created>
  <dcterms:modified xsi:type="dcterms:W3CDTF">2017-08-20T19:24:00Z</dcterms:modified>
</cp:coreProperties>
</file>