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33A61" w:rsidRDefault="00633A61" w:rsidP="001F3B24">
      <w:pPr>
        <w:pStyle w:val="Nadpis1"/>
        <w:keepNext w:val="0"/>
        <w:widowControl w:val="0"/>
        <w:jc w:val="center"/>
        <w:rPr>
          <w:b w:val="0"/>
          <w:bCs w:val="0"/>
          <w:i/>
          <w:iCs/>
          <w:sz w:val="24"/>
          <w:u w:val="single"/>
        </w:rPr>
      </w:pPr>
      <w:r>
        <w:rPr>
          <w:b w:val="0"/>
          <w:bCs w:val="0"/>
          <w:i/>
          <w:iCs/>
          <w:sz w:val="24"/>
        </w:rPr>
        <w:t xml:space="preserve">Proceedings of </w:t>
      </w:r>
      <w:r w:rsidR="000D682C">
        <w:rPr>
          <w:b w:val="0"/>
          <w:bCs w:val="0"/>
          <w:i/>
          <w:iCs/>
          <w:sz w:val="24"/>
        </w:rPr>
        <w:t>2</w:t>
      </w:r>
      <w:r w:rsidR="0013245F">
        <w:rPr>
          <w:b w:val="0"/>
          <w:bCs w:val="0"/>
          <w:i/>
          <w:iCs/>
          <w:sz w:val="24"/>
        </w:rPr>
        <w:t>4</w:t>
      </w:r>
      <w:r w:rsidR="0013245F">
        <w:rPr>
          <w:b w:val="0"/>
          <w:bCs w:val="0"/>
          <w:i/>
          <w:iCs/>
          <w:sz w:val="24"/>
          <w:vertAlign w:val="superscript"/>
        </w:rPr>
        <w:t>th</w:t>
      </w:r>
      <w:r w:rsidR="001D4BAB">
        <w:rPr>
          <w:b w:val="0"/>
          <w:bCs w:val="0"/>
          <w:i/>
          <w:iCs/>
          <w:sz w:val="24"/>
        </w:rPr>
        <w:t xml:space="preserve"> </w:t>
      </w:r>
      <w:r>
        <w:rPr>
          <w:b w:val="0"/>
          <w:bCs w:val="0"/>
          <w:i/>
          <w:iCs/>
          <w:sz w:val="24"/>
        </w:rPr>
        <w:t xml:space="preserve">International </w:t>
      </w:r>
      <w:r w:rsidR="00CA4782">
        <w:rPr>
          <w:b w:val="0"/>
          <w:bCs w:val="0"/>
          <w:i/>
          <w:iCs/>
          <w:sz w:val="24"/>
        </w:rPr>
        <w:t xml:space="preserve">Scientific </w:t>
      </w:r>
      <w:r>
        <w:rPr>
          <w:b w:val="0"/>
          <w:bCs w:val="0"/>
          <w:i/>
          <w:iCs/>
          <w:sz w:val="24"/>
        </w:rPr>
        <w:t>Conference. Transport Means 20</w:t>
      </w:r>
      <w:r w:rsidR="0013245F">
        <w:rPr>
          <w:b w:val="0"/>
          <w:bCs w:val="0"/>
          <w:i/>
          <w:iCs/>
          <w:sz w:val="24"/>
        </w:rPr>
        <w:t>20</w:t>
      </w:r>
      <w:r w:rsidR="00FE412E">
        <w:rPr>
          <w:b w:val="0"/>
          <w:bCs w:val="0"/>
          <w:i/>
          <w:iCs/>
          <w:sz w:val="24"/>
        </w:rPr>
        <w:t>.</w:t>
      </w:r>
    </w:p>
    <w:p w:rsidR="00633A61" w:rsidRDefault="00633A61" w:rsidP="001F3B24">
      <w:pPr>
        <w:widowControl w:val="0"/>
      </w:pPr>
    </w:p>
    <w:p w:rsidR="00633A61" w:rsidRDefault="000248E5" w:rsidP="001F3B24">
      <w:pPr>
        <w:pStyle w:val="Nadpis1"/>
        <w:keepNext w:val="0"/>
        <w:widowControl w:val="0"/>
        <w:rPr>
          <w:u w:val="single"/>
        </w:rPr>
      </w:pPr>
      <w:r w:rsidRPr="0014056F">
        <w:t>The technological and economic operating conditions of the Innofreight container transport system</w:t>
      </w:r>
    </w:p>
    <w:p w:rsidR="00633A61" w:rsidRDefault="00633A61" w:rsidP="001F3B24">
      <w:pPr>
        <w:widowControl w:val="0"/>
      </w:pPr>
    </w:p>
    <w:p w:rsidR="00633A61" w:rsidRDefault="000248E5" w:rsidP="001F3B24">
      <w:pPr>
        <w:widowControl w:val="0"/>
        <w:rPr>
          <w:bCs/>
          <w:i/>
          <w:iCs/>
          <w:u w:val="single"/>
        </w:rPr>
      </w:pPr>
      <w:r w:rsidRPr="00757F53">
        <w:rPr>
          <w:b/>
        </w:rPr>
        <w:t>J. Siroky</w:t>
      </w:r>
      <w:r w:rsidRPr="00B425FD">
        <w:rPr>
          <w:b/>
          <w:vertAlign w:val="superscript"/>
        </w:rPr>
        <w:t>1</w:t>
      </w:r>
    </w:p>
    <w:p w:rsidR="00633A61" w:rsidRDefault="00633A61" w:rsidP="001F3B24">
      <w:pPr>
        <w:widowControl w:val="0"/>
        <w:jc w:val="both"/>
        <w:rPr>
          <w:i/>
        </w:rPr>
      </w:pPr>
    </w:p>
    <w:p w:rsidR="00633A61" w:rsidRPr="000248E5" w:rsidRDefault="000248E5" w:rsidP="001F3B24">
      <w:pPr>
        <w:widowControl w:val="0"/>
        <w:jc w:val="both"/>
        <w:rPr>
          <w:i/>
          <w:sz w:val="20"/>
        </w:rPr>
      </w:pPr>
      <w:bookmarkStart w:id="0" w:name="_GoBack"/>
      <w:r w:rsidRPr="002A0169">
        <w:rPr>
          <w:i/>
          <w:sz w:val="20"/>
          <w:vertAlign w:val="superscript"/>
        </w:rPr>
        <w:t>1</w:t>
      </w:r>
      <w:bookmarkEnd w:id="0"/>
      <w:r w:rsidRPr="000248E5">
        <w:rPr>
          <w:i/>
          <w:sz w:val="20"/>
        </w:rPr>
        <w:t xml:space="preserve">University of Pardubice, Faculty of Transport Engineering, Studentska 95, 532 10, Pardubice, Czech Republic,                    E-mail: </w:t>
      </w:r>
      <w:hyperlink r:id="rId7" w:history="1">
        <w:r w:rsidRPr="000248E5">
          <w:rPr>
            <w:rStyle w:val="Hypertextovodkaz"/>
            <w:i/>
            <w:sz w:val="20"/>
            <w:szCs w:val="20"/>
          </w:rPr>
          <w:t>jaromir.siroky@upce.cz</w:t>
        </w:r>
      </w:hyperlink>
    </w:p>
    <w:p w:rsidR="00633A61" w:rsidRDefault="00633A61" w:rsidP="001F3B24">
      <w:pPr>
        <w:widowControl w:val="0"/>
        <w:jc w:val="both"/>
        <w:rPr>
          <w:b/>
          <w:sz w:val="20"/>
        </w:rPr>
      </w:pPr>
    </w:p>
    <w:p w:rsidR="00633A61" w:rsidRDefault="00633A61" w:rsidP="001F3B24">
      <w:pPr>
        <w:pStyle w:val="Nadpis3"/>
        <w:keepNext w:val="0"/>
        <w:widowControl w:val="0"/>
        <w:rPr>
          <w:b w:val="0"/>
          <w:bCs/>
          <w:i/>
          <w:iCs/>
          <w:sz w:val="20"/>
          <w:u w:val="single"/>
        </w:rPr>
      </w:pPr>
      <w:r>
        <w:rPr>
          <w:sz w:val="20"/>
        </w:rPr>
        <w:t xml:space="preserve">Abstract </w:t>
      </w:r>
    </w:p>
    <w:p w:rsidR="00633A61" w:rsidRDefault="00633A61" w:rsidP="001F3B24">
      <w:pPr>
        <w:widowControl w:val="0"/>
        <w:jc w:val="both"/>
        <w:rPr>
          <w:b/>
          <w:sz w:val="20"/>
        </w:rPr>
      </w:pPr>
    </w:p>
    <w:p w:rsidR="00633A61" w:rsidRPr="000248E5" w:rsidRDefault="000248E5" w:rsidP="001F3B24">
      <w:pPr>
        <w:widowControl w:val="0"/>
        <w:jc w:val="both"/>
        <w:rPr>
          <w:i/>
          <w:iCs/>
          <w:sz w:val="20"/>
          <w:szCs w:val="20"/>
          <w:u w:val="single"/>
        </w:rPr>
      </w:pPr>
      <w:r w:rsidRPr="000248E5">
        <w:rPr>
          <w:rFonts w:cs="Calibri"/>
          <w:sz w:val="20"/>
          <w:szCs w:val="20"/>
        </w:rPr>
        <w:t>This paper is focused on further application of the Innofreight container transportation system in the Czech Republic</w:t>
      </w:r>
      <w:r w:rsidR="00AF4278">
        <w:rPr>
          <w:rFonts w:cs="Calibri"/>
          <w:sz w:val="20"/>
          <w:szCs w:val="20"/>
        </w:rPr>
        <w:t xml:space="preserve">, Austria </w:t>
      </w:r>
      <w:r w:rsidRPr="000248E5">
        <w:rPr>
          <w:rFonts w:cs="Calibri"/>
          <w:sz w:val="20"/>
          <w:szCs w:val="20"/>
        </w:rPr>
        <w:t>and Slovakia. The author describes both the technical and operating characteristics of the most widely used transportation systems in railway transport of bulk material. It also provides a comparative analysis of the Innofreight container transportation system usage in selected European countries and in the Czech Republic</w:t>
      </w:r>
      <w:r w:rsidR="00AF4278">
        <w:rPr>
          <w:rFonts w:cs="Calibri"/>
          <w:sz w:val="20"/>
          <w:szCs w:val="20"/>
        </w:rPr>
        <w:t>, Austria</w:t>
      </w:r>
      <w:r w:rsidRPr="000248E5">
        <w:rPr>
          <w:rFonts w:cs="Calibri"/>
          <w:sz w:val="20"/>
          <w:szCs w:val="20"/>
        </w:rPr>
        <w:t xml:space="preserve"> and Slovakia. The aim of this paper is to set criteria determining the technological and economic interfaces of such system, as well as to suggest the implementation of such system into a specific transportation chain.</w:t>
      </w:r>
    </w:p>
    <w:p w:rsidR="00633A61" w:rsidRDefault="00633A61" w:rsidP="001F3B24">
      <w:pPr>
        <w:pStyle w:val="Body"/>
        <w:widowControl w:val="0"/>
        <w:spacing w:after="0"/>
        <w:rPr>
          <w:rFonts w:ascii="Times New Roman" w:hAnsi="Times New Roman"/>
          <w:u w:val="single"/>
        </w:rPr>
      </w:pPr>
      <w:r>
        <w:rPr>
          <w:rFonts w:ascii="Times New Roman" w:hAnsi="Times New Roman"/>
          <w:b/>
          <w:bCs/>
        </w:rPr>
        <w:t>KEY WORDS:</w:t>
      </w:r>
      <w:r>
        <w:rPr>
          <w:rFonts w:ascii="Times New Roman" w:hAnsi="Times New Roman"/>
        </w:rPr>
        <w:t xml:space="preserve"> </w:t>
      </w:r>
      <w:r w:rsidR="000248E5">
        <w:rPr>
          <w:rFonts w:ascii="Times New Roman" w:hAnsi="Times New Roman"/>
          <w:i/>
        </w:rPr>
        <w:t>container, innofreight, operating, bulk material</w:t>
      </w:r>
    </w:p>
    <w:p w:rsidR="00633A61" w:rsidRDefault="00633A61" w:rsidP="001F3B24">
      <w:pPr>
        <w:widowControl w:val="0"/>
        <w:jc w:val="both"/>
        <w:rPr>
          <w:b/>
          <w:sz w:val="20"/>
        </w:rPr>
      </w:pPr>
    </w:p>
    <w:p w:rsidR="00633A61" w:rsidRDefault="00865912" w:rsidP="00F42A08">
      <w:pPr>
        <w:widowControl w:val="0"/>
        <w:spacing w:before="200" w:after="200"/>
        <w:contextualSpacing/>
        <w:jc w:val="both"/>
        <w:rPr>
          <w:b/>
          <w:sz w:val="20"/>
        </w:rPr>
      </w:pPr>
      <w:r>
        <w:rPr>
          <w:b/>
          <w:sz w:val="20"/>
        </w:rPr>
        <w:t>1. </w:t>
      </w:r>
      <w:r w:rsidR="00633A61">
        <w:rPr>
          <w:b/>
          <w:sz w:val="20"/>
        </w:rPr>
        <w:t>Introduction</w:t>
      </w:r>
    </w:p>
    <w:p w:rsidR="00633A61" w:rsidRDefault="00633A61" w:rsidP="001F3B24">
      <w:pPr>
        <w:widowControl w:val="0"/>
        <w:jc w:val="both"/>
        <w:rPr>
          <w:sz w:val="20"/>
        </w:rPr>
      </w:pPr>
    </w:p>
    <w:p w:rsidR="000248E5" w:rsidRPr="000248E5" w:rsidRDefault="000248E5" w:rsidP="000248E5">
      <w:pPr>
        <w:ind w:firstLine="567"/>
        <w:jc w:val="both"/>
        <w:rPr>
          <w:sz w:val="20"/>
          <w:szCs w:val="20"/>
        </w:rPr>
      </w:pPr>
      <w:r w:rsidRPr="000248E5">
        <w:rPr>
          <w:sz w:val="20"/>
          <w:szCs w:val="20"/>
        </w:rPr>
        <w:t>The basic features of the Innofreight system are volume-optimized containers, faster and more efficient railway transport on intermodal transport wagons, and safe and simple emptying of Innofreight containers (hereinafter referred to as "IFs") by turning them using front-loading forklift trucks or by means of a special stationary unloader</w:t>
      </w:r>
      <w:r w:rsidR="00AF4278">
        <w:rPr>
          <w:sz w:val="20"/>
          <w:szCs w:val="20"/>
        </w:rPr>
        <w:t xml:space="preserve"> [1]</w:t>
      </w:r>
      <w:r w:rsidRPr="000248E5">
        <w:rPr>
          <w:sz w:val="20"/>
          <w:szCs w:val="20"/>
        </w:rPr>
        <w:t>.</w:t>
      </w:r>
    </w:p>
    <w:p w:rsidR="000248E5" w:rsidRPr="000248E5" w:rsidRDefault="000248E5" w:rsidP="000248E5">
      <w:pPr>
        <w:autoSpaceDE w:val="0"/>
        <w:autoSpaceDN w:val="0"/>
        <w:adjustRightInd w:val="0"/>
        <w:jc w:val="both"/>
        <w:rPr>
          <w:sz w:val="20"/>
          <w:szCs w:val="20"/>
        </w:rPr>
      </w:pPr>
      <w:r w:rsidRPr="000248E5">
        <w:rPr>
          <w:sz w:val="20"/>
          <w:szCs w:val="20"/>
        </w:rPr>
        <w:t xml:space="preserve">IFs are currently used in transporting a whole range of primarily bulk materials, such as: </w:t>
      </w:r>
    </w:p>
    <w:p w:rsidR="000248E5" w:rsidRPr="000248E5" w:rsidRDefault="000248E5" w:rsidP="000248E5">
      <w:pPr>
        <w:pStyle w:val="Odstavecseseznamem"/>
        <w:numPr>
          <w:ilvl w:val="0"/>
          <w:numId w:val="4"/>
        </w:numPr>
        <w:autoSpaceDE w:val="0"/>
        <w:autoSpaceDN w:val="0"/>
        <w:adjustRightInd w:val="0"/>
        <w:spacing w:after="183" w:line="240" w:lineRule="auto"/>
        <w:jc w:val="both"/>
        <w:rPr>
          <w:rFonts w:ascii="Times New Roman" w:eastAsia="Times New Roman" w:hAnsi="Times New Roman"/>
          <w:sz w:val="20"/>
          <w:szCs w:val="20"/>
          <w:lang w:val="en-US" w:eastAsia="en-US" w:bidi="ar-SA"/>
        </w:rPr>
      </w:pPr>
      <w:r w:rsidRPr="000248E5">
        <w:rPr>
          <w:rFonts w:ascii="Times New Roman" w:eastAsia="Times New Roman" w:hAnsi="Times New Roman"/>
          <w:sz w:val="20"/>
          <w:szCs w:val="20"/>
          <w:lang w:val="en-US" w:eastAsia="en-US" w:bidi="ar-SA"/>
        </w:rPr>
        <w:t xml:space="preserve">Biomass (wood chips, sawdust…), </w:t>
      </w:r>
    </w:p>
    <w:p w:rsidR="000248E5" w:rsidRPr="000248E5" w:rsidRDefault="000248E5" w:rsidP="000248E5">
      <w:pPr>
        <w:pStyle w:val="Odstavecseseznamem"/>
        <w:numPr>
          <w:ilvl w:val="0"/>
          <w:numId w:val="4"/>
        </w:numPr>
        <w:autoSpaceDE w:val="0"/>
        <w:autoSpaceDN w:val="0"/>
        <w:adjustRightInd w:val="0"/>
        <w:spacing w:after="183" w:line="240" w:lineRule="auto"/>
        <w:jc w:val="both"/>
        <w:rPr>
          <w:rFonts w:ascii="Times New Roman" w:eastAsia="Times New Roman" w:hAnsi="Times New Roman"/>
          <w:sz w:val="20"/>
          <w:szCs w:val="20"/>
          <w:lang w:val="en-US" w:eastAsia="en-US" w:bidi="ar-SA"/>
        </w:rPr>
      </w:pPr>
      <w:r w:rsidRPr="000248E5">
        <w:rPr>
          <w:rFonts w:ascii="Times New Roman" w:eastAsia="Times New Roman" w:hAnsi="Times New Roman"/>
          <w:sz w:val="20"/>
          <w:szCs w:val="20"/>
          <w:lang w:val="en-US" w:eastAsia="en-US" w:bidi="ar-SA"/>
        </w:rPr>
        <w:t xml:space="preserve">Agricultural products (sugar beet, potatoes, cereals…), </w:t>
      </w:r>
    </w:p>
    <w:p w:rsidR="000248E5" w:rsidRPr="000248E5" w:rsidRDefault="000248E5" w:rsidP="000248E5">
      <w:pPr>
        <w:pStyle w:val="Odstavecseseznamem"/>
        <w:numPr>
          <w:ilvl w:val="0"/>
          <w:numId w:val="4"/>
        </w:numPr>
        <w:autoSpaceDE w:val="0"/>
        <w:autoSpaceDN w:val="0"/>
        <w:adjustRightInd w:val="0"/>
        <w:spacing w:after="183" w:line="240" w:lineRule="auto"/>
        <w:jc w:val="both"/>
        <w:rPr>
          <w:rFonts w:ascii="Times New Roman" w:eastAsia="Times New Roman" w:hAnsi="Times New Roman"/>
          <w:sz w:val="20"/>
          <w:szCs w:val="20"/>
          <w:lang w:val="en-US" w:eastAsia="en-US" w:bidi="ar-SA"/>
        </w:rPr>
      </w:pPr>
      <w:r w:rsidRPr="000248E5">
        <w:rPr>
          <w:rFonts w:ascii="Times New Roman" w:eastAsia="Times New Roman" w:hAnsi="Times New Roman"/>
          <w:sz w:val="20"/>
          <w:szCs w:val="20"/>
          <w:lang w:val="en-US" w:eastAsia="en-US" w:bidi="ar-SA"/>
        </w:rPr>
        <w:t xml:space="preserve">Chemical products (fertilizers, gritting salt…), </w:t>
      </w:r>
    </w:p>
    <w:p w:rsidR="000248E5" w:rsidRPr="000248E5" w:rsidRDefault="000248E5" w:rsidP="000248E5">
      <w:pPr>
        <w:pStyle w:val="Odstavecseseznamem"/>
        <w:numPr>
          <w:ilvl w:val="0"/>
          <w:numId w:val="4"/>
        </w:numPr>
        <w:autoSpaceDE w:val="0"/>
        <w:autoSpaceDN w:val="0"/>
        <w:adjustRightInd w:val="0"/>
        <w:spacing w:after="183" w:line="240" w:lineRule="auto"/>
        <w:jc w:val="both"/>
        <w:rPr>
          <w:rFonts w:ascii="Times New Roman" w:eastAsia="Times New Roman" w:hAnsi="Times New Roman"/>
          <w:sz w:val="20"/>
          <w:szCs w:val="20"/>
          <w:lang w:val="en-US" w:eastAsia="en-US" w:bidi="ar-SA"/>
        </w:rPr>
      </w:pPr>
      <w:r w:rsidRPr="000248E5">
        <w:rPr>
          <w:rFonts w:ascii="Times New Roman" w:eastAsia="Times New Roman" w:hAnsi="Times New Roman"/>
          <w:sz w:val="20"/>
          <w:szCs w:val="20"/>
          <w:lang w:val="en-US" w:eastAsia="en-US" w:bidi="ar-SA"/>
        </w:rPr>
        <w:t xml:space="preserve">Minerals (coal, coke, sand, peat, iron ore…), </w:t>
      </w:r>
    </w:p>
    <w:p w:rsidR="000248E5" w:rsidRPr="000248E5" w:rsidRDefault="000248E5" w:rsidP="000248E5">
      <w:pPr>
        <w:pStyle w:val="Odstavecseseznamem"/>
        <w:numPr>
          <w:ilvl w:val="0"/>
          <w:numId w:val="4"/>
        </w:numPr>
        <w:autoSpaceDE w:val="0"/>
        <w:autoSpaceDN w:val="0"/>
        <w:adjustRightInd w:val="0"/>
        <w:spacing w:after="183" w:line="240" w:lineRule="auto"/>
        <w:jc w:val="both"/>
        <w:rPr>
          <w:rFonts w:ascii="Times New Roman" w:eastAsia="Times New Roman" w:hAnsi="Times New Roman"/>
          <w:sz w:val="20"/>
          <w:szCs w:val="20"/>
          <w:lang w:val="en-US" w:eastAsia="en-US" w:bidi="ar-SA"/>
        </w:rPr>
      </w:pPr>
      <w:r w:rsidRPr="000248E5">
        <w:rPr>
          <w:rFonts w:ascii="Times New Roman" w:eastAsia="Times New Roman" w:hAnsi="Times New Roman"/>
          <w:sz w:val="20"/>
          <w:szCs w:val="20"/>
          <w:lang w:val="en-US" w:eastAsia="en-US" w:bidi="ar-SA"/>
        </w:rPr>
        <w:t xml:space="preserve">Waste management (municipal waste), </w:t>
      </w:r>
    </w:p>
    <w:p w:rsidR="000248E5" w:rsidRPr="000248E5" w:rsidRDefault="000248E5" w:rsidP="000248E5">
      <w:pPr>
        <w:pStyle w:val="Odstavecseseznamem"/>
        <w:numPr>
          <w:ilvl w:val="0"/>
          <w:numId w:val="4"/>
        </w:numPr>
        <w:autoSpaceDE w:val="0"/>
        <w:autoSpaceDN w:val="0"/>
        <w:adjustRightInd w:val="0"/>
        <w:spacing w:after="183" w:line="240" w:lineRule="auto"/>
        <w:jc w:val="both"/>
        <w:rPr>
          <w:rFonts w:ascii="Times New Roman" w:eastAsia="Times New Roman" w:hAnsi="Times New Roman"/>
          <w:sz w:val="20"/>
          <w:szCs w:val="20"/>
          <w:lang w:val="en-US" w:eastAsia="en-US" w:bidi="ar-SA"/>
        </w:rPr>
      </w:pPr>
      <w:r w:rsidRPr="000248E5">
        <w:rPr>
          <w:rFonts w:ascii="Times New Roman" w:eastAsia="Times New Roman" w:hAnsi="Times New Roman"/>
          <w:sz w:val="20"/>
          <w:szCs w:val="20"/>
          <w:lang w:val="en-US" w:eastAsia="en-US" w:bidi="ar-SA"/>
        </w:rPr>
        <w:t xml:space="preserve">Dangerous waste (sludge). </w:t>
      </w:r>
    </w:p>
    <w:p w:rsidR="000248E5" w:rsidRPr="000248E5" w:rsidRDefault="000248E5" w:rsidP="000248E5">
      <w:pPr>
        <w:autoSpaceDE w:val="0"/>
        <w:autoSpaceDN w:val="0"/>
        <w:adjustRightInd w:val="0"/>
        <w:ind w:firstLine="567"/>
        <w:jc w:val="both"/>
        <w:rPr>
          <w:sz w:val="20"/>
          <w:szCs w:val="20"/>
        </w:rPr>
      </w:pPr>
      <w:r w:rsidRPr="000248E5">
        <w:rPr>
          <w:sz w:val="20"/>
          <w:szCs w:val="20"/>
        </w:rPr>
        <w:t>In addition to the means of transport and components being added to this transport system, other transport systems have been developed and named after the goods being transported</w:t>
      </w:r>
      <w:r w:rsidR="00AF4278">
        <w:rPr>
          <w:sz w:val="20"/>
          <w:szCs w:val="20"/>
        </w:rPr>
        <w:t xml:space="preserve"> [2, 3]</w:t>
      </w:r>
      <w:r w:rsidRPr="000248E5">
        <w:rPr>
          <w:sz w:val="20"/>
          <w:szCs w:val="20"/>
        </w:rPr>
        <w:t xml:space="preserve">: </w:t>
      </w:r>
    </w:p>
    <w:p w:rsidR="000248E5" w:rsidRPr="000248E5" w:rsidRDefault="000248E5" w:rsidP="000248E5">
      <w:pPr>
        <w:pStyle w:val="Odstavecseseznamem"/>
        <w:numPr>
          <w:ilvl w:val="0"/>
          <w:numId w:val="4"/>
        </w:numPr>
        <w:autoSpaceDE w:val="0"/>
        <w:autoSpaceDN w:val="0"/>
        <w:adjustRightInd w:val="0"/>
        <w:spacing w:after="183" w:line="240" w:lineRule="auto"/>
        <w:jc w:val="both"/>
        <w:rPr>
          <w:rFonts w:ascii="Times New Roman" w:eastAsia="Times New Roman" w:hAnsi="Times New Roman"/>
          <w:sz w:val="20"/>
          <w:szCs w:val="20"/>
          <w:lang w:val="en-US" w:eastAsia="en-US" w:bidi="ar-SA"/>
        </w:rPr>
      </w:pPr>
      <w:r w:rsidRPr="000248E5">
        <w:rPr>
          <w:rFonts w:ascii="Times New Roman" w:eastAsia="Times New Roman" w:hAnsi="Times New Roman"/>
          <w:sz w:val="20"/>
          <w:szCs w:val="20"/>
          <w:lang w:val="en-US" w:eastAsia="en-US" w:bidi="ar-SA"/>
        </w:rPr>
        <w:t xml:space="preserve">RockTainer – bulk materials (dump container); </w:t>
      </w:r>
    </w:p>
    <w:p w:rsidR="000248E5" w:rsidRPr="000248E5" w:rsidRDefault="000248E5" w:rsidP="000248E5">
      <w:pPr>
        <w:pStyle w:val="Odstavecseseznamem"/>
        <w:numPr>
          <w:ilvl w:val="0"/>
          <w:numId w:val="4"/>
        </w:numPr>
        <w:autoSpaceDE w:val="0"/>
        <w:autoSpaceDN w:val="0"/>
        <w:adjustRightInd w:val="0"/>
        <w:spacing w:after="183" w:line="240" w:lineRule="auto"/>
        <w:jc w:val="both"/>
        <w:rPr>
          <w:rFonts w:ascii="Times New Roman" w:eastAsia="Times New Roman" w:hAnsi="Times New Roman"/>
          <w:sz w:val="20"/>
          <w:szCs w:val="20"/>
          <w:lang w:val="en-US" w:eastAsia="en-US" w:bidi="ar-SA"/>
        </w:rPr>
      </w:pPr>
      <w:r w:rsidRPr="000248E5">
        <w:rPr>
          <w:rFonts w:ascii="Times New Roman" w:eastAsia="Times New Roman" w:hAnsi="Times New Roman"/>
          <w:sz w:val="20"/>
          <w:szCs w:val="20"/>
          <w:lang w:val="en-US" w:eastAsia="en-US" w:bidi="ar-SA"/>
        </w:rPr>
        <w:t xml:space="preserve">AgroTainer – bulk materials, primarily agricultural products (similar to ISO containers); </w:t>
      </w:r>
    </w:p>
    <w:p w:rsidR="000248E5" w:rsidRPr="000248E5" w:rsidRDefault="000248E5" w:rsidP="000248E5">
      <w:pPr>
        <w:pStyle w:val="Odstavecseseznamem"/>
        <w:numPr>
          <w:ilvl w:val="0"/>
          <w:numId w:val="4"/>
        </w:numPr>
        <w:autoSpaceDE w:val="0"/>
        <w:autoSpaceDN w:val="0"/>
        <w:adjustRightInd w:val="0"/>
        <w:spacing w:after="183" w:line="240" w:lineRule="auto"/>
        <w:jc w:val="both"/>
        <w:rPr>
          <w:rFonts w:ascii="Times New Roman" w:eastAsia="Times New Roman" w:hAnsi="Times New Roman"/>
          <w:sz w:val="20"/>
          <w:szCs w:val="20"/>
          <w:lang w:val="en-US" w:eastAsia="en-US" w:bidi="ar-SA"/>
        </w:rPr>
      </w:pPr>
      <w:r w:rsidRPr="000248E5">
        <w:rPr>
          <w:rFonts w:ascii="Times New Roman" w:eastAsia="Times New Roman" w:hAnsi="Times New Roman"/>
          <w:sz w:val="20"/>
          <w:szCs w:val="20"/>
          <w:lang w:val="en-US" w:eastAsia="en-US" w:bidi="ar-SA"/>
        </w:rPr>
        <w:t xml:space="preserve">stanchion pallets – steel tubes, logs; </w:t>
      </w:r>
    </w:p>
    <w:p w:rsidR="000248E5" w:rsidRPr="000248E5" w:rsidRDefault="000248E5" w:rsidP="000248E5">
      <w:pPr>
        <w:pStyle w:val="Odstavecseseznamem"/>
        <w:numPr>
          <w:ilvl w:val="0"/>
          <w:numId w:val="4"/>
        </w:numPr>
        <w:autoSpaceDE w:val="0"/>
        <w:autoSpaceDN w:val="0"/>
        <w:adjustRightInd w:val="0"/>
        <w:spacing w:after="183" w:line="240" w:lineRule="auto"/>
        <w:jc w:val="both"/>
        <w:rPr>
          <w:rFonts w:ascii="Times New Roman" w:eastAsia="Times New Roman" w:hAnsi="Times New Roman"/>
          <w:sz w:val="20"/>
          <w:szCs w:val="20"/>
          <w:lang w:val="en-US" w:eastAsia="en-US" w:bidi="ar-SA"/>
        </w:rPr>
      </w:pPr>
      <w:r w:rsidRPr="000248E5">
        <w:rPr>
          <w:rFonts w:ascii="Times New Roman" w:eastAsia="Times New Roman" w:hAnsi="Times New Roman"/>
          <w:sz w:val="20"/>
          <w:szCs w:val="20"/>
          <w:lang w:val="en-US" w:eastAsia="en-US" w:bidi="ar-SA"/>
        </w:rPr>
        <w:t xml:space="preserve">SlurryTainer – liquids; </w:t>
      </w:r>
    </w:p>
    <w:p w:rsidR="000248E5" w:rsidRPr="000248E5" w:rsidRDefault="000248E5" w:rsidP="000248E5">
      <w:pPr>
        <w:pStyle w:val="Odstavecseseznamem"/>
        <w:numPr>
          <w:ilvl w:val="0"/>
          <w:numId w:val="4"/>
        </w:numPr>
        <w:autoSpaceDE w:val="0"/>
        <w:autoSpaceDN w:val="0"/>
        <w:adjustRightInd w:val="0"/>
        <w:spacing w:after="183" w:line="240" w:lineRule="auto"/>
        <w:jc w:val="both"/>
        <w:rPr>
          <w:rFonts w:ascii="Times New Roman" w:eastAsia="Times New Roman" w:hAnsi="Times New Roman"/>
          <w:sz w:val="20"/>
          <w:szCs w:val="20"/>
          <w:lang w:val="en-US" w:eastAsia="en-US" w:bidi="ar-SA"/>
        </w:rPr>
      </w:pPr>
      <w:r w:rsidRPr="000248E5">
        <w:rPr>
          <w:rFonts w:ascii="Times New Roman" w:eastAsia="Times New Roman" w:hAnsi="Times New Roman"/>
          <w:sz w:val="20"/>
          <w:szCs w:val="20"/>
          <w:lang w:val="en-US" w:eastAsia="en-US" w:bidi="ar-SA"/>
        </w:rPr>
        <w:t xml:space="preserve">WireTainer – wire rolls; </w:t>
      </w:r>
    </w:p>
    <w:p w:rsidR="000248E5" w:rsidRPr="000248E5" w:rsidRDefault="000248E5" w:rsidP="000248E5">
      <w:pPr>
        <w:pStyle w:val="Odstavecseseznamem"/>
        <w:numPr>
          <w:ilvl w:val="0"/>
          <w:numId w:val="4"/>
        </w:numPr>
        <w:autoSpaceDE w:val="0"/>
        <w:autoSpaceDN w:val="0"/>
        <w:adjustRightInd w:val="0"/>
        <w:spacing w:after="183" w:line="240" w:lineRule="auto"/>
        <w:jc w:val="both"/>
        <w:rPr>
          <w:rFonts w:ascii="Times New Roman" w:eastAsia="Times New Roman" w:hAnsi="Times New Roman"/>
          <w:sz w:val="20"/>
          <w:szCs w:val="20"/>
          <w:lang w:val="en-US" w:eastAsia="en-US" w:bidi="ar-SA"/>
        </w:rPr>
      </w:pPr>
      <w:r w:rsidRPr="000248E5">
        <w:rPr>
          <w:rFonts w:ascii="Times New Roman" w:eastAsia="Times New Roman" w:hAnsi="Times New Roman"/>
          <w:sz w:val="20"/>
          <w:szCs w:val="20"/>
          <w:lang w:val="en-US" w:eastAsia="en-US" w:bidi="ar-SA"/>
        </w:rPr>
        <w:t xml:space="preserve">ChemieTainer – chemical products; </w:t>
      </w:r>
    </w:p>
    <w:p w:rsidR="000248E5" w:rsidRPr="000248E5" w:rsidRDefault="000248E5" w:rsidP="000248E5">
      <w:pPr>
        <w:pStyle w:val="Odstavecseseznamem"/>
        <w:numPr>
          <w:ilvl w:val="0"/>
          <w:numId w:val="4"/>
        </w:numPr>
        <w:autoSpaceDE w:val="0"/>
        <w:autoSpaceDN w:val="0"/>
        <w:adjustRightInd w:val="0"/>
        <w:spacing w:after="0" w:line="240" w:lineRule="auto"/>
        <w:jc w:val="both"/>
        <w:rPr>
          <w:rFonts w:ascii="Times New Roman" w:eastAsia="Times New Roman" w:hAnsi="Times New Roman"/>
          <w:sz w:val="20"/>
          <w:szCs w:val="20"/>
          <w:lang w:val="en-US" w:eastAsia="en-US" w:bidi="ar-SA"/>
        </w:rPr>
      </w:pPr>
      <w:r w:rsidRPr="000248E5">
        <w:rPr>
          <w:rFonts w:ascii="Times New Roman" w:eastAsia="Times New Roman" w:hAnsi="Times New Roman"/>
          <w:sz w:val="20"/>
          <w:szCs w:val="20"/>
          <w:lang w:val="en-US" w:eastAsia="en-US" w:bidi="ar-SA"/>
        </w:rPr>
        <w:t xml:space="preserve">CoilTainer – coiled sheets. </w:t>
      </w:r>
    </w:p>
    <w:p w:rsidR="000248E5" w:rsidRPr="000248E5" w:rsidRDefault="000248E5" w:rsidP="000248E5">
      <w:pPr>
        <w:autoSpaceDE w:val="0"/>
        <w:autoSpaceDN w:val="0"/>
        <w:adjustRightInd w:val="0"/>
        <w:jc w:val="both"/>
        <w:rPr>
          <w:sz w:val="20"/>
          <w:szCs w:val="20"/>
        </w:rPr>
      </w:pPr>
    </w:p>
    <w:p w:rsidR="00633A61" w:rsidRPr="000248E5" w:rsidRDefault="000248E5" w:rsidP="000248E5">
      <w:pPr>
        <w:widowControl w:val="0"/>
        <w:ind w:firstLine="567"/>
        <w:jc w:val="both"/>
        <w:rPr>
          <w:sz w:val="20"/>
          <w:szCs w:val="20"/>
        </w:rPr>
      </w:pPr>
      <w:r w:rsidRPr="000248E5">
        <w:rPr>
          <w:sz w:val="20"/>
          <w:szCs w:val="20"/>
        </w:rPr>
        <w:t>Furthermore, the individual means of transport within a transport system can be modified in different ways to accommodate the needs of a specific customer. All means of transport developed by this company have standard ISO corner castings, which allows for their transportation on commonly used intermodal wagons with fixation pins. As such, railway undertakings don't have to purchase new wagons for such carriage and can flexibly use the existing ones instead. Moreover, the risk involved in purchasing new wagons is lower as these can be used for the transportation of sea ISO containers, swapbodies and Innofreight containers</w:t>
      </w:r>
      <w:r w:rsidR="00AF4278">
        <w:rPr>
          <w:sz w:val="20"/>
          <w:szCs w:val="20"/>
        </w:rPr>
        <w:t xml:space="preserve"> [4]</w:t>
      </w:r>
      <w:r w:rsidRPr="000248E5">
        <w:rPr>
          <w:sz w:val="20"/>
          <w:szCs w:val="20"/>
        </w:rPr>
        <w:t>.</w:t>
      </w:r>
    </w:p>
    <w:p w:rsidR="00633A61" w:rsidRDefault="00633A61" w:rsidP="001F3B24">
      <w:pPr>
        <w:widowControl w:val="0"/>
        <w:jc w:val="both"/>
        <w:rPr>
          <w:i/>
          <w:color w:val="FF0000"/>
          <w:sz w:val="20"/>
        </w:rPr>
      </w:pPr>
    </w:p>
    <w:p w:rsidR="000333FC" w:rsidRPr="00BE5A0A" w:rsidRDefault="000333FC" w:rsidP="000333FC">
      <w:pPr>
        <w:pStyle w:val="Body"/>
        <w:widowControl w:val="0"/>
        <w:spacing w:before="200" w:after="0"/>
        <w:contextualSpacing/>
        <w:rPr>
          <w:rFonts w:ascii="Times New Roman" w:hAnsi="Times New Roman"/>
          <w:b/>
        </w:rPr>
      </w:pPr>
      <w:r w:rsidRPr="00BE5A0A">
        <w:rPr>
          <w:rFonts w:ascii="Times New Roman" w:hAnsi="Times New Roman"/>
          <w:b/>
        </w:rPr>
        <w:t>2. </w:t>
      </w:r>
      <w:r w:rsidRPr="000248E5">
        <w:rPr>
          <w:rFonts w:ascii="Times New Roman" w:hAnsi="Times New Roman"/>
          <w:b/>
        </w:rPr>
        <w:t>Innofreight systems in Europe</w:t>
      </w:r>
    </w:p>
    <w:p w:rsidR="000333FC" w:rsidRDefault="000333FC" w:rsidP="001F3B24">
      <w:pPr>
        <w:widowControl w:val="0"/>
        <w:jc w:val="both"/>
        <w:rPr>
          <w:sz w:val="20"/>
        </w:rPr>
      </w:pPr>
    </w:p>
    <w:p w:rsidR="000333FC" w:rsidRPr="000333FC" w:rsidRDefault="000333FC" w:rsidP="000333FC">
      <w:pPr>
        <w:ind w:firstLine="567"/>
        <w:jc w:val="both"/>
        <w:rPr>
          <w:sz w:val="20"/>
          <w:szCs w:val="20"/>
        </w:rPr>
      </w:pPr>
      <w:r w:rsidRPr="000333FC">
        <w:rPr>
          <w:sz w:val="20"/>
          <w:szCs w:val="20"/>
        </w:rPr>
        <w:t>Since its first use in 2004, when a container was first unloaded using a forklift truck in the Austrian company Sappi, the Innofreight transport system has spread to 14 European countries where it is now available, including the Czech Republic and Slovakia. Innofreight currently operates 58 front-loading forklift reloaders, 6 stationary unloaders and 12,000 containers with about 1 million unloadings every year</w:t>
      </w:r>
      <w:r w:rsidR="00AF4278">
        <w:rPr>
          <w:sz w:val="20"/>
          <w:szCs w:val="20"/>
        </w:rPr>
        <w:t xml:space="preserve"> [3, 5]</w:t>
      </w:r>
      <w:r w:rsidRPr="000333FC">
        <w:rPr>
          <w:sz w:val="20"/>
          <w:szCs w:val="20"/>
        </w:rPr>
        <w:t>.</w:t>
      </w:r>
    </w:p>
    <w:p w:rsidR="000333FC" w:rsidRPr="000333FC" w:rsidRDefault="000333FC" w:rsidP="000333FC">
      <w:pPr>
        <w:ind w:firstLine="567"/>
        <w:jc w:val="both"/>
        <w:rPr>
          <w:sz w:val="20"/>
          <w:szCs w:val="20"/>
        </w:rPr>
      </w:pPr>
      <w:r w:rsidRPr="000333FC">
        <w:rPr>
          <w:sz w:val="20"/>
          <w:szCs w:val="20"/>
        </w:rPr>
        <w:t>Innofreight is involved in the implementation of its transport systems but to a great extent, the actual management of containers and wagons is up to the hirers (carriers/operators) or railway undertakings. Included in the analysis comparing the use of the transport system were Austria (where the system was developed), Slovakia and the Czech Republic</w:t>
      </w:r>
      <w:r w:rsidR="00AF4278">
        <w:rPr>
          <w:sz w:val="20"/>
          <w:szCs w:val="20"/>
        </w:rPr>
        <w:t xml:space="preserve"> [6]</w:t>
      </w:r>
      <w:r w:rsidRPr="000333FC">
        <w:rPr>
          <w:sz w:val="20"/>
          <w:szCs w:val="20"/>
        </w:rPr>
        <w:t>.</w:t>
      </w:r>
    </w:p>
    <w:p w:rsidR="004203F6" w:rsidRPr="004203F6" w:rsidRDefault="004203F6" w:rsidP="00A963E8">
      <w:pPr>
        <w:pStyle w:val="Body"/>
        <w:widowControl w:val="0"/>
        <w:spacing w:after="0"/>
        <w:contextualSpacing/>
        <w:rPr>
          <w:rFonts w:ascii="Times New Roman" w:hAnsi="Times New Roman"/>
          <w:b/>
        </w:rPr>
      </w:pPr>
      <w:r>
        <w:rPr>
          <w:rFonts w:ascii="Times New Roman" w:hAnsi="Times New Roman"/>
          <w:b/>
        </w:rPr>
        <w:lastRenderedPageBreak/>
        <w:t xml:space="preserve">2.1 </w:t>
      </w:r>
      <w:r w:rsidRPr="004203F6">
        <w:rPr>
          <w:rFonts w:ascii="Times New Roman" w:hAnsi="Times New Roman"/>
          <w:b/>
        </w:rPr>
        <w:t>Austria</w:t>
      </w:r>
    </w:p>
    <w:p w:rsidR="000333FC" w:rsidRPr="004203F6" w:rsidRDefault="004203F6" w:rsidP="004203F6">
      <w:pPr>
        <w:ind w:firstLine="567"/>
        <w:jc w:val="both"/>
        <w:rPr>
          <w:sz w:val="20"/>
          <w:szCs w:val="20"/>
        </w:rPr>
      </w:pPr>
      <w:r w:rsidRPr="004203F6">
        <w:rPr>
          <w:sz w:val="20"/>
          <w:szCs w:val="20"/>
        </w:rPr>
        <w:t>Having developed this system, Innofreight has its headquarters in Bruck an der Mur, Austria. It was also in Austria where an IF was first unloaded using a front-loading forklift truck and in 2007, the first stationary unloader was built in the Zellstoff Pöls pulp mill. The largest IF users include the Voestalpine ironworks (Donawitz) using the self-discharging ORE RockTainers for the transportation of iron ore and IFs with stationary unloaders for the transportation and unloading of coke and coal (coke is transported from the Zabrze or Zdzieszowice coking plants (PL) and coal is transported from Polish locations or from Koper (SLO)). Among important carriers is also Papierholz Austria procuring wood mass for multiple paper mills in Austria (Sappi in Gratkorn, Mondi in Frantschach and the Zellstoff Pöls pulp mill). Goods to these plants are transported by means of XXL IFs; and the Pöls pulp mill includes a stationary unloader as well. Chips are loaded in different locations not only in Austria, but also abroad (sawmill in Liptovský Hrádek and Tomášovce, Slovakia, sawmill in Ždírec nad Doubravou, Czech Republic and sawmills for instance in Brand, Ybbs, Retz and Fügen, Austria (at the end of 2018, the AustroCel Hallein pulp mill was added to the list)). Another example of the use of IFs is the transportation of energy gypsum for the building material producer Knauf (Weißenbach bei Liezen). This material is produced in the process of flue-gas desulphurisation in thermal power plants</w:t>
      </w:r>
      <w:r w:rsidR="00AF4278">
        <w:rPr>
          <w:sz w:val="20"/>
          <w:szCs w:val="20"/>
        </w:rPr>
        <w:t xml:space="preserve"> [</w:t>
      </w:r>
      <w:r w:rsidR="00F7315B">
        <w:rPr>
          <w:sz w:val="20"/>
          <w:szCs w:val="20"/>
        </w:rPr>
        <w:t>3,</w:t>
      </w:r>
      <w:r w:rsidR="00AF4278">
        <w:rPr>
          <w:sz w:val="20"/>
          <w:szCs w:val="20"/>
        </w:rPr>
        <w:t xml:space="preserve"> 7]</w:t>
      </w:r>
      <w:r w:rsidRPr="004203F6">
        <w:rPr>
          <w:sz w:val="20"/>
          <w:szCs w:val="20"/>
        </w:rPr>
        <w:t>.</w:t>
      </w:r>
    </w:p>
    <w:p w:rsidR="004203F6" w:rsidRDefault="004203F6" w:rsidP="001F3B24">
      <w:pPr>
        <w:widowControl w:val="0"/>
        <w:jc w:val="both"/>
        <w:rPr>
          <w:sz w:val="20"/>
        </w:rPr>
      </w:pPr>
    </w:p>
    <w:p w:rsidR="004203F6" w:rsidRDefault="004203F6" w:rsidP="004203F6">
      <w:pPr>
        <w:widowControl w:val="0"/>
        <w:ind w:right="1984" w:firstLine="720"/>
        <w:jc w:val="right"/>
        <w:rPr>
          <w:sz w:val="20"/>
        </w:rPr>
      </w:pPr>
      <w:r>
        <w:rPr>
          <w:sz w:val="20"/>
        </w:rPr>
        <w:t>Table 1</w:t>
      </w:r>
    </w:p>
    <w:p w:rsidR="004203F6" w:rsidRPr="004203F6" w:rsidRDefault="004203F6" w:rsidP="004203F6">
      <w:pPr>
        <w:jc w:val="center"/>
        <w:rPr>
          <w:sz w:val="20"/>
        </w:rPr>
      </w:pPr>
      <w:r w:rsidRPr="004203F6">
        <w:rPr>
          <w:sz w:val="20"/>
        </w:rPr>
        <w:t>Transportation chains involving the transport of Innofreight containers in Austria</w:t>
      </w:r>
    </w:p>
    <w:tbl>
      <w:tblPr>
        <w:tblStyle w:val="Mkatabulky"/>
        <w:tblW w:w="0" w:type="auto"/>
        <w:jc w:val="center"/>
        <w:tblLook w:val="04A0" w:firstRow="1" w:lastRow="0" w:firstColumn="1" w:lastColumn="0" w:noHBand="0" w:noVBand="1"/>
      </w:tblPr>
      <w:tblGrid>
        <w:gridCol w:w="2405"/>
        <w:gridCol w:w="2268"/>
        <w:gridCol w:w="1620"/>
        <w:gridCol w:w="1215"/>
        <w:gridCol w:w="1554"/>
      </w:tblGrid>
      <w:tr w:rsidR="004203F6" w:rsidRPr="004203F6" w:rsidTr="003211A0">
        <w:trPr>
          <w:jc w:val="center"/>
        </w:trPr>
        <w:tc>
          <w:tcPr>
            <w:tcW w:w="2405" w:type="dxa"/>
          </w:tcPr>
          <w:p w:rsidR="004203F6" w:rsidRPr="004203F6" w:rsidRDefault="004203F6" w:rsidP="00FF599D">
            <w:pPr>
              <w:jc w:val="both"/>
              <w:rPr>
                <w:rFonts w:ascii="Times New Roman" w:hAnsi="Times New Roman" w:cs="Times New Roman"/>
                <w:sz w:val="20"/>
                <w:szCs w:val="20"/>
              </w:rPr>
            </w:pPr>
            <w:r w:rsidRPr="004203F6">
              <w:rPr>
                <w:rFonts w:ascii="Times New Roman" w:hAnsi="Times New Roman" w:cs="Times New Roman"/>
                <w:sz w:val="20"/>
                <w:szCs w:val="20"/>
              </w:rPr>
              <w:t>Loading location</w:t>
            </w:r>
          </w:p>
        </w:tc>
        <w:tc>
          <w:tcPr>
            <w:tcW w:w="2268" w:type="dxa"/>
          </w:tcPr>
          <w:p w:rsidR="004203F6" w:rsidRPr="004203F6" w:rsidRDefault="004203F6" w:rsidP="00FF599D">
            <w:pPr>
              <w:jc w:val="both"/>
              <w:rPr>
                <w:rFonts w:ascii="Times New Roman" w:hAnsi="Times New Roman" w:cs="Times New Roman"/>
                <w:sz w:val="20"/>
                <w:szCs w:val="20"/>
              </w:rPr>
            </w:pPr>
            <w:r w:rsidRPr="004203F6">
              <w:rPr>
                <w:rFonts w:ascii="Times New Roman" w:hAnsi="Times New Roman" w:cs="Times New Roman"/>
                <w:sz w:val="20"/>
                <w:szCs w:val="20"/>
              </w:rPr>
              <w:t>Loading location</w:t>
            </w:r>
          </w:p>
        </w:tc>
        <w:tc>
          <w:tcPr>
            <w:tcW w:w="1620" w:type="dxa"/>
          </w:tcPr>
          <w:p w:rsidR="004203F6" w:rsidRPr="004203F6" w:rsidRDefault="004203F6" w:rsidP="00FF599D">
            <w:pPr>
              <w:jc w:val="both"/>
              <w:rPr>
                <w:rFonts w:ascii="Times New Roman" w:hAnsi="Times New Roman" w:cs="Times New Roman"/>
                <w:sz w:val="20"/>
                <w:szCs w:val="20"/>
              </w:rPr>
            </w:pPr>
            <w:r w:rsidRPr="004203F6">
              <w:rPr>
                <w:rFonts w:ascii="Times New Roman" w:hAnsi="Times New Roman" w:cs="Times New Roman"/>
                <w:sz w:val="20"/>
                <w:szCs w:val="20"/>
              </w:rPr>
              <w:t>Bulk material transported</w:t>
            </w:r>
          </w:p>
        </w:tc>
        <w:tc>
          <w:tcPr>
            <w:tcW w:w="1215" w:type="dxa"/>
          </w:tcPr>
          <w:p w:rsidR="004203F6" w:rsidRPr="004203F6" w:rsidRDefault="004203F6" w:rsidP="00FF599D">
            <w:pPr>
              <w:jc w:val="both"/>
              <w:rPr>
                <w:rFonts w:ascii="Times New Roman" w:hAnsi="Times New Roman" w:cs="Times New Roman"/>
                <w:sz w:val="20"/>
                <w:szCs w:val="20"/>
              </w:rPr>
            </w:pPr>
            <w:r w:rsidRPr="004203F6">
              <w:rPr>
                <w:rFonts w:ascii="Times New Roman" w:hAnsi="Times New Roman" w:cs="Times New Roman"/>
                <w:sz w:val="20"/>
                <w:szCs w:val="20"/>
              </w:rPr>
              <w:t>IF type</w:t>
            </w:r>
          </w:p>
        </w:tc>
        <w:tc>
          <w:tcPr>
            <w:tcW w:w="1554" w:type="dxa"/>
          </w:tcPr>
          <w:p w:rsidR="004203F6" w:rsidRPr="004203F6" w:rsidRDefault="004203F6" w:rsidP="00FF599D">
            <w:pPr>
              <w:jc w:val="both"/>
              <w:rPr>
                <w:rFonts w:ascii="Times New Roman" w:hAnsi="Times New Roman" w:cs="Times New Roman"/>
                <w:sz w:val="20"/>
                <w:szCs w:val="20"/>
              </w:rPr>
            </w:pPr>
            <w:r w:rsidRPr="004203F6">
              <w:rPr>
                <w:rFonts w:ascii="Times New Roman" w:hAnsi="Times New Roman" w:cs="Times New Roman"/>
                <w:sz w:val="20"/>
                <w:szCs w:val="20"/>
              </w:rPr>
              <w:t>Method of unloading</w:t>
            </w:r>
          </w:p>
        </w:tc>
      </w:tr>
      <w:tr w:rsidR="004203F6" w:rsidRPr="004203F6" w:rsidTr="003211A0">
        <w:trPr>
          <w:jc w:val="center"/>
        </w:trPr>
        <w:tc>
          <w:tcPr>
            <w:tcW w:w="2405" w:type="dxa"/>
            <w:vAlign w:val="center"/>
          </w:tcPr>
          <w:p w:rsidR="004203F6" w:rsidRPr="004203F6" w:rsidRDefault="004203F6" w:rsidP="00FF599D">
            <w:pPr>
              <w:autoSpaceDE w:val="0"/>
              <w:autoSpaceDN w:val="0"/>
              <w:adjustRightInd w:val="0"/>
              <w:jc w:val="both"/>
              <w:rPr>
                <w:rFonts w:ascii="Times New Roman" w:hAnsi="Times New Roman" w:cs="Times New Roman"/>
                <w:sz w:val="20"/>
                <w:szCs w:val="20"/>
              </w:rPr>
            </w:pPr>
            <w:r w:rsidRPr="004203F6">
              <w:rPr>
                <w:rFonts w:ascii="Times New Roman" w:hAnsi="Times New Roman" w:cs="Times New Roman"/>
                <w:sz w:val="20"/>
                <w:szCs w:val="20"/>
              </w:rPr>
              <w:t>Zdzieszowice/Zabrze coking plant (PL)</w:t>
            </w:r>
          </w:p>
        </w:tc>
        <w:tc>
          <w:tcPr>
            <w:tcW w:w="2268" w:type="dxa"/>
            <w:vMerge w:val="restart"/>
            <w:vAlign w:val="center"/>
          </w:tcPr>
          <w:p w:rsidR="004203F6" w:rsidRPr="004203F6" w:rsidRDefault="004203F6" w:rsidP="00FF599D">
            <w:pPr>
              <w:autoSpaceDE w:val="0"/>
              <w:autoSpaceDN w:val="0"/>
              <w:adjustRightInd w:val="0"/>
              <w:jc w:val="both"/>
              <w:rPr>
                <w:rFonts w:ascii="Times New Roman" w:hAnsi="Times New Roman" w:cs="Times New Roman"/>
                <w:sz w:val="20"/>
                <w:szCs w:val="20"/>
              </w:rPr>
            </w:pPr>
            <w:r w:rsidRPr="004203F6">
              <w:rPr>
                <w:rFonts w:ascii="Times New Roman" w:hAnsi="Times New Roman" w:cs="Times New Roman"/>
                <w:sz w:val="20"/>
                <w:szCs w:val="20"/>
              </w:rPr>
              <w:t>Voestalpine Donawitz steelworks</w:t>
            </w:r>
          </w:p>
        </w:tc>
        <w:tc>
          <w:tcPr>
            <w:tcW w:w="1620" w:type="dxa"/>
            <w:vAlign w:val="center"/>
          </w:tcPr>
          <w:p w:rsidR="004203F6" w:rsidRPr="004203F6" w:rsidRDefault="004203F6" w:rsidP="00FF599D">
            <w:pPr>
              <w:jc w:val="both"/>
              <w:rPr>
                <w:rFonts w:ascii="Times New Roman" w:hAnsi="Times New Roman" w:cs="Times New Roman"/>
                <w:sz w:val="20"/>
                <w:szCs w:val="20"/>
              </w:rPr>
            </w:pPr>
            <w:r w:rsidRPr="004203F6">
              <w:rPr>
                <w:rFonts w:ascii="Times New Roman" w:hAnsi="Times New Roman" w:cs="Times New Roman"/>
                <w:sz w:val="20"/>
                <w:szCs w:val="20"/>
              </w:rPr>
              <w:t>coke</w:t>
            </w:r>
          </w:p>
        </w:tc>
        <w:tc>
          <w:tcPr>
            <w:tcW w:w="1215" w:type="dxa"/>
            <w:vAlign w:val="center"/>
          </w:tcPr>
          <w:p w:rsidR="004203F6" w:rsidRPr="004203F6" w:rsidRDefault="004203F6" w:rsidP="00FF599D">
            <w:pPr>
              <w:jc w:val="both"/>
              <w:rPr>
                <w:rFonts w:ascii="Times New Roman" w:hAnsi="Times New Roman" w:cs="Times New Roman"/>
                <w:sz w:val="20"/>
                <w:szCs w:val="20"/>
              </w:rPr>
            </w:pPr>
            <w:r w:rsidRPr="004203F6">
              <w:rPr>
                <w:rFonts w:ascii="Times New Roman" w:hAnsi="Times New Roman" w:cs="Times New Roman"/>
                <w:sz w:val="20"/>
                <w:szCs w:val="20"/>
              </w:rPr>
              <w:t>IF XL</w:t>
            </w:r>
          </w:p>
        </w:tc>
        <w:tc>
          <w:tcPr>
            <w:tcW w:w="1554" w:type="dxa"/>
            <w:vMerge w:val="restart"/>
            <w:vAlign w:val="center"/>
          </w:tcPr>
          <w:p w:rsidR="004203F6" w:rsidRPr="004203F6" w:rsidRDefault="004203F6" w:rsidP="00FF599D">
            <w:pPr>
              <w:jc w:val="both"/>
              <w:rPr>
                <w:rFonts w:ascii="Times New Roman" w:hAnsi="Times New Roman" w:cs="Times New Roman"/>
                <w:sz w:val="20"/>
                <w:szCs w:val="20"/>
              </w:rPr>
            </w:pPr>
            <w:r w:rsidRPr="004203F6">
              <w:rPr>
                <w:rFonts w:ascii="Times New Roman" w:hAnsi="Times New Roman" w:cs="Times New Roman"/>
                <w:sz w:val="20"/>
                <w:szCs w:val="20"/>
              </w:rPr>
              <w:t>stationary unloader</w:t>
            </w:r>
          </w:p>
        </w:tc>
      </w:tr>
      <w:tr w:rsidR="004203F6" w:rsidRPr="004203F6" w:rsidTr="003211A0">
        <w:trPr>
          <w:jc w:val="center"/>
        </w:trPr>
        <w:tc>
          <w:tcPr>
            <w:tcW w:w="2405" w:type="dxa"/>
            <w:vAlign w:val="center"/>
          </w:tcPr>
          <w:p w:rsidR="004203F6" w:rsidRPr="004203F6" w:rsidRDefault="004203F6" w:rsidP="00FF599D">
            <w:pPr>
              <w:jc w:val="both"/>
              <w:rPr>
                <w:rFonts w:ascii="Times New Roman" w:hAnsi="Times New Roman" w:cs="Times New Roman"/>
                <w:sz w:val="20"/>
                <w:szCs w:val="20"/>
              </w:rPr>
            </w:pPr>
            <w:r w:rsidRPr="004203F6">
              <w:rPr>
                <w:rFonts w:ascii="Times New Roman" w:hAnsi="Times New Roman" w:cs="Times New Roman"/>
                <w:sz w:val="20"/>
                <w:szCs w:val="20"/>
              </w:rPr>
              <w:t>Radim (PL)</w:t>
            </w:r>
          </w:p>
        </w:tc>
        <w:tc>
          <w:tcPr>
            <w:tcW w:w="2268" w:type="dxa"/>
            <w:vMerge/>
            <w:vAlign w:val="center"/>
          </w:tcPr>
          <w:p w:rsidR="004203F6" w:rsidRPr="004203F6" w:rsidRDefault="004203F6" w:rsidP="00FF599D">
            <w:pPr>
              <w:jc w:val="both"/>
              <w:rPr>
                <w:rFonts w:ascii="Times New Roman" w:hAnsi="Times New Roman" w:cs="Times New Roman"/>
                <w:sz w:val="20"/>
                <w:szCs w:val="20"/>
              </w:rPr>
            </w:pPr>
          </w:p>
        </w:tc>
        <w:tc>
          <w:tcPr>
            <w:tcW w:w="1620" w:type="dxa"/>
            <w:vMerge w:val="restart"/>
            <w:vAlign w:val="center"/>
          </w:tcPr>
          <w:p w:rsidR="004203F6" w:rsidRPr="004203F6" w:rsidRDefault="004203F6" w:rsidP="00FF599D">
            <w:pPr>
              <w:jc w:val="both"/>
              <w:rPr>
                <w:rFonts w:ascii="Times New Roman" w:hAnsi="Times New Roman" w:cs="Times New Roman"/>
                <w:sz w:val="20"/>
                <w:szCs w:val="20"/>
              </w:rPr>
            </w:pPr>
            <w:r w:rsidRPr="004203F6">
              <w:rPr>
                <w:rFonts w:ascii="Times New Roman" w:hAnsi="Times New Roman" w:cs="Times New Roman"/>
                <w:sz w:val="20"/>
                <w:szCs w:val="20"/>
              </w:rPr>
              <w:t>hard coal</w:t>
            </w:r>
          </w:p>
        </w:tc>
        <w:tc>
          <w:tcPr>
            <w:tcW w:w="1215" w:type="dxa"/>
            <w:vMerge w:val="restart"/>
            <w:vAlign w:val="center"/>
          </w:tcPr>
          <w:p w:rsidR="004203F6" w:rsidRPr="004203F6" w:rsidRDefault="004203F6" w:rsidP="00FF599D">
            <w:pPr>
              <w:jc w:val="both"/>
              <w:rPr>
                <w:rFonts w:ascii="Times New Roman" w:hAnsi="Times New Roman" w:cs="Times New Roman"/>
                <w:sz w:val="20"/>
                <w:szCs w:val="20"/>
              </w:rPr>
            </w:pPr>
            <w:r w:rsidRPr="004203F6">
              <w:rPr>
                <w:rFonts w:ascii="Times New Roman" w:hAnsi="Times New Roman" w:cs="Times New Roman"/>
                <w:sz w:val="20"/>
                <w:szCs w:val="20"/>
              </w:rPr>
              <w:t>IF XXM-L</w:t>
            </w:r>
          </w:p>
        </w:tc>
        <w:tc>
          <w:tcPr>
            <w:tcW w:w="1554" w:type="dxa"/>
            <w:vMerge/>
            <w:vAlign w:val="center"/>
          </w:tcPr>
          <w:p w:rsidR="004203F6" w:rsidRPr="004203F6" w:rsidRDefault="004203F6" w:rsidP="00FF599D">
            <w:pPr>
              <w:jc w:val="both"/>
              <w:rPr>
                <w:rFonts w:ascii="Times New Roman" w:hAnsi="Times New Roman" w:cs="Times New Roman"/>
                <w:sz w:val="20"/>
                <w:szCs w:val="20"/>
              </w:rPr>
            </w:pPr>
          </w:p>
        </w:tc>
      </w:tr>
      <w:tr w:rsidR="004203F6" w:rsidRPr="004203F6" w:rsidTr="003211A0">
        <w:trPr>
          <w:jc w:val="center"/>
        </w:trPr>
        <w:tc>
          <w:tcPr>
            <w:tcW w:w="2405" w:type="dxa"/>
            <w:vAlign w:val="center"/>
          </w:tcPr>
          <w:p w:rsidR="004203F6" w:rsidRPr="004203F6" w:rsidRDefault="004203F6" w:rsidP="00FF599D">
            <w:pPr>
              <w:jc w:val="both"/>
              <w:rPr>
                <w:rFonts w:ascii="Times New Roman" w:hAnsi="Times New Roman" w:cs="Times New Roman"/>
                <w:sz w:val="20"/>
                <w:szCs w:val="20"/>
              </w:rPr>
            </w:pPr>
            <w:r w:rsidRPr="004203F6">
              <w:rPr>
                <w:rFonts w:ascii="Times New Roman" w:hAnsi="Times New Roman" w:cs="Times New Roman"/>
                <w:sz w:val="20"/>
                <w:szCs w:val="20"/>
              </w:rPr>
              <w:t>Koper (SLO)</w:t>
            </w:r>
          </w:p>
        </w:tc>
        <w:tc>
          <w:tcPr>
            <w:tcW w:w="2268" w:type="dxa"/>
            <w:vMerge/>
            <w:vAlign w:val="center"/>
          </w:tcPr>
          <w:p w:rsidR="004203F6" w:rsidRPr="004203F6" w:rsidRDefault="004203F6" w:rsidP="00FF599D">
            <w:pPr>
              <w:jc w:val="both"/>
              <w:rPr>
                <w:rFonts w:ascii="Times New Roman" w:hAnsi="Times New Roman" w:cs="Times New Roman"/>
                <w:sz w:val="20"/>
                <w:szCs w:val="20"/>
              </w:rPr>
            </w:pPr>
          </w:p>
        </w:tc>
        <w:tc>
          <w:tcPr>
            <w:tcW w:w="1620" w:type="dxa"/>
            <w:vMerge/>
            <w:vAlign w:val="center"/>
          </w:tcPr>
          <w:p w:rsidR="004203F6" w:rsidRPr="004203F6" w:rsidRDefault="004203F6" w:rsidP="00FF599D">
            <w:pPr>
              <w:jc w:val="both"/>
              <w:rPr>
                <w:rFonts w:ascii="Times New Roman" w:hAnsi="Times New Roman" w:cs="Times New Roman"/>
                <w:sz w:val="20"/>
                <w:szCs w:val="20"/>
              </w:rPr>
            </w:pPr>
          </w:p>
        </w:tc>
        <w:tc>
          <w:tcPr>
            <w:tcW w:w="1215" w:type="dxa"/>
            <w:vMerge/>
            <w:vAlign w:val="center"/>
          </w:tcPr>
          <w:p w:rsidR="004203F6" w:rsidRPr="004203F6" w:rsidRDefault="004203F6" w:rsidP="00FF599D">
            <w:pPr>
              <w:jc w:val="both"/>
              <w:rPr>
                <w:rFonts w:ascii="Times New Roman" w:hAnsi="Times New Roman" w:cs="Times New Roman"/>
                <w:sz w:val="20"/>
                <w:szCs w:val="20"/>
              </w:rPr>
            </w:pPr>
          </w:p>
        </w:tc>
        <w:tc>
          <w:tcPr>
            <w:tcW w:w="1554" w:type="dxa"/>
            <w:vMerge/>
            <w:vAlign w:val="center"/>
          </w:tcPr>
          <w:p w:rsidR="004203F6" w:rsidRPr="004203F6" w:rsidRDefault="004203F6" w:rsidP="00FF599D">
            <w:pPr>
              <w:jc w:val="both"/>
              <w:rPr>
                <w:rFonts w:ascii="Times New Roman" w:hAnsi="Times New Roman" w:cs="Times New Roman"/>
                <w:sz w:val="20"/>
                <w:szCs w:val="20"/>
              </w:rPr>
            </w:pPr>
          </w:p>
        </w:tc>
      </w:tr>
      <w:tr w:rsidR="004203F6" w:rsidRPr="004203F6" w:rsidTr="003211A0">
        <w:trPr>
          <w:jc w:val="center"/>
        </w:trPr>
        <w:tc>
          <w:tcPr>
            <w:tcW w:w="2405" w:type="dxa"/>
            <w:vAlign w:val="center"/>
          </w:tcPr>
          <w:p w:rsidR="004203F6" w:rsidRPr="004203F6" w:rsidRDefault="004203F6" w:rsidP="00FF599D">
            <w:pPr>
              <w:jc w:val="both"/>
              <w:rPr>
                <w:rFonts w:ascii="Times New Roman" w:hAnsi="Times New Roman" w:cs="Times New Roman"/>
                <w:sz w:val="20"/>
                <w:szCs w:val="20"/>
              </w:rPr>
            </w:pPr>
            <w:r w:rsidRPr="004203F6">
              <w:rPr>
                <w:rFonts w:ascii="Times New Roman" w:hAnsi="Times New Roman" w:cs="Times New Roman"/>
                <w:sz w:val="20"/>
                <w:szCs w:val="20"/>
              </w:rPr>
              <w:t>Celje (SLO)</w:t>
            </w:r>
          </w:p>
        </w:tc>
        <w:tc>
          <w:tcPr>
            <w:tcW w:w="2268" w:type="dxa"/>
            <w:vMerge w:val="restart"/>
            <w:vAlign w:val="center"/>
          </w:tcPr>
          <w:p w:rsidR="004203F6" w:rsidRPr="004203F6" w:rsidRDefault="004203F6" w:rsidP="00FF599D">
            <w:pPr>
              <w:autoSpaceDE w:val="0"/>
              <w:autoSpaceDN w:val="0"/>
              <w:adjustRightInd w:val="0"/>
              <w:jc w:val="both"/>
              <w:rPr>
                <w:rFonts w:ascii="Times New Roman" w:hAnsi="Times New Roman" w:cs="Times New Roman"/>
                <w:sz w:val="20"/>
                <w:szCs w:val="20"/>
              </w:rPr>
            </w:pPr>
            <w:r w:rsidRPr="004203F6">
              <w:rPr>
                <w:rFonts w:ascii="Times New Roman" w:hAnsi="Times New Roman" w:cs="Times New Roman"/>
                <w:sz w:val="20"/>
                <w:szCs w:val="20"/>
              </w:rPr>
              <w:t>Knauf Weißenbach bei Liezen (Selzthal)</w:t>
            </w:r>
          </w:p>
          <w:p w:rsidR="004203F6" w:rsidRPr="004203F6" w:rsidRDefault="004203F6" w:rsidP="00FF599D">
            <w:pPr>
              <w:jc w:val="both"/>
              <w:rPr>
                <w:rFonts w:ascii="Times New Roman" w:hAnsi="Times New Roman" w:cs="Times New Roman"/>
                <w:sz w:val="20"/>
                <w:szCs w:val="20"/>
              </w:rPr>
            </w:pPr>
          </w:p>
        </w:tc>
        <w:tc>
          <w:tcPr>
            <w:tcW w:w="1620" w:type="dxa"/>
            <w:vMerge w:val="restart"/>
            <w:vAlign w:val="center"/>
          </w:tcPr>
          <w:p w:rsidR="004203F6" w:rsidRPr="004203F6" w:rsidRDefault="004203F6" w:rsidP="00FF599D">
            <w:pPr>
              <w:jc w:val="both"/>
              <w:rPr>
                <w:rFonts w:ascii="Times New Roman" w:hAnsi="Times New Roman" w:cs="Times New Roman"/>
                <w:sz w:val="20"/>
                <w:szCs w:val="20"/>
              </w:rPr>
            </w:pPr>
            <w:r w:rsidRPr="004203F6">
              <w:rPr>
                <w:rFonts w:ascii="Times New Roman" w:hAnsi="Times New Roman" w:cs="Times New Roman"/>
                <w:sz w:val="20"/>
                <w:szCs w:val="20"/>
              </w:rPr>
              <w:t>energy gypsum</w:t>
            </w:r>
          </w:p>
        </w:tc>
        <w:tc>
          <w:tcPr>
            <w:tcW w:w="1215" w:type="dxa"/>
            <w:vMerge w:val="restart"/>
            <w:vAlign w:val="center"/>
          </w:tcPr>
          <w:p w:rsidR="004203F6" w:rsidRPr="004203F6" w:rsidRDefault="004203F6" w:rsidP="00FF599D">
            <w:pPr>
              <w:jc w:val="both"/>
              <w:rPr>
                <w:rFonts w:ascii="Times New Roman" w:hAnsi="Times New Roman" w:cs="Times New Roman"/>
                <w:sz w:val="20"/>
                <w:szCs w:val="20"/>
              </w:rPr>
            </w:pPr>
            <w:r w:rsidRPr="004203F6">
              <w:rPr>
                <w:rFonts w:ascii="Times New Roman" w:hAnsi="Times New Roman" w:cs="Times New Roman"/>
                <w:sz w:val="20"/>
                <w:szCs w:val="20"/>
              </w:rPr>
              <w:t>IF XXM</w:t>
            </w:r>
          </w:p>
        </w:tc>
        <w:tc>
          <w:tcPr>
            <w:tcW w:w="1554" w:type="dxa"/>
            <w:vMerge w:val="restart"/>
            <w:vAlign w:val="center"/>
          </w:tcPr>
          <w:p w:rsidR="004203F6" w:rsidRPr="004203F6" w:rsidRDefault="004203F6" w:rsidP="00FF599D">
            <w:pPr>
              <w:jc w:val="both"/>
              <w:rPr>
                <w:rFonts w:ascii="Times New Roman" w:hAnsi="Times New Roman" w:cs="Times New Roman"/>
                <w:sz w:val="20"/>
                <w:szCs w:val="20"/>
              </w:rPr>
            </w:pPr>
            <w:r w:rsidRPr="004203F6">
              <w:rPr>
                <w:rFonts w:ascii="Times New Roman" w:hAnsi="Times New Roman" w:cs="Times New Roman"/>
                <w:sz w:val="20"/>
                <w:szCs w:val="20"/>
              </w:rPr>
              <w:t>forklift truck</w:t>
            </w:r>
          </w:p>
        </w:tc>
      </w:tr>
      <w:tr w:rsidR="004203F6" w:rsidRPr="004203F6" w:rsidTr="003211A0">
        <w:trPr>
          <w:jc w:val="center"/>
        </w:trPr>
        <w:tc>
          <w:tcPr>
            <w:tcW w:w="2405" w:type="dxa"/>
            <w:vAlign w:val="center"/>
          </w:tcPr>
          <w:p w:rsidR="004203F6" w:rsidRPr="004203F6" w:rsidRDefault="004203F6" w:rsidP="00FF599D">
            <w:pPr>
              <w:jc w:val="both"/>
              <w:rPr>
                <w:rFonts w:ascii="Times New Roman" w:hAnsi="Times New Roman" w:cs="Times New Roman"/>
                <w:sz w:val="20"/>
                <w:szCs w:val="20"/>
              </w:rPr>
            </w:pPr>
            <w:r w:rsidRPr="004203F6">
              <w:rPr>
                <w:rFonts w:ascii="Times New Roman" w:hAnsi="Times New Roman" w:cs="Times New Roman"/>
                <w:sz w:val="20"/>
                <w:szCs w:val="20"/>
              </w:rPr>
              <w:t>Pernhofer (A)</w:t>
            </w:r>
          </w:p>
        </w:tc>
        <w:tc>
          <w:tcPr>
            <w:tcW w:w="2268" w:type="dxa"/>
            <w:vMerge/>
            <w:vAlign w:val="center"/>
          </w:tcPr>
          <w:p w:rsidR="004203F6" w:rsidRPr="004203F6" w:rsidRDefault="004203F6" w:rsidP="00FF599D">
            <w:pPr>
              <w:jc w:val="both"/>
              <w:rPr>
                <w:rFonts w:ascii="Times New Roman" w:hAnsi="Times New Roman" w:cs="Times New Roman"/>
                <w:sz w:val="20"/>
                <w:szCs w:val="20"/>
              </w:rPr>
            </w:pPr>
          </w:p>
        </w:tc>
        <w:tc>
          <w:tcPr>
            <w:tcW w:w="1620" w:type="dxa"/>
            <w:vMerge/>
            <w:vAlign w:val="center"/>
          </w:tcPr>
          <w:p w:rsidR="004203F6" w:rsidRPr="004203F6" w:rsidRDefault="004203F6" w:rsidP="00FF599D">
            <w:pPr>
              <w:jc w:val="both"/>
              <w:rPr>
                <w:rFonts w:ascii="Times New Roman" w:hAnsi="Times New Roman" w:cs="Times New Roman"/>
                <w:sz w:val="20"/>
                <w:szCs w:val="20"/>
              </w:rPr>
            </w:pPr>
          </w:p>
        </w:tc>
        <w:tc>
          <w:tcPr>
            <w:tcW w:w="1215" w:type="dxa"/>
            <w:vMerge/>
            <w:vAlign w:val="center"/>
          </w:tcPr>
          <w:p w:rsidR="004203F6" w:rsidRPr="004203F6" w:rsidRDefault="004203F6" w:rsidP="00FF599D">
            <w:pPr>
              <w:jc w:val="both"/>
              <w:rPr>
                <w:rFonts w:ascii="Times New Roman" w:hAnsi="Times New Roman" w:cs="Times New Roman"/>
                <w:sz w:val="20"/>
                <w:szCs w:val="20"/>
              </w:rPr>
            </w:pPr>
          </w:p>
        </w:tc>
        <w:tc>
          <w:tcPr>
            <w:tcW w:w="1554" w:type="dxa"/>
            <w:vMerge/>
            <w:vAlign w:val="center"/>
          </w:tcPr>
          <w:p w:rsidR="004203F6" w:rsidRPr="004203F6" w:rsidRDefault="004203F6" w:rsidP="00FF599D">
            <w:pPr>
              <w:jc w:val="both"/>
              <w:rPr>
                <w:rFonts w:ascii="Times New Roman" w:hAnsi="Times New Roman" w:cs="Times New Roman"/>
                <w:sz w:val="20"/>
                <w:szCs w:val="20"/>
              </w:rPr>
            </w:pPr>
          </w:p>
        </w:tc>
      </w:tr>
      <w:tr w:rsidR="004203F6" w:rsidRPr="004203F6" w:rsidTr="003211A0">
        <w:trPr>
          <w:jc w:val="center"/>
        </w:trPr>
        <w:tc>
          <w:tcPr>
            <w:tcW w:w="2405" w:type="dxa"/>
            <w:vAlign w:val="center"/>
          </w:tcPr>
          <w:p w:rsidR="004203F6" w:rsidRPr="004203F6" w:rsidRDefault="004203F6" w:rsidP="00FF599D">
            <w:pPr>
              <w:jc w:val="both"/>
              <w:rPr>
                <w:rFonts w:ascii="Times New Roman" w:hAnsi="Times New Roman" w:cs="Times New Roman"/>
                <w:sz w:val="20"/>
                <w:szCs w:val="20"/>
              </w:rPr>
            </w:pPr>
            <w:r w:rsidRPr="004203F6">
              <w:rPr>
                <w:rFonts w:ascii="Times New Roman" w:hAnsi="Times New Roman" w:cs="Times New Roman"/>
                <w:sz w:val="20"/>
                <w:szCs w:val="20"/>
              </w:rPr>
              <w:t>Zemianske Kostolany (SK)</w:t>
            </w:r>
          </w:p>
        </w:tc>
        <w:tc>
          <w:tcPr>
            <w:tcW w:w="2268" w:type="dxa"/>
            <w:vMerge/>
            <w:vAlign w:val="center"/>
          </w:tcPr>
          <w:p w:rsidR="004203F6" w:rsidRPr="004203F6" w:rsidRDefault="004203F6" w:rsidP="00FF599D">
            <w:pPr>
              <w:jc w:val="both"/>
              <w:rPr>
                <w:rFonts w:ascii="Times New Roman" w:hAnsi="Times New Roman" w:cs="Times New Roman"/>
                <w:sz w:val="20"/>
                <w:szCs w:val="20"/>
              </w:rPr>
            </w:pPr>
          </w:p>
        </w:tc>
        <w:tc>
          <w:tcPr>
            <w:tcW w:w="1620" w:type="dxa"/>
            <w:vMerge/>
            <w:vAlign w:val="center"/>
          </w:tcPr>
          <w:p w:rsidR="004203F6" w:rsidRPr="004203F6" w:rsidRDefault="004203F6" w:rsidP="00FF599D">
            <w:pPr>
              <w:jc w:val="both"/>
              <w:rPr>
                <w:rFonts w:ascii="Times New Roman" w:hAnsi="Times New Roman" w:cs="Times New Roman"/>
                <w:sz w:val="20"/>
                <w:szCs w:val="20"/>
              </w:rPr>
            </w:pPr>
          </w:p>
        </w:tc>
        <w:tc>
          <w:tcPr>
            <w:tcW w:w="1215" w:type="dxa"/>
            <w:vMerge/>
            <w:vAlign w:val="center"/>
          </w:tcPr>
          <w:p w:rsidR="004203F6" w:rsidRPr="004203F6" w:rsidRDefault="004203F6" w:rsidP="00FF599D">
            <w:pPr>
              <w:jc w:val="both"/>
              <w:rPr>
                <w:rFonts w:ascii="Times New Roman" w:hAnsi="Times New Roman" w:cs="Times New Roman"/>
                <w:sz w:val="20"/>
                <w:szCs w:val="20"/>
              </w:rPr>
            </w:pPr>
          </w:p>
        </w:tc>
        <w:tc>
          <w:tcPr>
            <w:tcW w:w="1554" w:type="dxa"/>
            <w:vMerge/>
            <w:vAlign w:val="center"/>
          </w:tcPr>
          <w:p w:rsidR="004203F6" w:rsidRPr="004203F6" w:rsidRDefault="004203F6" w:rsidP="00FF599D">
            <w:pPr>
              <w:jc w:val="both"/>
              <w:rPr>
                <w:rFonts w:ascii="Times New Roman" w:hAnsi="Times New Roman" w:cs="Times New Roman"/>
                <w:sz w:val="20"/>
                <w:szCs w:val="20"/>
              </w:rPr>
            </w:pPr>
          </w:p>
        </w:tc>
      </w:tr>
      <w:tr w:rsidR="004203F6" w:rsidRPr="004203F6" w:rsidTr="003211A0">
        <w:trPr>
          <w:jc w:val="center"/>
        </w:trPr>
        <w:tc>
          <w:tcPr>
            <w:tcW w:w="2405" w:type="dxa"/>
            <w:vAlign w:val="center"/>
          </w:tcPr>
          <w:p w:rsidR="004203F6" w:rsidRPr="004203F6" w:rsidRDefault="004203F6" w:rsidP="00FF599D">
            <w:pPr>
              <w:autoSpaceDE w:val="0"/>
              <w:autoSpaceDN w:val="0"/>
              <w:adjustRightInd w:val="0"/>
              <w:jc w:val="both"/>
              <w:rPr>
                <w:rFonts w:ascii="Times New Roman" w:hAnsi="Times New Roman" w:cs="Times New Roman"/>
                <w:sz w:val="20"/>
                <w:szCs w:val="20"/>
              </w:rPr>
            </w:pPr>
            <w:r w:rsidRPr="004203F6">
              <w:rPr>
                <w:rFonts w:ascii="Times New Roman" w:hAnsi="Times New Roman" w:cs="Times New Roman"/>
                <w:sz w:val="20"/>
                <w:szCs w:val="20"/>
              </w:rPr>
              <w:t>Rettenmeier Tatra Timber Liptovský Hrádok sawmill (SK)</w:t>
            </w:r>
          </w:p>
        </w:tc>
        <w:tc>
          <w:tcPr>
            <w:tcW w:w="2268" w:type="dxa"/>
            <w:vMerge w:val="restart"/>
            <w:vAlign w:val="center"/>
          </w:tcPr>
          <w:p w:rsidR="004203F6" w:rsidRPr="004203F6" w:rsidRDefault="004203F6" w:rsidP="00FF599D">
            <w:pPr>
              <w:autoSpaceDE w:val="0"/>
              <w:autoSpaceDN w:val="0"/>
              <w:adjustRightInd w:val="0"/>
              <w:jc w:val="both"/>
              <w:rPr>
                <w:rFonts w:ascii="Times New Roman" w:hAnsi="Times New Roman" w:cs="Times New Roman"/>
                <w:sz w:val="20"/>
                <w:szCs w:val="20"/>
              </w:rPr>
            </w:pPr>
            <w:r w:rsidRPr="004203F6">
              <w:rPr>
                <w:rFonts w:ascii="Times New Roman" w:hAnsi="Times New Roman" w:cs="Times New Roman"/>
                <w:sz w:val="20"/>
                <w:szCs w:val="20"/>
              </w:rPr>
              <w:t>Sappi paper mill (Gratwein-Gratkorn)</w:t>
            </w:r>
          </w:p>
        </w:tc>
        <w:tc>
          <w:tcPr>
            <w:tcW w:w="1620" w:type="dxa"/>
            <w:vMerge w:val="restart"/>
            <w:vAlign w:val="center"/>
          </w:tcPr>
          <w:p w:rsidR="004203F6" w:rsidRPr="004203F6" w:rsidRDefault="004203F6" w:rsidP="00FF599D">
            <w:pPr>
              <w:jc w:val="both"/>
              <w:rPr>
                <w:rFonts w:ascii="Times New Roman" w:hAnsi="Times New Roman" w:cs="Times New Roman"/>
                <w:sz w:val="20"/>
                <w:szCs w:val="20"/>
              </w:rPr>
            </w:pPr>
            <w:r w:rsidRPr="004203F6">
              <w:rPr>
                <w:rFonts w:ascii="Times New Roman" w:hAnsi="Times New Roman" w:cs="Times New Roman"/>
                <w:sz w:val="20"/>
                <w:szCs w:val="20"/>
              </w:rPr>
              <w:t>wood chips</w:t>
            </w:r>
          </w:p>
        </w:tc>
        <w:tc>
          <w:tcPr>
            <w:tcW w:w="1215" w:type="dxa"/>
            <w:vMerge w:val="restart"/>
            <w:vAlign w:val="center"/>
          </w:tcPr>
          <w:p w:rsidR="004203F6" w:rsidRPr="004203F6" w:rsidRDefault="004203F6" w:rsidP="00FF599D">
            <w:pPr>
              <w:jc w:val="both"/>
              <w:rPr>
                <w:rFonts w:ascii="Times New Roman" w:hAnsi="Times New Roman" w:cs="Times New Roman"/>
                <w:sz w:val="20"/>
                <w:szCs w:val="20"/>
              </w:rPr>
            </w:pPr>
            <w:r w:rsidRPr="004203F6">
              <w:rPr>
                <w:rFonts w:ascii="Times New Roman" w:hAnsi="Times New Roman" w:cs="Times New Roman"/>
                <w:sz w:val="20"/>
                <w:szCs w:val="20"/>
              </w:rPr>
              <w:t>IF XXL</w:t>
            </w:r>
          </w:p>
        </w:tc>
        <w:tc>
          <w:tcPr>
            <w:tcW w:w="1554" w:type="dxa"/>
            <w:vMerge w:val="restart"/>
            <w:vAlign w:val="center"/>
          </w:tcPr>
          <w:p w:rsidR="004203F6" w:rsidRPr="004203F6" w:rsidRDefault="004203F6" w:rsidP="00FF599D">
            <w:pPr>
              <w:jc w:val="both"/>
              <w:rPr>
                <w:rFonts w:ascii="Times New Roman" w:hAnsi="Times New Roman" w:cs="Times New Roman"/>
                <w:sz w:val="20"/>
                <w:szCs w:val="20"/>
              </w:rPr>
            </w:pPr>
            <w:r w:rsidRPr="004203F6">
              <w:rPr>
                <w:rFonts w:ascii="Times New Roman" w:hAnsi="Times New Roman" w:cs="Times New Roman"/>
                <w:sz w:val="20"/>
                <w:szCs w:val="20"/>
              </w:rPr>
              <w:t>forklift truck</w:t>
            </w:r>
          </w:p>
        </w:tc>
      </w:tr>
      <w:tr w:rsidR="004203F6" w:rsidRPr="004203F6" w:rsidTr="003211A0">
        <w:trPr>
          <w:jc w:val="center"/>
        </w:trPr>
        <w:tc>
          <w:tcPr>
            <w:tcW w:w="2405" w:type="dxa"/>
            <w:vAlign w:val="center"/>
          </w:tcPr>
          <w:p w:rsidR="004203F6" w:rsidRPr="004203F6" w:rsidRDefault="004203F6" w:rsidP="00FF599D">
            <w:pPr>
              <w:jc w:val="both"/>
              <w:rPr>
                <w:rFonts w:ascii="Times New Roman" w:hAnsi="Times New Roman" w:cs="Times New Roman"/>
                <w:sz w:val="20"/>
                <w:szCs w:val="20"/>
              </w:rPr>
            </w:pPr>
            <w:r w:rsidRPr="004203F6">
              <w:rPr>
                <w:rFonts w:ascii="Times New Roman" w:hAnsi="Times New Roman" w:cs="Times New Roman"/>
                <w:sz w:val="20"/>
                <w:szCs w:val="20"/>
              </w:rPr>
              <w:t>PRP Tomášovce sawmill (SK)</w:t>
            </w:r>
          </w:p>
        </w:tc>
        <w:tc>
          <w:tcPr>
            <w:tcW w:w="2268" w:type="dxa"/>
            <w:vMerge/>
            <w:vAlign w:val="center"/>
          </w:tcPr>
          <w:p w:rsidR="004203F6" w:rsidRPr="004203F6" w:rsidRDefault="004203F6" w:rsidP="00FF599D">
            <w:pPr>
              <w:jc w:val="both"/>
              <w:rPr>
                <w:rFonts w:ascii="Times New Roman" w:hAnsi="Times New Roman" w:cs="Times New Roman"/>
                <w:sz w:val="20"/>
                <w:szCs w:val="20"/>
              </w:rPr>
            </w:pPr>
          </w:p>
        </w:tc>
        <w:tc>
          <w:tcPr>
            <w:tcW w:w="1620" w:type="dxa"/>
            <w:vMerge/>
            <w:vAlign w:val="center"/>
          </w:tcPr>
          <w:p w:rsidR="004203F6" w:rsidRPr="004203F6" w:rsidRDefault="004203F6" w:rsidP="00FF599D">
            <w:pPr>
              <w:jc w:val="both"/>
              <w:rPr>
                <w:rFonts w:ascii="Times New Roman" w:hAnsi="Times New Roman" w:cs="Times New Roman"/>
                <w:sz w:val="20"/>
                <w:szCs w:val="20"/>
              </w:rPr>
            </w:pPr>
          </w:p>
        </w:tc>
        <w:tc>
          <w:tcPr>
            <w:tcW w:w="1215" w:type="dxa"/>
            <w:vMerge/>
            <w:vAlign w:val="center"/>
          </w:tcPr>
          <w:p w:rsidR="004203F6" w:rsidRPr="004203F6" w:rsidRDefault="004203F6" w:rsidP="00FF599D">
            <w:pPr>
              <w:jc w:val="both"/>
              <w:rPr>
                <w:rFonts w:ascii="Times New Roman" w:hAnsi="Times New Roman" w:cs="Times New Roman"/>
                <w:sz w:val="20"/>
                <w:szCs w:val="20"/>
              </w:rPr>
            </w:pPr>
          </w:p>
        </w:tc>
        <w:tc>
          <w:tcPr>
            <w:tcW w:w="1554" w:type="dxa"/>
            <w:vMerge/>
            <w:vAlign w:val="center"/>
          </w:tcPr>
          <w:p w:rsidR="004203F6" w:rsidRPr="004203F6" w:rsidRDefault="004203F6" w:rsidP="00FF599D">
            <w:pPr>
              <w:jc w:val="both"/>
              <w:rPr>
                <w:rFonts w:ascii="Times New Roman" w:hAnsi="Times New Roman" w:cs="Times New Roman"/>
                <w:sz w:val="20"/>
                <w:szCs w:val="20"/>
              </w:rPr>
            </w:pPr>
          </w:p>
        </w:tc>
      </w:tr>
      <w:tr w:rsidR="004203F6" w:rsidRPr="004203F6" w:rsidTr="003211A0">
        <w:trPr>
          <w:jc w:val="center"/>
        </w:trPr>
        <w:tc>
          <w:tcPr>
            <w:tcW w:w="2405" w:type="dxa"/>
            <w:vAlign w:val="center"/>
          </w:tcPr>
          <w:p w:rsidR="004203F6" w:rsidRPr="004203F6" w:rsidRDefault="004203F6" w:rsidP="00FF599D">
            <w:pPr>
              <w:jc w:val="both"/>
              <w:rPr>
                <w:rFonts w:ascii="Times New Roman" w:hAnsi="Times New Roman" w:cs="Times New Roman"/>
                <w:sz w:val="20"/>
                <w:szCs w:val="20"/>
              </w:rPr>
            </w:pPr>
            <w:r w:rsidRPr="004203F6">
              <w:rPr>
                <w:rFonts w:ascii="Times New Roman" w:hAnsi="Times New Roman" w:cs="Times New Roman"/>
                <w:sz w:val="20"/>
                <w:szCs w:val="20"/>
              </w:rPr>
              <w:t>Stora Enso sawmill (Ždírec nad Doubravou) (CZ)</w:t>
            </w:r>
          </w:p>
        </w:tc>
        <w:tc>
          <w:tcPr>
            <w:tcW w:w="2268" w:type="dxa"/>
            <w:vMerge w:val="restart"/>
            <w:vAlign w:val="center"/>
          </w:tcPr>
          <w:p w:rsidR="004203F6" w:rsidRPr="004203F6" w:rsidRDefault="004203F6" w:rsidP="00FF599D">
            <w:pPr>
              <w:autoSpaceDE w:val="0"/>
              <w:autoSpaceDN w:val="0"/>
              <w:adjustRightInd w:val="0"/>
              <w:jc w:val="both"/>
              <w:rPr>
                <w:rFonts w:ascii="Times New Roman" w:hAnsi="Times New Roman" w:cs="Times New Roman"/>
                <w:sz w:val="20"/>
                <w:szCs w:val="20"/>
              </w:rPr>
            </w:pPr>
            <w:r w:rsidRPr="004203F6">
              <w:rPr>
                <w:rFonts w:ascii="Times New Roman" w:hAnsi="Times New Roman" w:cs="Times New Roman"/>
                <w:sz w:val="20"/>
                <w:szCs w:val="20"/>
              </w:rPr>
              <w:t xml:space="preserve">Mondi Frantschach pulp and paper mill </w:t>
            </w:r>
          </w:p>
          <w:p w:rsidR="004203F6" w:rsidRPr="004203F6" w:rsidRDefault="004203F6" w:rsidP="00FF599D">
            <w:pPr>
              <w:jc w:val="both"/>
              <w:rPr>
                <w:rFonts w:ascii="Times New Roman" w:hAnsi="Times New Roman" w:cs="Times New Roman"/>
                <w:sz w:val="20"/>
                <w:szCs w:val="20"/>
              </w:rPr>
            </w:pPr>
          </w:p>
        </w:tc>
        <w:tc>
          <w:tcPr>
            <w:tcW w:w="1620" w:type="dxa"/>
            <w:vMerge/>
            <w:vAlign w:val="center"/>
          </w:tcPr>
          <w:p w:rsidR="004203F6" w:rsidRPr="004203F6" w:rsidRDefault="004203F6" w:rsidP="00FF599D">
            <w:pPr>
              <w:jc w:val="both"/>
              <w:rPr>
                <w:rFonts w:ascii="Times New Roman" w:hAnsi="Times New Roman" w:cs="Times New Roman"/>
                <w:sz w:val="20"/>
                <w:szCs w:val="20"/>
              </w:rPr>
            </w:pPr>
          </w:p>
        </w:tc>
        <w:tc>
          <w:tcPr>
            <w:tcW w:w="1215" w:type="dxa"/>
            <w:vMerge/>
            <w:vAlign w:val="center"/>
          </w:tcPr>
          <w:p w:rsidR="004203F6" w:rsidRPr="004203F6" w:rsidRDefault="004203F6" w:rsidP="00FF599D">
            <w:pPr>
              <w:jc w:val="both"/>
              <w:rPr>
                <w:rFonts w:ascii="Times New Roman" w:hAnsi="Times New Roman" w:cs="Times New Roman"/>
                <w:sz w:val="20"/>
                <w:szCs w:val="20"/>
              </w:rPr>
            </w:pPr>
          </w:p>
        </w:tc>
        <w:tc>
          <w:tcPr>
            <w:tcW w:w="1554" w:type="dxa"/>
            <w:vMerge/>
            <w:vAlign w:val="center"/>
          </w:tcPr>
          <w:p w:rsidR="004203F6" w:rsidRPr="004203F6" w:rsidRDefault="004203F6" w:rsidP="00FF599D">
            <w:pPr>
              <w:jc w:val="both"/>
              <w:rPr>
                <w:rFonts w:ascii="Times New Roman" w:hAnsi="Times New Roman" w:cs="Times New Roman"/>
                <w:sz w:val="20"/>
                <w:szCs w:val="20"/>
              </w:rPr>
            </w:pPr>
          </w:p>
        </w:tc>
      </w:tr>
      <w:tr w:rsidR="004203F6" w:rsidRPr="004203F6" w:rsidTr="003211A0">
        <w:trPr>
          <w:jc w:val="center"/>
        </w:trPr>
        <w:tc>
          <w:tcPr>
            <w:tcW w:w="2405" w:type="dxa"/>
            <w:vAlign w:val="center"/>
          </w:tcPr>
          <w:p w:rsidR="004203F6" w:rsidRPr="004203F6" w:rsidRDefault="004203F6" w:rsidP="00FF599D">
            <w:pPr>
              <w:jc w:val="both"/>
              <w:rPr>
                <w:rFonts w:ascii="Times New Roman" w:hAnsi="Times New Roman" w:cs="Times New Roman"/>
                <w:sz w:val="20"/>
                <w:szCs w:val="20"/>
              </w:rPr>
            </w:pPr>
            <w:r w:rsidRPr="004203F6">
              <w:rPr>
                <w:rFonts w:ascii="Times New Roman" w:hAnsi="Times New Roman" w:cs="Times New Roman"/>
                <w:sz w:val="20"/>
                <w:szCs w:val="20"/>
              </w:rPr>
              <w:t>Stora Enso Brand sawmill (Waldhausen)</w:t>
            </w:r>
          </w:p>
        </w:tc>
        <w:tc>
          <w:tcPr>
            <w:tcW w:w="2268" w:type="dxa"/>
            <w:vMerge/>
            <w:vAlign w:val="center"/>
          </w:tcPr>
          <w:p w:rsidR="004203F6" w:rsidRPr="004203F6" w:rsidRDefault="004203F6" w:rsidP="00FF599D">
            <w:pPr>
              <w:jc w:val="both"/>
              <w:rPr>
                <w:rFonts w:ascii="Times New Roman" w:hAnsi="Times New Roman" w:cs="Times New Roman"/>
                <w:sz w:val="20"/>
                <w:szCs w:val="20"/>
              </w:rPr>
            </w:pPr>
          </w:p>
        </w:tc>
        <w:tc>
          <w:tcPr>
            <w:tcW w:w="1620" w:type="dxa"/>
            <w:vMerge/>
            <w:vAlign w:val="center"/>
          </w:tcPr>
          <w:p w:rsidR="004203F6" w:rsidRPr="004203F6" w:rsidRDefault="004203F6" w:rsidP="00FF599D">
            <w:pPr>
              <w:jc w:val="both"/>
              <w:rPr>
                <w:rFonts w:ascii="Times New Roman" w:hAnsi="Times New Roman" w:cs="Times New Roman"/>
                <w:sz w:val="20"/>
                <w:szCs w:val="20"/>
              </w:rPr>
            </w:pPr>
          </w:p>
        </w:tc>
        <w:tc>
          <w:tcPr>
            <w:tcW w:w="1215" w:type="dxa"/>
            <w:vMerge/>
            <w:vAlign w:val="center"/>
          </w:tcPr>
          <w:p w:rsidR="004203F6" w:rsidRPr="004203F6" w:rsidRDefault="004203F6" w:rsidP="00FF599D">
            <w:pPr>
              <w:jc w:val="both"/>
              <w:rPr>
                <w:rFonts w:ascii="Times New Roman" w:hAnsi="Times New Roman" w:cs="Times New Roman"/>
                <w:sz w:val="20"/>
                <w:szCs w:val="20"/>
              </w:rPr>
            </w:pPr>
          </w:p>
        </w:tc>
        <w:tc>
          <w:tcPr>
            <w:tcW w:w="1554" w:type="dxa"/>
            <w:vMerge/>
            <w:vAlign w:val="center"/>
          </w:tcPr>
          <w:p w:rsidR="004203F6" w:rsidRPr="004203F6" w:rsidRDefault="004203F6" w:rsidP="00FF599D">
            <w:pPr>
              <w:jc w:val="both"/>
              <w:rPr>
                <w:rFonts w:ascii="Times New Roman" w:hAnsi="Times New Roman" w:cs="Times New Roman"/>
                <w:sz w:val="20"/>
                <w:szCs w:val="20"/>
              </w:rPr>
            </w:pPr>
          </w:p>
        </w:tc>
      </w:tr>
      <w:tr w:rsidR="004203F6" w:rsidRPr="004203F6" w:rsidTr="003211A0">
        <w:trPr>
          <w:jc w:val="center"/>
        </w:trPr>
        <w:tc>
          <w:tcPr>
            <w:tcW w:w="2405" w:type="dxa"/>
            <w:vAlign w:val="center"/>
          </w:tcPr>
          <w:p w:rsidR="004203F6" w:rsidRPr="004203F6" w:rsidRDefault="004203F6" w:rsidP="00FF599D">
            <w:pPr>
              <w:jc w:val="both"/>
              <w:rPr>
                <w:rFonts w:ascii="Times New Roman" w:hAnsi="Times New Roman" w:cs="Times New Roman"/>
                <w:sz w:val="20"/>
                <w:szCs w:val="20"/>
              </w:rPr>
            </w:pPr>
            <w:r w:rsidRPr="004203F6">
              <w:rPr>
                <w:rFonts w:ascii="Times New Roman" w:hAnsi="Times New Roman" w:cs="Times New Roman"/>
                <w:sz w:val="20"/>
                <w:szCs w:val="20"/>
              </w:rPr>
              <w:t>Stora Enso Ybbs sawmill</w:t>
            </w:r>
          </w:p>
        </w:tc>
        <w:tc>
          <w:tcPr>
            <w:tcW w:w="2268" w:type="dxa"/>
            <w:vMerge w:val="restart"/>
            <w:vAlign w:val="center"/>
          </w:tcPr>
          <w:p w:rsidR="004203F6" w:rsidRPr="004203F6" w:rsidRDefault="004203F6" w:rsidP="00FF599D">
            <w:pPr>
              <w:autoSpaceDE w:val="0"/>
              <w:autoSpaceDN w:val="0"/>
              <w:adjustRightInd w:val="0"/>
              <w:jc w:val="both"/>
              <w:rPr>
                <w:rFonts w:ascii="Times New Roman" w:hAnsi="Times New Roman" w:cs="Times New Roman"/>
                <w:sz w:val="20"/>
                <w:szCs w:val="20"/>
              </w:rPr>
            </w:pPr>
            <w:r w:rsidRPr="004203F6">
              <w:rPr>
                <w:rFonts w:ascii="Times New Roman" w:hAnsi="Times New Roman" w:cs="Times New Roman"/>
                <w:sz w:val="20"/>
                <w:szCs w:val="20"/>
              </w:rPr>
              <w:t xml:space="preserve">Zellstoff Pöls pulp mill </w:t>
            </w:r>
          </w:p>
        </w:tc>
        <w:tc>
          <w:tcPr>
            <w:tcW w:w="1620" w:type="dxa"/>
            <w:vMerge/>
            <w:vAlign w:val="center"/>
          </w:tcPr>
          <w:p w:rsidR="004203F6" w:rsidRPr="004203F6" w:rsidRDefault="004203F6" w:rsidP="00FF599D">
            <w:pPr>
              <w:jc w:val="both"/>
              <w:rPr>
                <w:rFonts w:ascii="Times New Roman" w:hAnsi="Times New Roman" w:cs="Times New Roman"/>
                <w:sz w:val="20"/>
                <w:szCs w:val="20"/>
              </w:rPr>
            </w:pPr>
          </w:p>
        </w:tc>
        <w:tc>
          <w:tcPr>
            <w:tcW w:w="1215" w:type="dxa"/>
            <w:vMerge/>
            <w:vAlign w:val="center"/>
          </w:tcPr>
          <w:p w:rsidR="004203F6" w:rsidRPr="004203F6" w:rsidRDefault="004203F6" w:rsidP="00FF599D">
            <w:pPr>
              <w:jc w:val="both"/>
              <w:rPr>
                <w:rFonts w:ascii="Times New Roman" w:hAnsi="Times New Roman" w:cs="Times New Roman"/>
                <w:sz w:val="20"/>
                <w:szCs w:val="20"/>
              </w:rPr>
            </w:pPr>
          </w:p>
        </w:tc>
        <w:tc>
          <w:tcPr>
            <w:tcW w:w="1554" w:type="dxa"/>
            <w:vMerge w:val="restart"/>
            <w:vAlign w:val="center"/>
          </w:tcPr>
          <w:p w:rsidR="004203F6" w:rsidRPr="004203F6" w:rsidRDefault="004203F6" w:rsidP="00FF599D">
            <w:pPr>
              <w:jc w:val="both"/>
              <w:rPr>
                <w:rFonts w:ascii="Times New Roman" w:hAnsi="Times New Roman" w:cs="Times New Roman"/>
                <w:sz w:val="20"/>
                <w:szCs w:val="20"/>
              </w:rPr>
            </w:pPr>
            <w:r w:rsidRPr="004203F6">
              <w:rPr>
                <w:rFonts w:ascii="Times New Roman" w:hAnsi="Times New Roman" w:cs="Times New Roman"/>
                <w:sz w:val="20"/>
                <w:szCs w:val="20"/>
              </w:rPr>
              <w:t>stationary unloader</w:t>
            </w:r>
          </w:p>
        </w:tc>
      </w:tr>
      <w:tr w:rsidR="004203F6" w:rsidRPr="004203F6" w:rsidTr="003211A0">
        <w:trPr>
          <w:jc w:val="center"/>
        </w:trPr>
        <w:tc>
          <w:tcPr>
            <w:tcW w:w="2405" w:type="dxa"/>
            <w:vAlign w:val="center"/>
          </w:tcPr>
          <w:p w:rsidR="004203F6" w:rsidRPr="004203F6" w:rsidRDefault="004203F6" w:rsidP="00FF599D">
            <w:pPr>
              <w:jc w:val="both"/>
              <w:rPr>
                <w:rFonts w:ascii="Times New Roman" w:hAnsi="Times New Roman" w:cs="Times New Roman"/>
                <w:sz w:val="20"/>
                <w:szCs w:val="20"/>
              </w:rPr>
            </w:pPr>
            <w:r w:rsidRPr="004203F6">
              <w:rPr>
                <w:rFonts w:ascii="Times New Roman" w:hAnsi="Times New Roman" w:cs="Times New Roman"/>
                <w:sz w:val="20"/>
                <w:szCs w:val="20"/>
              </w:rPr>
              <w:t>Holzindustrie Maresch Retz sawmill</w:t>
            </w:r>
          </w:p>
        </w:tc>
        <w:tc>
          <w:tcPr>
            <w:tcW w:w="2268" w:type="dxa"/>
            <w:vMerge/>
            <w:vAlign w:val="center"/>
          </w:tcPr>
          <w:p w:rsidR="004203F6" w:rsidRPr="004203F6" w:rsidRDefault="004203F6" w:rsidP="00FF599D">
            <w:pPr>
              <w:jc w:val="both"/>
              <w:rPr>
                <w:rFonts w:ascii="Times New Roman" w:hAnsi="Times New Roman" w:cs="Times New Roman"/>
                <w:sz w:val="20"/>
                <w:szCs w:val="20"/>
              </w:rPr>
            </w:pPr>
          </w:p>
        </w:tc>
        <w:tc>
          <w:tcPr>
            <w:tcW w:w="1620" w:type="dxa"/>
            <w:vMerge/>
            <w:vAlign w:val="center"/>
          </w:tcPr>
          <w:p w:rsidR="004203F6" w:rsidRPr="004203F6" w:rsidRDefault="004203F6" w:rsidP="00FF599D">
            <w:pPr>
              <w:jc w:val="both"/>
              <w:rPr>
                <w:rFonts w:ascii="Times New Roman" w:hAnsi="Times New Roman" w:cs="Times New Roman"/>
                <w:sz w:val="20"/>
                <w:szCs w:val="20"/>
              </w:rPr>
            </w:pPr>
          </w:p>
        </w:tc>
        <w:tc>
          <w:tcPr>
            <w:tcW w:w="1215" w:type="dxa"/>
            <w:vMerge/>
            <w:vAlign w:val="center"/>
          </w:tcPr>
          <w:p w:rsidR="004203F6" w:rsidRPr="004203F6" w:rsidRDefault="004203F6" w:rsidP="00FF599D">
            <w:pPr>
              <w:jc w:val="both"/>
              <w:rPr>
                <w:rFonts w:ascii="Times New Roman" w:hAnsi="Times New Roman" w:cs="Times New Roman"/>
                <w:sz w:val="20"/>
                <w:szCs w:val="20"/>
              </w:rPr>
            </w:pPr>
          </w:p>
        </w:tc>
        <w:tc>
          <w:tcPr>
            <w:tcW w:w="1554" w:type="dxa"/>
            <w:vMerge/>
            <w:vAlign w:val="center"/>
          </w:tcPr>
          <w:p w:rsidR="004203F6" w:rsidRPr="004203F6" w:rsidRDefault="004203F6" w:rsidP="00FF599D">
            <w:pPr>
              <w:jc w:val="both"/>
              <w:rPr>
                <w:rFonts w:ascii="Times New Roman" w:hAnsi="Times New Roman" w:cs="Times New Roman"/>
                <w:sz w:val="20"/>
                <w:szCs w:val="20"/>
              </w:rPr>
            </w:pPr>
          </w:p>
        </w:tc>
      </w:tr>
      <w:tr w:rsidR="004203F6" w:rsidRPr="004203F6" w:rsidTr="003211A0">
        <w:trPr>
          <w:jc w:val="center"/>
        </w:trPr>
        <w:tc>
          <w:tcPr>
            <w:tcW w:w="2405" w:type="dxa"/>
            <w:vAlign w:val="center"/>
          </w:tcPr>
          <w:p w:rsidR="004203F6" w:rsidRPr="004203F6" w:rsidRDefault="004203F6" w:rsidP="00FF599D">
            <w:pPr>
              <w:jc w:val="both"/>
              <w:rPr>
                <w:rFonts w:ascii="Times New Roman" w:hAnsi="Times New Roman" w:cs="Times New Roman"/>
                <w:sz w:val="20"/>
                <w:szCs w:val="20"/>
              </w:rPr>
            </w:pPr>
            <w:r w:rsidRPr="004203F6">
              <w:rPr>
                <w:rFonts w:ascii="Times New Roman" w:hAnsi="Times New Roman" w:cs="Times New Roman"/>
                <w:sz w:val="20"/>
                <w:szCs w:val="20"/>
              </w:rPr>
              <w:t>Binderholz Fügen sawmill (Jenbach)</w:t>
            </w:r>
          </w:p>
        </w:tc>
        <w:tc>
          <w:tcPr>
            <w:tcW w:w="2268" w:type="dxa"/>
            <w:vAlign w:val="center"/>
          </w:tcPr>
          <w:p w:rsidR="004203F6" w:rsidRPr="004203F6" w:rsidRDefault="004203F6" w:rsidP="00FF599D">
            <w:pPr>
              <w:autoSpaceDE w:val="0"/>
              <w:autoSpaceDN w:val="0"/>
              <w:adjustRightInd w:val="0"/>
              <w:jc w:val="both"/>
              <w:rPr>
                <w:rFonts w:ascii="Times New Roman" w:hAnsi="Times New Roman" w:cs="Times New Roman"/>
                <w:sz w:val="20"/>
                <w:szCs w:val="20"/>
              </w:rPr>
            </w:pPr>
            <w:r w:rsidRPr="004203F6">
              <w:rPr>
                <w:rFonts w:ascii="Times New Roman" w:hAnsi="Times New Roman" w:cs="Times New Roman"/>
                <w:sz w:val="20"/>
                <w:szCs w:val="20"/>
              </w:rPr>
              <w:t>AustroCel Hallein pulp mill</w:t>
            </w:r>
          </w:p>
        </w:tc>
        <w:tc>
          <w:tcPr>
            <w:tcW w:w="1620" w:type="dxa"/>
            <w:vMerge/>
            <w:vAlign w:val="center"/>
          </w:tcPr>
          <w:p w:rsidR="004203F6" w:rsidRPr="004203F6" w:rsidRDefault="004203F6" w:rsidP="00FF599D">
            <w:pPr>
              <w:jc w:val="both"/>
              <w:rPr>
                <w:rFonts w:ascii="Times New Roman" w:hAnsi="Times New Roman" w:cs="Times New Roman"/>
                <w:sz w:val="20"/>
                <w:szCs w:val="20"/>
              </w:rPr>
            </w:pPr>
          </w:p>
        </w:tc>
        <w:tc>
          <w:tcPr>
            <w:tcW w:w="1215" w:type="dxa"/>
            <w:vMerge/>
            <w:vAlign w:val="center"/>
          </w:tcPr>
          <w:p w:rsidR="004203F6" w:rsidRPr="004203F6" w:rsidRDefault="004203F6" w:rsidP="00FF599D">
            <w:pPr>
              <w:jc w:val="both"/>
              <w:rPr>
                <w:rFonts w:ascii="Times New Roman" w:hAnsi="Times New Roman" w:cs="Times New Roman"/>
                <w:sz w:val="20"/>
                <w:szCs w:val="20"/>
              </w:rPr>
            </w:pPr>
          </w:p>
        </w:tc>
        <w:tc>
          <w:tcPr>
            <w:tcW w:w="1554" w:type="dxa"/>
            <w:vAlign w:val="center"/>
          </w:tcPr>
          <w:p w:rsidR="004203F6" w:rsidRPr="004203F6" w:rsidRDefault="004203F6" w:rsidP="00FF599D">
            <w:pPr>
              <w:jc w:val="both"/>
              <w:rPr>
                <w:rFonts w:ascii="Times New Roman" w:hAnsi="Times New Roman" w:cs="Times New Roman"/>
                <w:sz w:val="20"/>
                <w:szCs w:val="20"/>
              </w:rPr>
            </w:pPr>
            <w:r w:rsidRPr="004203F6">
              <w:rPr>
                <w:rFonts w:ascii="Times New Roman" w:hAnsi="Times New Roman" w:cs="Times New Roman"/>
                <w:sz w:val="20"/>
                <w:szCs w:val="20"/>
              </w:rPr>
              <w:t>forklift truck</w:t>
            </w:r>
          </w:p>
        </w:tc>
      </w:tr>
    </w:tbl>
    <w:p w:rsidR="004203F6" w:rsidRPr="00AF4278" w:rsidRDefault="00AF4278" w:rsidP="00AF4278">
      <w:pPr>
        <w:autoSpaceDE w:val="0"/>
        <w:autoSpaceDN w:val="0"/>
        <w:adjustRightInd w:val="0"/>
        <w:jc w:val="right"/>
        <w:rPr>
          <w:rFonts w:cstheme="minorHAnsi"/>
          <w:sz w:val="20"/>
          <w:szCs w:val="20"/>
          <w:lang w:val="cs-CZ"/>
        </w:rPr>
      </w:pPr>
      <w:r w:rsidRPr="00AF4278">
        <w:rPr>
          <w:rFonts w:cstheme="minorHAnsi"/>
          <w:sz w:val="20"/>
          <w:szCs w:val="20"/>
        </w:rPr>
        <w:t>Source</w:t>
      </w:r>
      <w:r w:rsidRPr="00AF4278">
        <w:rPr>
          <w:rFonts w:cstheme="minorHAnsi"/>
          <w:sz w:val="20"/>
          <w:szCs w:val="20"/>
          <w:lang w:val="cs-CZ"/>
        </w:rPr>
        <w:t xml:space="preserve">: </w:t>
      </w:r>
      <w:r w:rsidRPr="00AF4278">
        <w:rPr>
          <w:sz w:val="20"/>
          <w:szCs w:val="20"/>
        </w:rPr>
        <w:t xml:space="preserve">authors based on </w:t>
      </w:r>
      <w:r w:rsidRPr="00AF4278">
        <w:rPr>
          <w:rFonts w:cstheme="minorHAnsi"/>
          <w:sz w:val="20"/>
          <w:szCs w:val="20"/>
        </w:rPr>
        <w:t xml:space="preserve">[3, </w:t>
      </w:r>
      <w:r>
        <w:rPr>
          <w:rFonts w:cstheme="minorHAnsi"/>
          <w:sz w:val="20"/>
          <w:szCs w:val="20"/>
        </w:rPr>
        <w:t>8, 9</w:t>
      </w:r>
      <w:r w:rsidRPr="00AF4278">
        <w:rPr>
          <w:rFonts w:cstheme="minorHAnsi"/>
          <w:sz w:val="20"/>
          <w:szCs w:val="20"/>
        </w:rPr>
        <w:t>]</w:t>
      </w:r>
    </w:p>
    <w:p w:rsidR="00AF4278" w:rsidRDefault="00AF4278" w:rsidP="004203F6">
      <w:pPr>
        <w:autoSpaceDE w:val="0"/>
        <w:autoSpaceDN w:val="0"/>
        <w:adjustRightInd w:val="0"/>
        <w:jc w:val="both"/>
        <w:rPr>
          <w:rFonts w:cstheme="minorHAnsi"/>
        </w:rPr>
      </w:pPr>
    </w:p>
    <w:p w:rsidR="004203F6" w:rsidRPr="003211A0" w:rsidRDefault="004203F6" w:rsidP="003211A0">
      <w:pPr>
        <w:ind w:firstLine="567"/>
        <w:jc w:val="both"/>
        <w:rPr>
          <w:sz w:val="20"/>
          <w:szCs w:val="20"/>
        </w:rPr>
      </w:pPr>
      <w:r w:rsidRPr="003211A0">
        <w:rPr>
          <w:sz w:val="20"/>
          <w:szCs w:val="20"/>
        </w:rPr>
        <w:t>Approximately 107.5 million tonnes of goods are transporte</w:t>
      </w:r>
      <w:r w:rsidR="00AF4278">
        <w:rPr>
          <w:sz w:val="20"/>
          <w:szCs w:val="20"/>
        </w:rPr>
        <w:t>d by rail in Austria every year</w:t>
      </w:r>
      <w:r w:rsidRPr="003211A0">
        <w:rPr>
          <w:sz w:val="20"/>
          <w:szCs w:val="20"/>
        </w:rPr>
        <w:t xml:space="preserve">. Approximately 1.9 million tonnes of goods are transported using IFs, which represents about 2% </w:t>
      </w:r>
      <w:r w:rsidR="00AF4278">
        <w:rPr>
          <w:sz w:val="20"/>
          <w:szCs w:val="20"/>
        </w:rPr>
        <w:t>[10]</w:t>
      </w:r>
      <w:r w:rsidRPr="003211A0">
        <w:rPr>
          <w:sz w:val="20"/>
          <w:szCs w:val="20"/>
        </w:rPr>
        <w:t xml:space="preserve">. Wood chips for Austrian paper mills account for the greatest part of IF transport; specifically for 44%. Coke with hard coal represent 42% and energy gypsum has a share of 14% </w:t>
      </w:r>
      <w:r w:rsidR="00AF4278">
        <w:rPr>
          <w:sz w:val="20"/>
          <w:szCs w:val="20"/>
        </w:rPr>
        <w:t>[11]</w:t>
      </w:r>
      <w:r w:rsidRPr="003211A0">
        <w:rPr>
          <w:sz w:val="20"/>
          <w:szCs w:val="20"/>
        </w:rPr>
        <w:t>.</w:t>
      </w:r>
    </w:p>
    <w:p w:rsidR="004203F6" w:rsidRDefault="004203F6" w:rsidP="001F3B24">
      <w:pPr>
        <w:widowControl w:val="0"/>
        <w:jc w:val="both"/>
        <w:rPr>
          <w:sz w:val="20"/>
        </w:rPr>
      </w:pPr>
    </w:p>
    <w:p w:rsidR="00FC4B6F" w:rsidRPr="004203F6" w:rsidRDefault="00FC4B6F" w:rsidP="00A963E8">
      <w:pPr>
        <w:pStyle w:val="Body"/>
        <w:widowControl w:val="0"/>
        <w:spacing w:after="0"/>
        <w:contextualSpacing/>
        <w:rPr>
          <w:rFonts w:ascii="Times New Roman" w:hAnsi="Times New Roman"/>
          <w:b/>
        </w:rPr>
      </w:pPr>
      <w:r>
        <w:rPr>
          <w:rFonts w:ascii="Times New Roman" w:hAnsi="Times New Roman"/>
          <w:b/>
        </w:rPr>
        <w:t>2.2 Slovakia</w:t>
      </w:r>
    </w:p>
    <w:p w:rsidR="00FC4B6F" w:rsidRDefault="00FC4B6F" w:rsidP="00FC4B6F">
      <w:pPr>
        <w:ind w:firstLine="567"/>
        <w:jc w:val="both"/>
        <w:rPr>
          <w:sz w:val="20"/>
          <w:szCs w:val="20"/>
        </w:rPr>
      </w:pPr>
      <w:r w:rsidRPr="00FC4B6F">
        <w:rPr>
          <w:sz w:val="20"/>
          <w:szCs w:val="20"/>
        </w:rPr>
        <w:t xml:space="preserve">The IF transport system is common in Slovakia as well. Unfortunately the share of this transport is relatively low compared to other European countries. There are currently only four transportation chains involving IFs. Wood chips have been transported in the IF transport system for the longest time. All transport operations are carried out using block trains. As for the volume of goods transported, the most extensive in Slovakia is the transport of wood chips to Austrian pulp mills (Sappi and Gratkorn) from the Slovak stations Liptovský Hrádok and Tomášovce. Approximately 200 thousand tonnes of wood chips are transported to these customers every year. The IF system has recently been introduced for the transport of wood chips for the Mondi paper mill (Ružomberok) from Ukraine as well. However, wood chips are only partially transported in IFs from the Čierna nad Tisou frontier gauge changeover station. From the Zemianské Kostoľany thermal power plant, energy gypsum used for the production of gypsum boards is transported to the building material producer Knauf (Weißenbach bei Liezen). The annual volume of approximately 60 thousand tonnes is relatively low as Knauf imports this desulphurisation product from multiple locations in Europe. Since 2010, IFs have been used for the sugar beet campaign of the Sereď sugar beet mill every year. Sugar beet is transported from sugar beet growing locations in western Slovakia (e.g. Želiezovce, Kalná nad Hronom or Skalica). Approximately 41 thousand tonnes of sugar beet are transported every year, with the transport volume depending on the harvest in the given year. In 2016, there were </w:t>
      </w:r>
      <w:r w:rsidRPr="00FC4B6F">
        <w:rPr>
          <w:sz w:val="20"/>
          <w:szCs w:val="20"/>
        </w:rPr>
        <w:lastRenderedPageBreak/>
        <w:t xml:space="preserve">several test transport operations involving the transportation of iron ore concentrate from Kremikovtsi, Bulgaria to the U.S. Steel Košice ironworks. At the beginning of 2019, test transport took place involving the transportation of iron ore from the Polish port Świnoujście. </w:t>
      </w:r>
    </w:p>
    <w:p w:rsidR="00FC4B6F" w:rsidRPr="00FC4B6F" w:rsidRDefault="00FC4B6F" w:rsidP="00FC4B6F">
      <w:pPr>
        <w:ind w:firstLine="567"/>
        <w:jc w:val="both"/>
        <w:rPr>
          <w:sz w:val="20"/>
          <w:szCs w:val="20"/>
        </w:rPr>
      </w:pPr>
    </w:p>
    <w:p w:rsidR="00FC4B6F" w:rsidRDefault="00FC4B6F" w:rsidP="00FC4B6F">
      <w:pPr>
        <w:widowControl w:val="0"/>
        <w:ind w:right="1984" w:firstLine="720"/>
        <w:jc w:val="right"/>
        <w:rPr>
          <w:sz w:val="20"/>
        </w:rPr>
      </w:pPr>
      <w:r>
        <w:rPr>
          <w:sz w:val="20"/>
        </w:rPr>
        <w:t xml:space="preserve">Table </w:t>
      </w:r>
      <w:r w:rsidR="00AF4278">
        <w:rPr>
          <w:sz w:val="20"/>
        </w:rPr>
        <w:t>2</w:t>
      </w:r>
    </w:p>
    <w:p w:rsidR="00FC4B6F" w:rsidRPr="00ED5FBC" w:rsidRDefault="00FC4B6F" w:rsidP="00FC4B6F">
      <w:pPr>
        <w:jc w:val="center"/>
        <w:rPr>
          <w:rFonts w:cstheme="minorHAnsi"/>
        </w:rPr>
      </w:pPr>
      <w:r w:rsidRPr="00FC4B6F">
        <w:rPr>
          <w:rFonts w:cstheme="minorHAnsi"/>
          <w:sz w:val="20"/>
          <w:szCs w:val="20"/>
        </w:rPr>
        <w:t>Transportation chains involving the transport of Innofreight containers in Slovakia</w:t>
      </w:r>
    </w:p>
    <w:tbl>
      <w:tblPr>
        <w:tblStyle w:val="Mkatabulky"/>
        <w:tblW w:w="0" w:type="auto"/>
        <w:jc w:val="center"/>
        <w:tblLook w:val="04A0" w:firstRow="1" w:lastRow="0" w:firstColumn="1" w:lastColumn="0" w:noHBand="0" w:noVBand="1"/>
      </w:tblPr>
      <w:tblGrid>
        <w:gridCol w:w="2405"/>
        <w:gridCol w:w="2466"/>
        <w:gridCol w:w="1779"/>
        <w:gridCol w:w="939"/>
        <w:gridCol w:w="1473"/>
      </w:tblGrid>
      <w:tr w:rsidR="00FC4B6F" w:rsidRPr="00FC4B6F" w:rsidTr="00FC4B6F">
        <w:trPr>
          <w:jc w:val="center"/>
        </w:trPr>
        <w:tc>
          <w:tcPr>
            <w:tcW w:w="2405" w:type="dxa"/>
            <w:vAlign w:val="center"/>
          </w:tcPr>
          <w:p w:rsidR="00FC4B6F" w:rsidRPr="00FC4B6F" w:rsidRDefault="00FC4B6F" w:rsidP="00FF599D">
            <w:pPr>
              <w:jc w:val="both"/>
              <w:rPr>
                <w:rFonts w:ascii="Times New Roman" w:hAnsi="Times New Roman" w:cs="Times New Roman"/>
                <w:sz w:val="20"/>
                <w:szCs w:val="20"/>
              </w:rPr>
            </w:pPr>
            <w:r w:rsidRPr="00FC4B6F">
              <w:rPr>
                <w:rFonts w:ascii="Times New Roman" w:hAnsi="Times New Roman" w:cs="Times New Roman"/>
                <w:sz w:val="20"/>
                <w:szCs w:val="20"/>
              </w:rPr>
              <w:t>Loading location</w:t>
            </w:r>
          </w:p>
        </w:tc>
        <w:tc>
          <w:tcPr>
            <w:tcW w:w="2466" w:type="dxa"/>
            <w:vAlign w:val="center"/>
          </w:tcPr>
          <w:p w:rsidR="00FC4B6F" w:rsidRPr="00FC4B6F" w:rsidRDefault="00FC4B6F" w:rsidP="00FF599D">
            <w:pPr>
              <w:jc w:val="both"/>
              <w:rPr>
                <w:rFonts w:ascii="Times New Roman" w:hAnsi="Times New Roman" w:cs="Times New Roman"/>
                <w:sz w:val="20"/>
                <w:szCs w:val="20"/>
              </w:rPr>
            </w:pPr>
            <w:r w:rsidRPr="00FC4B6F">
              <w:rPr>
                <w:rFonts w:ascii="Times New Roman" w:hAnsi="Times New Roman" w:cs="Times New Roman"/>
                <w:sz w:val="20"/>
                <w:szCs w:val="20"/>
              </w:rPr>
              <w:t>Loading location</w:t>
            </w:r>
          </w:p>
        </w:tc>
        <w:tc>
          <w:tcPr>
            <w:tcW w:w="1779" w:type="dxa"/>
            <w:vAlign w:val="center"/>
          </w:tcPr>
          <w:p w:rsidR="00FC4B6F" w:rsidRPr="00FC4B6F" w:rsidRDefault="00FC4B6F" w:rsidP="00FF599D">
            <w:pPr>
              <w:jc w:val="both"/>
              <w:rPr>
                <w:rFonts w:ascii="Times New Roman" w:hAnsi="Times New Roman" w:cs="Times New Roman"/>
                <w:sz w:val="20"/>
                <w:szCs w:val="20"/>
              </w:rPr>
            </w:pPr>
            <w:r w:rsidRPr="00FC4B6F">
              <w:rPr>
                <w:rFonts w:ascii="Times New Roman" w:hAnsi="Times New Roman" w:cs="Times New Roman"/>
                <w:sz w:val="20"/>
                <w:szCs w:val="20"/>
              </w:rPr>
              <w:t>Bulk material transported</w:t>
            </w:r>
          </w:p>
        </w:tc>
        <w:tc>
          <w:tcPr>
            <w:tcW w:w="939" w:type="dxa"/>
            <w:vAlign w:val="center"/>
          </w:tcPr>
          <w:p w:rsidR="00FC4B6F" w:rsidRPr="00FC4B6F" w:rsidRDefault="00FC4B6F" w:rsidP="00FF599D">
            <w:pPr>
              <w:jc w:val="both"/>
              <w:rPr>
                <w:rFonts w:ascii="Times New Roman" w:hAnsi="Times New Roman" w:cs="Times New Roman"/>
                <w:sz w:val="20"/>
                <w:szCs w:val="20"/>
              </w:rPr>
            </w:pPr>
            <w:r w:rsidRPr="00FC4B6F">
              <w:rPr>
                <w:rFonts w:ascii="Times New Roman" w:hAnsi="Times New Roman" w:cs="Times New Roman"/>
                <w:sz w:val="20"/>
                <w:szCs w:val="20"/>
              </w:rPr>
              <w:t>IF type</w:t>
            </w:r>
          </w:p>
        </w:tc>
        <w:tc>
          <w:tcPr>
            <w:tcW w:w="1473" w:type="dxa"/>
            <w:vAlign w:val="center"/>
          </w:tcPr>
          <w:p w:rsidR="00FC4B6F" w:rsidRPr="00FC4B6F" w:rsidRDefault="00FC4B6F" w:rsidP="00FF599D">
            <w:pPr>
              <w:jc w:val="both"/>
              <w:rPr>
                <w:rFonts w:ascii="Times New Roman" w:hAnsi="Times New Roman" w:cs="Times New Roman"/>
                <w:sz w:val="20"/>
                <w:szCs w:val="20"/>
              </w:rPr>
            </w:pPr>
            <w:r w:rsidRPr="00FC4B6F">
              <w:rPr>
                <w:rFonts w:ascii="Times New Roman" w:hAnsi="Times New Roman" w:cs="Times New Roman"/>
                <w:sz w:val="20"/>
                <w:szCs w:val="20"/>
              </w:rPr>
              <w:t>Method of unloading</w:t>
            </w:r>
          </w:p>
        </w:tc>
      </w:tr>
      <w:tr w:rsidR="00FC4B6F" w:rsidRPr="00FC4B6F" w:rsidTr="00FC4B6F">
        <w:trPr>
          <w:jc w:val="center"/>
        </w:trPr>
        <w:tc>
          <w:tcPr>
            <w:tcW w:w="2405" w:type="dxa"/>
            <w:vAlign w:val="center"/>
          </w:tcPr>
          <w:p w:rsidR="00FC4B6F" w:rsidRPr="00FC4B6F" w:rsidRDefault="00FC4B6F" w:rsidP="00FF599D">
            <w:pPr>
              <w:jc w:val="both"/>
              <w:rPr>
                <w:rFonts w:ascii="Times New Roman" w:hAnsi="Times New Roman" w:cs="Times New Roman"/>
                <w:sz w:val="20"/>
                <w:szCs w:val="20"/>
              </w:rPr>
            </w:pPr>
            <w:r w:rsidRPr="00FC4B6F">
              <w:rPr>
                <w:rFonts w:ascii="Times New Roman" w:hAnsi="Times New Roman" w:cs="Times New Roman"/>
                <w:sz w:val="20"/>
                <w:szCs w:val="20"/>
              </w:rPr>
              <w:t>Loading locations network in Slovakia</w:t>
            </w:r>
          </w:p>
        </w:tc>
        <w:tc>
          <w:tcPr>
            <w:tcW w:w="2466" w:type="dxa"/>
            <w:vAlign w:val="center"/>
          </w:tcPr>
          <w:p w:rsidR="00FC4B6F" w:rsidRPr="00FC4B6F" w:rsidRDefault="00FC4B6F" w:rsidP="00FF599D">
            <w:pPr>
              <w:jc w:val="both"/>
              <w:rPr>
                <w:rFonts w:ascii="Times New Roman" w:hAnsi="Times New Roman" w:cs="Times New Roman"/>
                <w:sz w:val="20"/>
                <w:szCs w:val="20"/>
              </w:rPr>
            </w:pPr>
            <w:r w:rsidRPr="00FC4B6F">
              <w:rPr>
                <w:rFonts w:ascii="Times New Roman" w:hAnsi="Times New Roman" w:cs="Times New Roman"/>
                <w:sz w:val="20"/>
                <w:szCs w:val="20"/>
              </w:rPr>
              <w:t xml:space="preserve">Agrana Sereď sugar beet mill </w:t>
            </w:r>
          </w:p>
        </w:tc>
        <w:tc>
          <w:tcPr>
            <w:tcW w:w="1779" w:type="dxa"/>
            <w:vAlign w:val="center"/>
          </w:tcPr>
          <w:p w:rsidR="00FC4B6F" w:rsidRPr="00FC4B6F" w:rsidRDefault="00FC4B6F" w:rsidP="00FF599D">
            <w:pPr>
              <w:jc w:val="both"/>
              <w:rPr>
                <w:rFonts w:ascii="Times New Roman" w:hAnsi="Times New Roman" w:cs="Times New Roman"/>
                <w:sz w:val="20"/>
                <w:szCs w:val="20"/>
              </w:rPr>
            </w:pPr>
            <w:r w:rsidRPr="00FC4B6F">
              <w:rPr>
                <w:rFonts w:ascii="Times New Roman" w:hAnsi="Times New Roman" w:cs="Times New Roman"/>
                <w:sz w:val="20"/>
                <w:szCs w:val="20"/>
              </w:rPr>
              <w:t>sugar beet</w:t>
            </w:r>
          </w:p>
        </w:tc>
        <w:tc>
          <w:tcPr>
            <w:tcW w:w="939" w:type="dxa"/>
            <w:vAlign w:val="center"/>
          </w:tcPr>
          <w:p w:rsidR="00FC4B6F" w:rsidRPr="00FC4B6F" w:rsidRDefault="00FC4B6F" w:rsidP="00FF599D">
            <w:pPr>
              <w:jc w:val="both"/>
              <w:rPr>
                <w:rFonts w:ascii="Times New Roman" w:hAnsi="Times New Roman" w:cs="Times New Roman"/>
                <w:sz w:val="20"/>
                <w:szCs w:val="20"/>
              </w:rPr>
            </w:pPr>
            <w:r w:rsidRPr="00FC4B6F">
              <w:rPr>
                <w:rFonts w:ascii="Times New Roman" w:hAnsi="Times New Roman" w:cs="Times New Roman"/>
                <w:sz w:val="20"/>
                <w:szCs w:val="20"/>
              </w:rPr>
              <w:t>IF XXL</w:t>
            </w:r>
          </w:p>
        </w:tc>
        <w:tc>
          <w:tcPr>
            <w:tcW w:w="1473" w:type="dxa"/>
            <w:vAlign w:val="center"/>
          </w:tcPr>
          <w:p w:rsidR="00FC4B6F" w:rsidRPr="00FC4B6F" w:rsidRDefault="00FC4B6F" w:rsidP="00FF599D">
            <w:pPr>
              <w:jc w:val="both"/>
              <w:rPr>
                <w:rFonts w:ascii="Times New Roman" w:hAnsi="Times New Roman" w:cs="Times New Roman"/>
                <w:sz w:val="20"/>
                <w:szCs w:val="20"/>
              </w:rPr>
            </w:pPr>
            <w:r w:rsidRPr="00FC4B6F">
              <w:rPr>
                <w:rFonts w:ascii="Times New Roman" w:hAnsi="Times New Roman" w:cs="Times New Roman"/>
                <w:sz w:val="20"/>
                <w:szCs w:val="20"/>
              </w:rPr>
              <w:t>forklift truck</w:t>
            </w:r>
          </w:p>
        </w:tc>
      </w:tr>
      <w:tr w:rsidR="00FC4B6F" w:rsidRPr="00FC4B6F" w:rsidTr="00FC4B6F">
        <w:trPr>
          <w:jc w:val="center"/>
        </w:trPr>
        <w:tc>
          <w:tcPr>
            <w:tcW w:w="2405" w:type="dxa"/>
            <w:vAlign w:val="center"/>
          </w:tcPr>
          <w:p w:rsidR="00FC4B6F" w:rsidRPr="00FC4B6F" w:rsidRDefault="00FC4B6F" w:rsidP="00FF599D">
            <w:pPr>
              <w:jc w:val="both"/>
              <w:rPr>
                <w:rFonts w:ascii="Times New Roman" w:hAnsi="Times New Roman" w:cs="Times New Roman"/>
                <w:sz w:val="20"/>
                <w:szCs w:val="20"/>
              </w:rPr>
            </w:pPr>
            <w:r w:rsidRPr="00FC4B6F">
              <w:rPr>
                <w:rFonts w:ascii="Times New Roman" w:hAnsi="Times New Roman" w:cs="Times New Roman"/>
                <w:sz w:val="20"/>
                <w:szCs w:val="20"/>
              </w:rPr>
              <w:t>Rettenmeier Tatra Timber sawmill (Liptovský Hrádok)</w:t>
            </w:r>
          </w:p>
        </w:tc>
        <w:tc>
          <w:tcPr>
            <w:tcW w:w="2466" w:type="dxa"/>
            <w:vMerge w:val="restart"/>
            <w:vAlign w:val="center"/>
          </w:tcPr>
          <w:p w:rsidR="00FC4B6F" w:rsidRPr="00FC4B6F" w:rsidRDefault="00FC4B6F" w:rsidP="00FF599D">
            <w:pPr>
              <w:jc w:val="both"/>
              <w:rPr>
                <w:rFonts w:ascii="Times New Roman" w:hAnsi="Times New Roman" w:cs="Times New Roman"/>
                <w:sz w:val="20"/>
                <w:szCs w:val="20"/>
              </w:rPr>
            </w:pPr>
            <w:r w:rsidRPr="00FC4B6F">
              <w:rPr>
                <w:rFonts w:ascii="Times New Roman" w:hAnsi="Times New Roman" w:cs="Times New Roman"/>
                <w:sz w:val="20"/>
                <w:szCs w:val="20"/>
              </w:rPr>
              <w:t>Sappi paper mill (Gratwein-Gratkorn) (A)</w:t>
            </w:r>
          </w:p>
        </w:tc>
        <w:tc>
          <w:tcPr>
            <w:tcW w:w="1779" w:type="dxa"/>
            <w:vMerge w:val="restart"/>
            <w:vAlign w:val="center"/>
          </w:tcPr>
          <w:p w:rsidR="00FC4B6F" w:rsidRPr="00FC4B6F" w:rsidRDefault="00FC4B6F" w:rsidP="00FF599D">
            <w:pPr>
              <w:jc w:val="both"/>
              <w:rPr>
                <w:rFonts w:ascii="Times New Roman" w:hAnsi="Times New Roman" w:cs="Times New Roman"/>
                <w:sz w:val="20"/>
                <w:szCs w:val="20"/>
              </w:rPr>
            </w:pPr>
            <w:r w:rsidRPr="00FC4B6F">
              <w:rPr>
                <w:rFonts w:ascii="Times New Roman" w:hAnsi="Times New Roman" w:cs="Times New Roman"/>
                <w:sz w:val="20"/>
                <w:szCs w:val="20"/>
              </w:rPr>
              <w:t xml:space="preserve">wood chips </w:t>
            </w:r>
          </w:p>
        </w:tc>
        <w:tc>
          <w:tcPr>
            <w:tcW w:w="939" w:type="dxa"/>
            <w:vMerge w:val="restart"/>
            <w:vAlign w:val="center"/>
          </w:tcPr>
          <w:p w:rsidR="00FC4B6F" w:rsidRPr="00FC4B6F" w:rsidRDefault="00FC4B6F" w:rsidP="00FF599D">
            <w:pPr>
              <w:jc w:val="both"/>
              <w:rPr>
                <w:rFonts w:ascii="Times New Roman" w:hAnsi="Times New Roman" w:cs="Times New Roman"/>
                <w:sz w:val="20"/>
                <w:szCs w:val="20"/>
              </w:rPr>
            </w:pPr>
          </w:p>
          <w:p w:rsidR="00FC4B6F" w:rsidRPr="00FC4B6F" w:rsidRDefault="00FC4B6F" w:rsidP="00FF599D">
            <w:pPr>
              <w:jc w:val="both"/>
              <w:rPr>
                <w:rFonts w:ascii="Times New Roman" w:hAnsi="Times New Roman" w:cs="Times New Roman"/>
                <w:sz w:val="20"/>
                <w:szCs w:val="20"/>
              </w:rPr>
            </w:pPr>
            <w:r w:rsidRPr="00FC4B6F">
              <w:rPr>
                <w:rFonts w:ascii="Times New Roman" w:hAnsi="Times New Roman" w:cs="Times New Roman"/>
                <w:sz w:val="20"/>
                <w:szCs w:val="20"/>
              </w:rPr>
              <w:t>IF XXL</w:t>
            </w:r>
          </w:p>
        </w:tc>
        <w:tc>
          <w:tcPr>
            <w:tcW w:w="1473" w:type="dxa"/>
            <w:vMerge w:val="restart"/>
            <w:vAlign w:val="center"/>
          </w:tcPr>
          <w:p w:rsidR="00FC4B6F" w:rsidRPr="00FC4B6F" w:rsidRDefault="00FC4B6F" w:rsidP="00FF599D">
            <w:pPr>
              <w:jc w:val="both"/>
              <w:rPr>
                <w:rFonts w:ascii="Times New Roman" w:hAnsi="Times New Roman" w:cs="Times New Roman"/>
                <w:sz w:val="20"/>
                <w:szCs w:val="20"/>
              </w:rPr>
            </w:pPr>
            <w:r w:rsidRPr="00FC4B6F">
              <w:rPr>
                <w:rFonts w:ascii="Times New Roman" w:hAnsi="Times New Roman" w:cs="Times New Roman"/>
                <w:sz w:val="20"/>
                <w:szCs w:val="20"/>
              </w:rPr>
              <w:t>forklift truck</w:t>
            </w:r>
          </w:p>
        </w:tc>
      </w:tr>
      <w:tr w:rsidR="00FC4B6F" w:rsidRPr="00FC4B6F" w:rsidTr="00FC4B6F">
        <w:trPr>
          <w:jc w:val="center"/>
        </w:trPr>
        <w:tc>
          <w:tcPr>
            <w:tcW w:w="2405" w:type="dxa"/>
            <w:vAlign w:val="center"/>
          </w:tcPr>
          <w:p w:rsidR="00FC4B6F" w:rsidRPr="00FC4B6F" w:rsidRDefault="00FC4B6F" w:rsidP="00FF599D">
            <w:pPr>
              <w:jc w:val="both"/>
              <w:rPr>
                <w:rFonts w:ascii="Times New Roman" w:hAnsi="Times New Roman" w:cs="Times New Roman"/>
                <w:sz w:val="20"/>
                <w:szCs w:val="20"/>
              </w:rPr>
            </w:pPr>
            <w:r w:rsidRPr="00FC4B6F">
              <w:rPr>
                <w:rFonts w:ascii="Times New Roman" w:hAnsi="Times New Roman" w:cs="Times New Roman"/>
                <w:sz w:val="20"/>
                <w:szCs w:val="20"/>
              </w:rPr>
              <w:t xml:space="preserve">PRP sawmill (Tomášovce) </w:t>
            </w:r>
          </w:p>
        </w:tc>
        <w:tc>
          <w:tcPr>
            <w:tcW w:w="2466" w:type="dxa"/>
            <w:vMerge/>
            <w:vAlign w:val="center"/>
          </w:tcPr>
          <w:p w:rsidR="00FC4B6F" w:rsidRPr="00FC4B6F" w:rsidRDefault="00FC4B6F" w:rsidP="00FF599D">
            <w:pPr>
              <w:jc w:val="both"/>
              <w:rPr>
                <w:rFonts w:ascii="Times New Roman" w:hAnsi="Times New Roman" w:cs="Times New Roman"/>
                <w:sz w:val="20"/>
                <w:szCs w:val="20"/>
              </w:rPr>
            </w:pPr>
          </w:p>
        </w:tc>
        <w:tc>
          <w:tcPr>
            <w:tcW w:w="1779" w:type="dxa"/>
            <w:vMerge/>
            <w:vAlign w:val="center"/>
          </w:tcPr>
          <w:p w:rsidR="00FC4B6F" w:rsidRPr="00FC4B6F" w:rsidRDefault="00FC4B6F" w:rsidP="00FF599D">
            <w:pPr>
              <w:jc w:val="both"/>
              <w:rPr>
                <w:rFonts w:ascii="Times New Roman" w:hAnsi="Times New Roman" w:cs="Times New Roman"/>
                <w:sz w:val="20"/>
                <w:szCs w:val="20"/>
              </w:rPr>
            </w:pPr>
          </w:p>
        </w:tc>
        <w:tc>
          <w:tcPr>
            <w:tcW w:w="939" w:type="dxa"/>
            <w:vMerge/>
            <w:vAlign w:val="center"/>
          </w:tcPr>
          <w:p w:rsidR="00FC4B6F" w:rsidRPr="00FC4B6F" w:rsidRDefault="00FC4B6F" w:rsidP="00FF599D">
            <w:pPr>
              <w:jc w:val="both"/>
              <w:rPr>
                <w:rFonts w:ascii="Times New Roman" w:hAnsi="Times New Roman" w:cs="Times New Roman"/>
                <w:sz w:val="20"/>
                <w:szCs w:val="20"/>
              </w:rPr>
            </w:pPr>
          </w:p>
        </w:tc>
        <w:tc>
          <w:tcPr>
            <w:tcW w:w="1473" w:type="dxa"/>
            <w:vMerge/>
            <w:vAlign w:val="center"/>
          </w:tcPr>
          <w:p w:rsidR="00FC4B6F" w:rsidRPr="00FC4B6F" w:rsidRDefault="00FC4B6F" w:rsidP="00FF599D">
            <w:pPr>
              <w:jc w:val="both"/>
              <w:rPr>
                <w:rFonts w:ascii="Times New Roman" w:hAnsi="Times New Roman" w:cs="Times New Roman"/>
                <w:sz w:val="20"/>
                <w:szCs w:val="20"/>
              </w:rPr>
            </w:pPr>
          </w:p>
        </w:tc>
      </w:tr>
      <w:tr w:rsidR="00FC4B6F" w:rsidRPr="00FC4B6F" w:rsidTr="00FC4B6F">
        <w:trPr>
          <w:jc w:val="center"/>
        </w:trPr>
        <w:tc>
          <w:tcPr>
            <w:tcW w:w="2405" w:type="dxa"/>
            <w:vAlign w:val="center"/>
          </w:tcPr>
          <w:p w:rsidR="00FC4B6F" w:rsidRPr="00FC4B6F" w:rsidRDefault="00FC4B6F" w:rsidP="00FF599D">
            <w:pPr>
              <w:jc w:val="both"/>
              <w:rPr>
                <w:rFonts w:ascii="Times New Roman" w:hAnsi="Times New Roman" w:cs="Times New Roman"/>
                <w:sz w:val="20"/>
                <w:szCs w:val="20"/>
              </w:rPr>
            </w:pPr>
            <w:r w:rsidRPr="00FC4B6F">
              <w:rPr>
                <w:rFonts w:ascii="Times New Roman" w:hAnsi="Times New Roman" w:cs="Times New Roman"/>
                <w:sz w:val="20"/>
                <w:szCs w:val="20"/>
              </w:rPr>
              <w:t>Zemianske Kostoľany power plant</w:t>
            </w:r>
          </w:p>
        </w:tc>
        <w:tc>
          <w:tcPr>
            <w:tcW w:w="2466" w:type="dxa"/>
            <w:vAlign w:val="center"/>
          </w:tcPr>
          <w:p w:rsidR="00FC4B6F" w:rsidRPr="00FC4B6F" w:rsidRDefault="00FC4B6F" w:rsidP="00FF599D">
            <w:pPr>
              <w:jc w:val="both"/>
              <w:rPr>
                <w:rFonts w:ascii="Times New Roman" w:hAnsi="Times New Roman" w:cs="Times New Roman"/>
                <w:sz w:val="20"/>
                <w:szCs w:val="20"/>
              </w:rPr>
            </w:pPr>
            <w:r w:rsidRPr="00FC4B6F">
              <w:rPr>
                <w:rFonts w:ascii="Times New Roman" w:hAnsi="Times New Roman" w:cs="Times New Roman"/>
                <w:sz w:val="20"/>
                <w:szCs w:val="20"/>
              </w:rPr>
              <w:t>Knauf Weißenbach bei Liezen (Selzthal) (A)</w:t>
            </w:r>
          </w:p>
        </w:tc>
        <w:tc>
          <w:tcPr>
            <w:tcW w:w="1779" w:type="dxa"/>
            <w:vAlign w:val="center"/>
          </w:tcPr>
          <w:p w:rsidR="00FC4B6F" w:rsidRPr="00FC4B6F" w:rsidRDefault="00FC4B6F" w:rsidP="00FF599D">
            <w:pPr>
              <w:jc w:val="both"/>
              <w:rPr>
                <w:rFonts w:ascii="Times New Roman" w:hAnsi="Times New Roman" w:cs="Times New Roman"/>
                <w:sz w:val="20"/>
                <w:szCs w:val="20"/>
              </w:rPr>
            </w:pPr>
            <w:r w:rsidRPr="00FC4B6F">
              <w:rPr>
                <w:rFonts w:ascii="Times New Roman" w:hAnsi="Times New Roman" w:cs="Times New Roman"/>
                <w:sz w:val="20"/>
                <w:szCs w:val="20"/>
              </w:rPr>
              <w:t>energy gypsum</w:t>
            </w:r>
          </w:p>
        </w:tc>
        <w:tc>
          <w:tcPr>
            <w:tcW w:w="939" w:type="dxa"/>
            <w:vAlign w:val="center"/>
          </w:tcPr>
          <w:p w:rsidR="00FC4B6F" w:rsidRPr="00FC4B6F" w:rsidRDefault="00FC4B6F" w:rsidP="00FF599D">
            <w:pPr>
              <w:jc w:val="both"/>
              <w:rPr>
                <w:rFonts w:ascii="Times New Roman" w:hAnsi="Times New Roman" w:cs="Times New Roman"/>
                <w:sz w:val="20"/>
                <w:szCs w:val="20"/>
              </w:rPr>
            </w:pPr>
            <w:r w:rsidRPr="00FC4B6F">
              <w:rPr>
                <w:rFonts w:ascii="Times New Roman" w:hAnsi="Times New Roman" w:cs="Times New Roman"/>
                <w:sz w:val="20"/>
                <w:szCs w:val="20"/>
              </w:rPr>
              <w:t>IF XXM</w:t>
            </w:r>
          </w:p>
        </w:tc>
        <w:tc>
          <w:tcPr>
            <w:tcW w:w="1473" w:type="dxa"/>
            <w:vAlign w:val="center"/>
          </w:tcPr>
          <w:p w:rsidR="00FC4B6F" w:rsidRPr="00FC4B6F" w:rsidRDefault="00FC4B6F" w:rsidP="00FF599D">
            <w:pPr>
              <w:jc w:val="both"/>
              <w:rPr>
                <w:rFonts w:ascii="Times New Roman" w:hAnsi="Times New Roman" w:cs="Times New Roman"/>
                <w:sz w:val="20"/>
                <w:szCs w:val="20"/>
              </w:rPr>
            </w:pPr>
            <w:r w:rsidRPr="00FC4B6F">
              <w:rPr>
                <w:rFonts w:ascii="Times New Roman" w:hAnsi="Times New Roman" w:cs="Times New Roman"/>
                <w:sz w:val="20"/>
                <w:szCs w:val="20"/>
              </w:rPr>
              <w:t>forklift truck</w:t>
            </w:r>
          </w:p>
        </w:tc>
      </w:tr>
      <w:tr w:rsidR="00FC4B6F" w:rsidRPr="00FC4B6F" w:rsidTr="00FC4B6F">
        <w:trPr>
          <w:jc w:val="center"/>
        </w:trPr>
        <w:tc>
          <w:tcPr>
            <w:tcW w:w="2405" w:type="dxa"/>
            <w:vAlign w:val="center"/>
          </w:tcPr>
          <w:p w:rsidR="00FC4B6F" w:rsidRPr="00FC4B6F" w:rsidRDefault="00FC4B6F" w:rsidP="00FF599D">
            <w:pPr>
              <w:jc w:val="both"/>
              <w:rPr>
                <w:rFonts w:ascii="Times New Roman" w:hAnsi="Times New Roman" w:cs="Times New Roman"/>
                <w:sz w:val="20"/>
                <w:szCs w:val="20"/>
              </w:rPr>
            </w:pPr>
            <w:r w:rsidRPr="00FC4B6F">
              <w:rPr>
                <w:rFonts w:ascii="Times New Roman" w:hAnsi="Times New Roman" w:cs="Times New Roman"/>
                <w:sz w:val="20"/>
                <w:szCs w:val="20"/>
              </w:rPr>
              <w:t>Ukraine (Čierna nad Tisou)</w:t>
            </w:r>
          </w:p>
          <w:p w:rsidR="00FC4B6F" w:rsidRPr="00FC4B6F" w:rsidRDefault="00FC4B6F" w:rsidP="00FF599D">
            <w:pPr>
              <w:jc w:val="both"/>
              <w:rPr>
                <w:rFonts w:ascii="Times New Roman" w:hAnsi="Times New Roman" w:cs="Times New Roman"/>
                <w:sz w:val="20"/>
                <w:szCs w:val="20"/>
              </w:rPr>
            </w:pPr>
          </w:p>
        </w:tc>
        <w:tc>
          <w:tcPr>
            <w:tcW w:w="2466" w:type="dxa"/>
            <w:vAlign w:val="center"/>
          </w:tcPr>
          <w:p w:rsidR="00FC4B6F" w:rsidRPr="00FC4B6F" w:rsidRDefault="00FC4B6F" w:rsidP="00FF599D">
            <w:pPr>
              <w:jc w:val="both"/>
              <w:rPr>
                <w:rFonts w:ascii="Times New Roman" w:hAnsi="Times New Roman" w:cs="Times New Roman"/>
                <w:sz w:val="20"/>
                <w:szCs w:val="20"/>
              </w:rPr>
            </w:pPr>
            <w:r w:rsidRPr="00FC4B6F">
              <w:rPr>
                <w:rFonts w:ascii="Times New Roman" w:hAnsi="Times New Roman" w:cs="Times New Roman"/>
                <w:sz w:val="20"/>
                <w:szCs w:val="20"/>
              </w:rPr>
              <w:t xml:space="preserve">Mondi Ružomberok paper mill </w:t>
            </w:r>
          </w:p>
          <w:p w:rsidR="00FC4B6F" w:rsidRPr="00FC4B6F" w:rsidRDefault="00FC4B6F" w:rsidP="00FF599D">
            <w:pPr>
              <w:jc w:val="both"/>
              <w:rPr>
                <w:rFonts w:ascii="Times New Roman" w:hAnsi="Times New Roman" w:cs="Times New Roman"/>
                <w:sz w:val="20"/>
                <w:szCs w:val="20"/>
              </w:rPr>
            </w:pPr>
          </w:p>
        </w:tc>
        <w:tc>
          <w:tcPr>
            <w:tcW w:w="1779" w:type="dxa"/>
            <w:vAlign w:val="center"/>
          </w:tcPr>
          <w:p w:rsidR="00FC4B6F" w:rsidRPr="00FC4B6F" w:rsidRDefault="00FC4B6F" w:rsidP="00FF599D">
            <w:pPr>
              <w:jc w:val="both"/>
              <w:rPr>
                <w:rFonts w:ascii="Times New Roman" w:hAnsi="Times New Roman" w:cs="Times New Roman"/>
                <w:sz w:val="20"/>
                <w:szCs w:val="20"/>
              </w:rPr>
            </w:pPr>
            <w:r w:rsidRPr="00FC4B6F">
              <w:rPr>
                <w:rFonts w:ascii="Times New Roman" w:hAnsi="Times New Roman" w:cs="Times New Roman"/>
                <w:sz w:val="20"/>
                <w:szCs w:val="20"/>
              </w:rPr>
              <w:t>wood chips</w:t>
            </w:r>
          </w:p>
        </w:tc>
        <w:tc>
          <w:tcPr>
            <w:tcW w:w="939" w:type="dxa"/>
            <w:vAlign w:val="center"/>
          </w:tcPr>
          <w:p w:rsidR="00FC4B6F" w:rsidRPr="00FC4B6F" w:rsidRDefault="00FC4B6F" w:rsidP="00FF599D">
            <w:pPr>
              <w:jc w:val="both"/>
              <w:rPr>
                <w:rFonts w:ascii="Times New Roman" w:hAnsi="Times New Roman" w:cs="Times New Roman"/>
                <w:sz w:val="20"/>
                <w:szCs w:val="20"/>
              </w:rPr>
            </w:pPr>
            <w:r w:rsidRPr="00FC4B6F">
              <w:rPr>
                <w:rFonts w:ascii="Times New Roman" w:hAnsi="Times New Roman" w:cs="Times New Roman"/>
                <w:sz w:val="20"/>
                <w:szCs w:val="20"/>
              </w:rPr>
              <w:t>IF XXL</w:t>
            </w:r>
          </w:p>
        </w:tc>
        <w:tc>
          <w:tcPr>
            <w:tcW w:w="1473" w:type="dxa"/>
            <w:vAlign w:val="center"/>
          </w:tcPr>
          <w:p w:rsidR="00FC4B6F" w:rsidRPr="00FC4B6F" w:rsidRDefault="00FC4B6F" w:rsidP="00FF599D">
            <w:pPr>
              <w:jc w:val="both"/>
              <w:rPr>
                <w:rFonts w:ascii="Times New Roman" w:hAnsi="Times New Roman" w:cs="Times New Roman"/>
                <w:sz w:val="20"/>
                <w:szCs w:val="20"/>
              </w:rPr>
            </w:pPr>
            <w:r w:rsidRPr="00FC4B6F">
              <w:rPr>
                <w:rFonts w:ascii="Times New Roman" w:hAnsi="Times New Roman" w:cs="Times New Roman"/>
                <w:sz w:val="20"/>
                <w:szCs w:val="20"/>
              </w:rPr>
              <w:t>forklift truck</w:t>
            </w:r>
          </w:p>
        </w:tc>
      </w:tr>
    </w:tbl>
    <w:p w:rsidR="00AF4278" w:rsidRPr="00AF4278" w:rsidRDefault="00AF4278" w:rsidP="00AF4278">
      <w:pPr>
        <w:autoSpaceDE w:val="0"/>
        <w:autoSpaceDN w:val="0"/>
        <w:adjustRightInd w:val="0"/>
        <w:jc w:val="right"/>
        <w:rPr>
          <w:rFonts w:cstheme="minorHAnsi"/>
          <w:sz w:val="20"/>
          <w:szCs w:val="20"/>
          <w:lang w:val="cs-CZ"/>
        </w:rPr>
      </w:pPr>
      <w:r w:rsidRPr="00AF4278">
        <w:rPr>
          <w:rFonts w:cstheme="minorHAnsi"/>
          <w:sz w:val="20"/>
          <w:szCs w:val="20"/>
        </w:rPr>
        <w:t>Source</w:t>
      </w:r>
      <w:r w:rsidRPr="00AF4278">
        <w:rPr>
          <w:rFonts w:cstheme="minorHAnsi"/>
          <w:sz w:val="20"/>
          <w:szCs w:val="20"/>
          <w:lang w:val="cs-CZ"/>
        </w:rPr>
        <w:t xml:space="preserve">: </w:t>
      </w:r>
      <w:r w:rsidRPr="00AF4278">
        <w:rPr>
          <w:sz w:val="20"/>
          <w:szCs w:val="20"/>
        </w:rPr>
        <w:t xml:space="preserve">authors based on </w:t>
      </w:r>
      <w:r w:rsidRPr="00AF4278">
        <w:rPr>
          <w:rFonts w:cstheme="minorHAnsi"/>
          <w:sz w:val="20"/>
          <w:szCs w:val="20"/>
        </w:rPr>
        <w:t xml:space="preserve">[3, </w:t>
      </w:r>
      <w:r>
        <w:rPr>
          <w:rFonts w:cstheme="minorHAnsi"/>
          <w:sz w:val="20"/>
          <w:szCs w:val="20"/>
        </w:rPr>
        <w:t>8, 9</w:t>
      </w:r>
      <w:r w:rsidRPr="00AF4278">
        <w:rPr>
          <w:rFonts w:cstheme="minorHAnsi"/>
          <w:sz w:val="20"/>
          <w:szCs w:val="20"/>
        </w:rPr>
        <w:t>]</w:t>
      </w:r>
    </w:p>
    <w:p w:rsidR="00FC4B6F" w:rsidRPr="00ED5FBC" w:rsidRDefault="00FC4B6F" w:rsidP="00FC4B6F">
      <w:pPr>
        <w:jc w:val="both"/>
        <w:rPr>
          <w:rFonts w:cstheme="minorHAnsi"/>
        </w:rPr>
      </w:pPr>
    </w:p>
    <w:p w:rsidR="00FC4B6F" w:rsidRDefault="00FC4B6F" w:rsidP="00FC4B6F">
      <w:pPr>
        <w:widowControl w:val="0"/>
        <w:ind w:firstLine="567"/>
        <w:jc w:val="both"/>
        <w:rPr>
          <w:sz w:val="20"/>
          <w:szCs w:val="20"/>
        </w:rPr>
      </w:pPr>
      <w:r w:rsidRPr="00FC4B6F">
        <w:rPr>
          <w:sz w:val="20"/>
          <w:szCs w:val="20"/>
        </w:rPr>
        <w:t>According to Eurostat, approximately 47.8 million tonnes of goods were transported by rail in Slovakia in 2019. Only 316 thousand tonnes of goods are transported in the IF system every year, which amounts to less than 1 percent of the total volume of freight railway transportation. Even though this share appears marginal, this transport system can be classified as a combined transport one; and these systems represent about 11% of freight railway transportation in Slovakia</w:t>
      </w:r>
      <w:r w:rsidR="00AF4278">
        <w:rPr>
          <w:sz w:val="20"/>
          <w:szCs w:val="20"/>
        </w:rPr>
        <w:t xml:space="preserve"> [10]</w:t>
      </w:r>
      <w:r w:rsidRPr="00FC4B6F">
        <w:rPr>
          <w:sz w:val="20"/>
          <w:szCs w:val="20"/>
        </w:rPr>
        <w:t xml:space="preserve">. The IF transport system accounts for over 6% of the combined transport. Illustrating the different commodities transported in IFs, </w:t>
      </w:r>
      <w:r w:rsidR="00DF2B6E">
        <w:rPr>
          <w:sz w:val="20"/>
          <w:szCs w:val="20"/>
        </w:rPr>
        <w:t>Table 4</w:t>
      </w:r>
      <w:r w:rsidRPr="00FC4B6F">
        <w:rPr>
          <w:sz w:val="20"/>
          <w:szCs w:val="20"/>
        </w:rPr>
        <w:t xml:space="preserve"> shows that the most prominent commodity transported in Slovakia is wood chips, representing 68%. Wood chips are followed by energy gypsum with 19% and national sugar beet transport with 13%</w:t>
      </w:r>
      <w:r w:rsidR="00AF4278">
        <w:rPr>
          <w:sz w:val="20"/>
          <w:szCs w:val="20"/>
        </w:rPr>
        <w:t xml:space="preserve"> [</w:t>
      </w:r>
      <w:r w:rsidR="00305E98">
        <w:rPr>
          <w:sz w:val="20"/>
          <w:szCs w:val="20"/>
        </w:rPr>
        <w:t>11</w:t>
      </w:r>
      <w:r w:rsidR="00AF4278">
        <w:rPr>
          <w:sz w:val="20"/>
          <w:szCs w:val="20"/>
        </w:rPr>
        <w:t>]</w:t>
      </w:r>
      <w:r w:rsidRPr="00FC4B6F">
        <w:rPr>
          <w:sz w:val="20"/>
          <w:szCs w:val="20"/>
        </w:rPr>
        <w:t>.</w:t>
      </w:r>
    </w:p>
    <w:p w:rsidR="00A963E8" w:rsidRPr="00FC4B6F" w:rsidRDefault="00A963E8" w:rsidP="00FC4B6F">
      <w:pPr>
        <w:widowControl w:val="0"/>
        <w:ind w:firstLine="567"/>
        <w:jc w:val="both"/>
        <w:rPr>
          <w:sz w:val="20"/>
          <w:szCs w:val="20"/>
        </w:rPr>
      </w:pPr>
    </w:p>
    <w:p w:rsidR="00A963E8" w:rsidRPr="00A963E8" w:rsidRDefault="00A963E8" w:rsidP="00A963E8">
      <w:pPr>
        <w:pStyle w:val="Body"/>
        <w:widowControl w:val="0"/>
        <w:spacing w:after="0"/>
        <w:contextualSpacing/>
        <w:rPr>
          <w:rFonts w:ascii="Times New Roman" w:hAnsi="Times New Roman"/>
          <w:b/>
        </w:rPr>
      </w:pPr>
      <w:r w:rsidRPr="00A963E8">
        <w:rPr>
          <w:rFonts w:ascii="Times New Roman" w:hAnsi="Times New Roman"/>
          <w:b/>
        </w:rPr>
        <w:t>2.3 Czech Republic</w:t>
      </w:r>
    </w:p>
    <w:p w:rsidR="00A963E8" w:rsidRPr="00A963E8" w:rsidRDefault="00A963E8" w:rsidP="00A963E8">
      <w:pPr>
        <w:widowControl w:val="0"/>
        <w:ind w:firstLine="567"/>
        <w:jc w:val="both"/>
        <w:rPr>
          <w:sz w:val="20"/>
          <w:szCs w:val="20"/>
        </w:rPr>
      </w:pPr>
      <w:r w:rsidRPr="00A963E8">
        <w:rPr>
          <w:sz w:val="20"/>
          <w:szCs w:val="20"/>
        </w:rPr>
        <w:t>The Czech Republic was one of the first countries implementing the IF transport system in a transportation chain using block trains. Block trains from sawmills (Ždírec nad Doubravou and Planá u Mariánských Lázní) to the Mondi paper mill (Štětí) have been in operation since 2005. In 2018, a stationary unloader was installed in the Mondi paper mill (there are currently 3 such facilities in the Czech Republic).</w:t>
      </w:r>
    </w:p>
    <w:p w:rsidR="00A963E8" w:rsidRDefault="00A963E8" w:rsidP="00A963E8">
      <w:pPr>
        <w:widowControl w:val="0"/>
        <w:ind w:firstLine="567"/>
        <w:jc w:val="both"/>
        <w:rPr>
          <w:sz w:val="20"/>
          <w:szCs w:val="20"/>
        </w:rPr>
      </w:pPr>
      <w:r w:rsidRPr="00A963E8">
        <w:rPr>
          <w:sz w:val="20"/>
          <w:szCs w:val="20"/>
        </w:rPr>
        <w:t>An overview of IF transportation chains in the Czech Republic is provided in Table 3. Most goods are transported nationally using block trains. As for international transport, this mainly involves the export of wood chips to the Sappi paper mill (Gratkorn), the import of wood waste to Kronospan (Jihlava) and the transit of coke and hard coal to Austrian steelworks (Donawitz). The greatest volume of goods transported in IFs can be attributed to thermal power plants. The Chvaletice power plant is supplied with 2.5 million tonnes of brown coal and the Opatovice power plant with approximately 1.7 million tonnes of coal every year. Both plants include a stationary unloader. Another brown coal consumer is the Plzeňská teplárenská heating plant (with a lower annual volume of transported material – approximately 350 thousand tonnes). A total of more than 4.5 million tonnes of brown coal is transported in IFs in the Czech Republic every year from the surface mines in western Bohemia, which makes this commodity the most prominent one in terms of the weight transported. Brown coal is followed by coke together with hard coal. These are only transported on one transit relation with an annual volume of approximately 700 thousand tonnes for Austrian steelworks. In terms of the total annual weight transported, the third most transported commodity is wood chips. Wood chips are transported in group trains or as individual shipments (from the Čáslav sawmill to the Mondi Štětí paper mill) or in block trains (from the Ždírec nad Doubravou or Planá u Mariánských Lázní sawmills to the Mondi Štětí, Lenzing Biocel Paskov or Sappi Gratkorn paper mills). Approximately 460 thousand tonnes of wood chips are transported every year. 25 thousand tonnes of wood waste from Germany and Austria are transported in groups of wagons to Kronospan (Jihlava) every year. The IF system is also used in the sanitation of the Ostrava lagoons left after the former chemical plant Ostramo. The neutralized sludge is transported in small XS IFs with the HardTop cover and a volume of approximately 91 thousand tonnes to the Vřesová pressure gas plant, where it is disposed. Occasionally, IFs are used for the transport of excavated soils in reconstructing railway lines (for instance in the Vlkov u Tišnova station with a volume of approximately 40 thousand tonnes)</w:t>
      </w:r>
      <w:r w:rsidR="00305E98">
        <w:rPr>
          <w:sz w:val="20"/>
          <w:szCs w:val="20"/>
        </w:rPr>
        <w:t xml:space="preserve"> [4, 7]</w:t>
      </w:r>
      <w:r w:rsidRPr="00A963E8">
        <w:rPr>
          <w:sz w:val="20"/>
          <w:szCs w:val="20"/>
        </w:rPr>
        <w:t>.</w:t>
      </w:r>
    </w:p>
    <w:p w:rsidR="000B2B7A" w:rsidRDefault="000B2B7A" w:rsidP="000B2B7A">
      <w:pPr>
        <w:widowControl w:val="0"/>
        <w:ind w:firstLine="567"/>
        <w:jc w:val="both"/>
        <w:rPr>
          <w:sz w:val="20"/>
          <w:szCs w:val="20"/>
        </w:rPr>
      </w:pPr>
      <w:r w:rsidRPr="00A963E8">
        <w:rPr>
          <w:sz w:val="20"/>
          <w:szCs w:val="20"/>
        </w:rPr>
        <w:t>According to Eurostat, approximately 96.5 million tonnes of goods are transported by rail in the Czech Republic every year. The IF share in the total volume of freight railway transportation amounts to more than 6%, i.e. to approximately 5.9 million tonnes every year</w:t>
      </w:r>
      <w:r w:rsidR="00305E98">
        <w:rPr>
          <w:sz w:val="20"/>
          <w:szCs w:val="20"/>
        </w:rPr>
        <w:t xml:space="preserve"> [10]</w:t>
      </w:r>
      <w:r w:rsidRPr="00A963E8">
        <w:rPr>
          <w:sz w:val="20"/>
          <w:szCs w:val="20"/>
        </w:rPr>
        <w:t>. As for the different commodities transported in IFs, about 77% percent of the total volume is represented by the transportation of brown coal to two thermal power plants and one heating plant. The transit transport of coke with hard coal over the Czech Republic accounts for 12%, wood chips and wood waste represent 9% and excavated soil and oil sludge have a share of about 2%</w:t>
      </w:r>
      <w:r w:rsidR="00305E98">
        <w:rPr>
          <w:sz w:val="20"/>
          <w:szCs w:val="20"/>
        </w:rPr>
        <w:t xml:space="preserve"> </w:t>
      </w:r>
      <w:r w:rsidR="00DF2B6E">
        <w:rPr>
          <w:sz w:val="20"/>
          <w:szCs w:val="20"/>
        </w:rPr>
        <w:t xml:space="preserve">(see Table 4) </w:t>
      </w:r>
      <w:r w:rsidR="00305E98">
        <w:rPr>
          <w:sz w:val="20"/>
          <w:szCs w:val="20"/>
        </w:rPr>
        <w:t>[11]</w:t>
      </w:r>
      <w:r w:rsidRPr="00A963E8">
        <w:rPr>
          <w:sz w:val="20"/>
          <w:szCs w:val="20"/>
        </w:rPr>
        <w:t>.</w:t>
      </w:r>
    </w:p>
    <w:p w:rsidR="00A963E8" w:rsidRDefault="00A963E8" w:rsidP="00A963E8">
      <w:pPr>
        <w:widowControl w:val="0"/>
        <w:ind w:right="1984" w:firstLine="720"/>
        <w:jc w:val="right"/>
        <w:rPr>
          <w:sz w:val="20"/>
        </w:rPr>
      </w:pPr>
    </w:p>
    <w:p w:rsidR="000B2B7A" w:rsidRDefault="000B2B7A" w:rsidP="00A963E8">
      <w:pPr>
        <w:widowControl w:val="0"/>
        <w:ind w:right="1984" w:firstLine="720"/>
        <w:jc w:val="right"/>
        <w:rPr>
          <w:sz w:val="20"/>
        </w:rPr>
      </w:pPr>
    </w:p>
    <w:p w:rsidR="00A963E8" w:rsidRDefault="00A963E8" w:rsidP="00A963E8">
      <w:pPr>
        <w:widowControl w:val="0"/>
        <w:ind w:right="1984" w:firstLine="720"/>
        <w:jc w:val="right"/>
        <w:rPr>
          <w:sz w:val="20"/>
        </w:rPr>
      </w:pPr>
      <w:r>
        <w:rPr>
          <w:sz w:val="20"/>
        </w:rPr>
        <w:lastRenderedPageBreak/>
        <w:t>Table 3</w:t>
      </w:r>
    </w:p>
    <w:p w:rsidR="00A963E8" w:rsidRPr="00A963E8" w:rsidRDefault="00A963E8" w:rsidP="00A963E8">
      <w:pPr>
        <w:jc w:val="center"/>
        <w:rPr>
          <w:rFonts w:cstheme="minorHAnsi"/>
          <w:sz w:val="20"/>
          <w:szCs w:val="20"/>
        </w:rPr>
      </w:pPr>
      <w:r w:rsidRPr="00A963E8">
        <w:rPr>
          <w:rFonts w:cstheme="minorHAnsi"/>
          <w:sz w:val="20"/>
          <w:szCs w:val="20"/>
        </w:rPr>
        <w:t>Transportation chains involving the transport of Innofreight containers in the Czech Republic</w:t>
      </w:r>
    </w:p>
    <w:tbl>
      <w:tblPr>
        <w:tblStyle w:val="Mkatabulky"/>
        <w:tblW w:w="0" w:type="auto"/>
        <w:tblLook w:val="04A0" w:firstRow="1" w:lastRow="0" w:firstColumn="1" w:lastColumn="0" w:noHBand="0" w:noVBand="1"/>
      </w:tblPr>
      <w:tblGrid>
        <w:gridCol w:w="2547"/>
        <w:gridCol w:w="2402"/>
        <w:gridCol w:w="1567"/>
        <w:gridCol w:w="1276"/>
        <w:gridCol w:w="1270"/>
      </w:tblGrid>
      <w:tr w:rsidR="00A963E8" w:rsidRPr="00A963E8" w:rsidTr="00F76FDC">
        <w:tc>
          <w:tcPr>
            <w:tcW w:w="2547" w:type="dxa"/>
            <w:vAlign w:val="center"/>
          </w:tcPr>
          <w:p w:rsidR="00A963E8" w:rsidRPr="00A963E8" w:rsidRDefault="00A963E8" w:rsidP="00FF599D">
            <w:pPr>
              <w:jc w:val="both"/>
              <w:rPr>
                <w:rFonts w:ascii="Times New Roman" w:hAnsi="Times New Roman" w:cs="Times New Roman"/>
                <w:sz w:val="20"/>
                <w:szCs w:val="20"/>
              </w:rPr>
            </w:pPr>
            <w:r w:rsidRPr="00A963E8">
              <w:rPr>
                <w:rFonts w:ascii="Times New Roman" w:hAnsi="Times New Roman" w:cs="Times New Roman"/>
                <w:sz w:val="20"/>
                <w:szCs w:val="20"/>
              </w:rPr>
              <w:t>Loading location</w:t>
            </w:r>
          </w:p>
        </w:tc>
        <w:tc>
          <w:tcPr>
            <w:tcW w:w="2402" w:type="dxa"/>
            <w:vAlign w:val="center"/>
          </w:tcPr>
          <w:p w:rsidR="00A963E8" w:rsidRPr="00A963E8" w:rsidRDefault="00A963E8" w:rsidP="00FF599D">
            <w:pPr>
              <w:jc w:val="both"/>
              <w:rPr>
                <w:rFonts w:ascii="Times New Roman" w:hAnsi="Times New Roman" w:cs="Times New Roman"/>
                <w:sz w:val="20"/>
                <w:szCs w:val="20"/>
              </w:rPr>
            </w:pPr>
            <w:r w:rsidRPr="00A963E8">
              <w:rPr>
                <w:rFonts w:ascii="Times New Roman" w:hAnsi="Times New Roman" w:cs="Times New Roman"/>
                <w:sz w:val="20"/>
                <w:szCs w:val="20"/>
              </w:rPr>
              <w:t>Loading location</w:t>
            </w:r>
          </w:p>
        </w:tc>
        <w:tc>
          <w:tcPr>
            <w:tcW w:w="1567" w:type="dxa"/>
            <w:vAlign w:val="center"/>
          </w:tcPr>
          <w:p w:rsidR="00A963E8" w:rsidRPr="00A963E8" w:rsidRDefault="00A963E8" w:rsidP="00FF599D">
            <w:pPr>
              <w:jc w:val="both"/>
              <w:rPr>
                <w:rFonts w:ascii="Times New Roman" w:hAnsi="Times New Roman" w:cs="Times New Roman"/>
                <w:sz w:val="20"/>
                <w:szCs w:val="20"/>
              </w:rPr>
            </w:pPr>
            <w:r w:rsidRPr="00A963E8">
              <w:rPr>
                <w:rFonts w:ascii="Times New Roman" w:hAnsi="Times New Roman" w:cs="Times New Roman"/>
                <w:sz w:val="20"/>
                <w:szCs w:val="20"/>
              </w:rPr>
              <w:t>Bulk material transported</w:t>
            </w:r>
          </w:p>
        </w:tc>
        <w:tc>
          <w:tcPr>
            <w:tcW w:w="1276" w:type="dxa"/>
            <w:vAlign w:val="center"/>
          </w:tcPr>
          <w:p w:rsidR="00A963E8" w:rsidRPr="00A963E8" w:rsidRDefault="00A963E8" w:rsidP="00FF599D">
            <w:pPr>
              <w:jc w:val="both"/>
              <w:rPr>
                <w:rFonts w:ascii="Times New Roman" w:hAnsi="Times New Roman" w:cs="Times New Roman"/>
                <w:sz w:val="20"/>
                <w:szCs w:val="20"/>
              </w:rPr>
            </w:pPr>
            <w:r w:rsidRPr="00A963E8">
              <w:rPr>
                <w:rFonts w:ascii="Times New Roman" w:hAnsi="Times New Roman" w:cs="Times New Roman"/>
                <w:sz w:val="20"/>
                <w:szCs w:val="20"/>
              </w:rPr>
              <w:t>IF type</w:t>
            </w:r>
          </w:p>
        </w:tc>
        <w:tc>
          <w:tcPr>
            <w:tcW w:w="1270" w:type="dxa"/>
            <w:vAlign w:val="center"/>
          </w:tcPr>
          <w:p w:rsidR="00A963E8" w:rsidRPr="00A963E8" w:rsidRDefault="00A963E8" w:rsidP="00FF599D">
            <w:pPr>
              <w:jc w:val="both"/>
              <w:rPr>
                <w:rFonts w:ascii="Times New Roman" w:hAnsi="Times New Roman" w:cs="Times New Roman"/>
                <w:sz w:val="20"/>
                <w:szCs w:val="20"/>
              </w:rPr>
            </w:pPr>
            <w:r w:rsidRPr="00A963E8">
              <w:rPr>
                <w:rFonts w:ascii="Times New Roman" w:hAnsi="Times New Roman" w:cs="Times New Roman"/>
                <w:sz w:val="20"/>
                <w:szCs w:val="20"/>
              </w:rPr>
              <w:t>Method of unloading</w:t>
            </w:r>
          </w:p>
        </w:tc>
      </w:tr>
      <w:tr w:rsidR="00A963E8" w:rsidRPr="00A963E8" w:rsidTr="00F76FDC">
        <w:tc>
          <w:tcPr>
            <w:tcW w:w="2547" w:type="dxa"/>
            <w:vAlign w:val="center"/>
          </w:tcPr>
          <w:p w:rsidR="00A963E8" w:rsidRPr="00A963E8" w:rsidRDefault="00A963E8" w:rsidP="00FF599D">
            <w:pPr>
              <w:autoSpaceDE w:val="0"/>
              <w:autoSpaceDN w:val="0"/>
              <w:adjustRightInd w:val="0"/>
              <w:jc w:val="both"/>
              <w:rPr>
                <w:rFonts w:ascii="Times New Roman" w:hAnsi="Times New Roman" w:cs="Times New Roman"/>
                <w:sz w:val="20"/>
                <w:szCs w:val="20"/>
              </w:rPr>
            </w:pPr>
            <w:r w:rsidRPr="00A963E8">
              <w:rPr>
                <w:rFonts w:ascii="Times New Roman" w:hAnsi="Times New Roman" w:cs="Times New Roman"/>
                <w:sz w:val="20"/>
                <w:szCs w:val="20"/>
              </w:rPr>
              <w:t xml:space="preserve">ČSA Třebušice mine </w:t>
            </w:r>
          </w:p>
        </w:tc>
        <w:tc>
          <w:tcPr>
            <w:tcW w:w="2402" w:type="dxa"/>
            <w:vAlign w:val="center"/>
          </w:tcPr>
          <w:p w:rsidR="00A963E8" w:rsidRPr="00A963E8" w:rsidRDefault="00A963E8" w:rsidP="00FF599D">
            <w:pPr>
              <w:autoSpaceDE w:val="0"/>
              <w:autoSpaceDN w:val="0"/>
              <w:adjustRightInd w:val="0"/>
              <w:jc w:val="both"/>
              <w:rPr>
                <w:rFonts w:ascii="Times New Roman" w:hAnsi="Times New Roman" w:cs="Times New Roman"/>
                <w:sz w:val="20"/>
                <w:szCs w:val="20"/>
              </w:rPr>
            </w:pPr>
            <w:r w:rsidRPr="00A963E8">
              <w:rPr>
                <w:rFonts w:ascii="Times New Roman" w:hAnsi="Times New Roman" w:cs="Times New Roman"/>
                <w:sz w:val="20"/>
                <w:szCs w:val="20"/>
              </w:rPr>
              <w:t>Chvaletice power plant</w:t>
            </w:r>
          </w:p>
        </w:tc>
        <w:tc>
          <w:tcPr>
            <w:tcW w:w="1567" w:type="dxa"/>
            <w:vAlign w:val="center"/>
          </w:tcPr>
          <w:p w:rsidR="00A963E8" w:rsidRPr="00A963E8" w:rsidRDefault="00A963E8" w:rsidP="00FF599D">
            <w:pPr>
              <w:jc w:val="both"/>
              <w:rPr>
                <w:rFonts w:ascii="Times New Roman" w:hAnsi="Times New Roman" w:cs="Times New Roman"/>
                <w:sz w:val="20"/>
                <w:szCs w:val="20"/>
              </w:rPr>
            </w:pPr>
            <w:r w:rsidRPr="00A963E8">
              <w:rPr>
                <w:rFonts w:ascii="Times New Roman" w:hAnsi="Times New Roman" w:cs="Times New Roman"/>
                <w:sz w:val="20"/>
                <w:szCs w:val="20"/>
              </w:rPr>
              <w:t>brown coal</w:t>
            </w:r>
          </w:p>
        </w:tc>
        <w:tc>
          <w:tcPr>
            <w:tcW w:w="1276" w:type="dxa"/>
            <w:vAlign w:val="center"/>
          </w:tcPr>
          <w:p w:rsidR="00A963E8" w:rsidRPr="00A963E8" w:rsidRDefault="00A963E8" w:rsidP="00FF599D">
            <w:pPr>
              <w:jc w:val="both"/>
              <w:rPr>
                <w:rFonts w:ascii="Times New Roman" w:hAnsi="Times New Roman" w:cs="Times New Roman"/>
                <w:sz w:val="20"/>
                <w:szCs w:val="20"/>
              </w:rPr>
            </w:pPr>
            <w:r w:rsidRPr="00A963E8">
              <w:rPr>
                <w:rFonts w:ascii="Times New Roman" w:hAnsi="Times New Roman" w:cs="Times New Roman"/>
                <w:sz w:val="20"/>
                <w:szCs w:val="20"/>
              </w:rPr>
              <w:t>IF XXL</w:t>
            </w:r>
          </w:p>
        </w:tc>
        <w:tc>
          <w:tcPr>
            <w:tcW w:w="1270" w:type="dxa"/>
            <w:vAlign w:val="center"/>
          </w:tcPr>
          <w:p w:rsidR="00A963E8" w:rsidRPr="00A963E8" w:rsidRDefault="00A963E8" w:rsidP="00FF599D">
            <w:pPr>
              <w:jc w:val="both"/>
              <w:rPr>
                <w:rFonts w:ascii="Times New Roman" w:hAnsi="Times New Roman" w:cs="Times New Roman"/>
                <w:sz w:val="20"/>
                <w:szCs w:val="20"/>
              </w:rPr>
            </w:pPr>
            <w:r w:rsidRPr="00A963E8">
              <w:rPr>
                <w:rFonts w:ascii="Times New Roman" w:hAnsi="Times New Roman" w:cs="Times New Roman"/>
                <w:sz w:val="20"/>
                <w:szCs w:val="20"/>
              </w:rPr>
              <w:t>stationary unloader</w:t>
            </w:r>
          </w:p>
        </w:tc>
      </w:tr>
      <w:tr w:rsidR="00A963E8" w:rsidRPr="00A963E8" w:rsidTr="00F76FDC">
        <w:tc>
          <w:tcPr>
            <w:tcW w:w="2547" w:type="dxa"/>
            <w:vAlign w:val="center"/>
          </w:tcPr>
          <w:p w:rsidR="00A963E8" w:rsidRPr="00A963E8" w:rsidRDefault="00A963E8" w:rsidP="00FF599D">
            <w:pPr>
              <w:autoSpaceDE w:val="0"/>
              <w:autoSpaceDN w:val="0"/>
              <w:adjustRightInd w:val="0"/>
              <w:jc w:val="both"/>
              <w:rPr>
                <w:rFonts w:ascii="Times New Roman" w:hAnsi="Times New Roman" w:cs="Times New Roman"/>
                <w:sz w:val="20"/>
                <w:szCs w:val="20"/>
              </w:rPr>
            </w:pPr>
            <w:r w:rsidRPr="00A963E8">
              <w:rPr>
                <w:rFonts w:ascii="Times New Roman" w:hAnsi="Times New Roman" w:cs="Times New Roman"/>
                <w:sz w:val="20"/>
                <w:szCs w:val="20"/>
              </w:rPr>
              <w:t xml:space="preserve">Nástup Tušimice mine </w:t>
            </w:r>
          </w:p>
        </w:tc>
        <w:tc>
          <w:tcPr>
            <w:tcW w:w="2402" w:type="dxa"/>
            <w:vAlign w:val="center"/>
          </w:tcPr>
          <w:p w:rsidR="00A963E8" w:rsidRPr="00A963E8" w:rsidRDefault="00A963E8" w:rsidP="00FF599D">
            <w:pPr>
              <w:jc w:val="both"/>
              <w:rPr>
                <w:rFonts w:ascii="Times New Roman" w:hAnsi="Times New Roman" w:cs="Times New Roman"/>
                <w:sz w:val="20"/>
                <w:szCs w:val="20"/>
              </w:rPr>
            </w:pPr>
            <w:r w:rsidRPr="00A963E8">
              <w:rPr>
                <w:rFonts w:ascii="Times New Roman" w:hAnsi="Times New Roman" w:cs="Times New Roman"/>
                <w:sz w:val="20"/>
                <w:szCs w:val="20"/>
              </w:rPr>
              <w:t>Opatovice power plant</w:t>
            </w:r>
          </w:p>
        </w:tc>
        <w:tc>
          <w:tcPr>
            <w:tcW w:w="1567" w:type="dxa"/>
            <w:vMerge w:val="restart"/>
            <w:vAlign w:val="center"/>
          </w:tcPr>
          <w:p w:rsidR="00A963E8" w:rsidRPr="00A963E8" w:rsidRDefault="00A963E8" w:rsidP="00FF599D">
            <w:pPr>
              <w:jc w:val="both"/>
              <w:rPr>
                <w:rFonts w:ascii="Times New Roman" w:hAnsi="Times New Roman" w:cs="Times New Roman"/>
                <w:sz w:val="20"/>
                <w:szCs w:val="20"/>
              </w:rPr>
            </w:pPr>
            <w:r w:rsidRPr="00A963E8">
              <w:rPr>
                <w:rFonts w:ascii="Times New Roman" w:hAnsi="Times New Roman" w:cs="Times New Roman"/>
                <w:sz w:val="20"/>
                <w:szCs w:val="20"/>
              </w:rPr>
              <w:t>brown coal</w:t>
            </w:r>
          </w:p>
          <w:p w:rsidR="00A963E8" w:rsidRPr="00A963E8" w:rsidRDefault="00A963E8" w:rsidP="00FF599D">
            <w:pPr>
              <w:jc w:val="both"/>
              <w:rPr>
                <w:rFonts w:ascii="Times New Roman" w:hAnsi="Times New Roman" w:cs="Times New Roman"/>
                <w:sz w:val="20"/>
                <w:szCs w:val="20"/>
              </w:rPr>
            </w:pPr>
          </w:p>
        </w:tc>
        <w:tc>
          <w:tcPr>
            <w:tcW w:w="1276" w:type="dxa"/>
            <w:vMerge w:val="restart"/>
            <w:vAlign w:val="center"/>
          </w:tcPr>
          <w:p w:rsidR="00A963E8" w:rsidRPr="00A963E8" w:rsidRDefault="00A963E8" w:rsidP="00FF599D">
            <w:pPr>
              <w:jc w:val="both"/>
              <w:rPr>
                <w:rFonts w:ascii="Times New Roman" w:hAnsi="Times New Roman" w:cs="Times New Roman"/>
                <w:sz w:val="20"/>
                <w:szCs w:val="20"/>
              </w:rPr>
            </w:pPr>
          </w:p>
          <w:p w:rsidR="00A963E8" w:rsidRPr="00A963E8" w:rsidRDefault="00A963E8" w:rsidP="00FF599D">
            <w:pPr>
              <w:jc w:val="both"/>
              <w:rPr>
                <w:rFonts w:ascii="Times New Roman" w:hAnsi="Times New Roman" w:cs="Times New Roman"/>
                <w:sz w:val="20"/>
                <w:szCs w:val="20"/>
              </w:rPr>
            </w:pPr>
            <w:r w:rsidRPr="00A963E8">
              <w:rPr>
                <w:rFonts w:ascii="Times New Roman" w:hAnsi="Times New Roman" w:cs="Times New Roman"/>
                <w:sz w:val="20"/>
                <w:szCs w:val="20"/>
              </w:rPr>
              <w:t>IF XXL</w:t>
            </w:r>
          </w:p>
        </w:tc>
        <w:tc>
          <w:tcPr>
            <w:tcW w:w="1270" w:type="dxa"/>
            <w:vMerge w:val="restart"/>
            <w:vAlign w:val="center"/>
          </w:tcPr>
          <w:p w:rsidR="00A963E8" w:rsidRPr="00A963E8" w:rsidRDefault="00A963E8" w:rsidP="00FF599D">
            <w:pPr>
              <w:jc w:val="both"/>
              <w:rPr>
                <w:rFonts w:ascii="Times New Roman" w:hAnsi="Times New Roman" w:cs="Times New Roman"/>
                <w:sz w:val="20"/>
                <w:szCs w:val="20"/>
              </w:rPr>
            </w:pPr>
            <w:r w:rsidRPr="00A963E8">
              <w:rPr>
                <w:rFonts w:ascii="Times New Roman" w:hAnsi="Times New Roman" w:cs="Times New Roman"/>
                <w:sz w:val="20"/>
                <w:szCs w:val="20"/>
              </w:rPr>
              <w:t>stationary unloader</w:t>
            </w:r>
          </w:p>
        </w:tc>
      </w:tr>
      <w:tr w:rsidR="00A963E8" w:rsidRPr="00A963E8" w:rsidTr="00F76FDC">
        <w:tc>
          <w:tcPr>
            <w:tcW w:w="2547" w:type="dxa"/>
            <w:vAlign w:val="center"/>
          </w:tcPr>
          <w:p w:rsidR="00A963E8" w:rsidRPr="00A963E8" w:rsidRDefault="00A963E8" w:rsidP="00FF599D">
            <w:pPr>
              <w:autoSpaceDE w:val="0"/>
              <w:autoSpaceDN w:val="0"/>
              <w:adjustRightInd w:val="0"/>
              <w:jc w:val="both"/>
              <w:rPr>
                <w:rFonts w:ascii="Times New Roman" w:hAnsi="Times New Roman" w:cs="Times New Roman"/>
                <w:sz w:val="20"/>
                <w:szCs w:val="20"/>
              </w:rPr>
            </w:pPr>
            <w:r w:rsidRPr="00A963E8">
              <w:rPr>
                <w:rFonts w:ascii="Times New Roman" w:hAnsi="Times New Roman" w:cs="Times New Roman"/>
                <w:sz w:val="20"/>
                <w:szCs w:val="20"/>
              </w:rPr>
              <w:t xml:space="preserve">Bílina mine </w:t>
            </w:r>
          </w:p>
          <w:p w:rsidR="00A963E8" w:rsidRPr="00A963E8" w:rsidRDefault="00A963E8" w:rsidP="00FF599D">
            <w:pPr>
              <w:jc w:val="both"/>
              <w:rPr>
                <w:rFonts w:ascii="Times New Roman" w:hAnsi="Times New Roman" w:cs="Times New Roman"/>
                <w:sz w:val="20"/>
                <w:szCs w:val="20"/>
              </w:rPr>
            </w:pPr>
          </w:p>
        </w:tc>
        <w:tc>
          <w:tcPr>
            <w:tcW w:w="2402" w:type="dxa"/>
            <w:vAlign w:val="center"/>
          </w:tcPr>
          <w:p w:rsidR="00A963E8" w:rsidRPr="00A963E8" w:rsidRDefault="00A963E8" w:rsidP="00FF599D">
            <w:pPr>
              <w:jc w:val="both"/>
              <w:rPr>
                <w:rFonts w:ascii="Times New Roman" w:hAnsi="Times New Roman" w:cs="Times New Roman"/>
                <w:sz w:val="20"/>
                <w:szCs w:val="20"/>
              </w:rPr>
            </w:pPr>
            <w:r w:rsidRPr="00A963E8">
              <w:rPr>
                <w:rFonts w:ascii="Times New Roman" w:hAnsi="Times New Roman" w:cs="Times New Roman"/>
                <w:sz w:val="20"/>
                <w:szCs w:val="20"/>
              </w:rPr>
              <w:t>Opatovice power plant</w:t>
            </w:r>
          </w:p>
        </w:tc>
        <w:tc>
          <w:tcPr>
            <w:tcW w:w="1567" w:type="dxa"/>
            <w:vMerge/>
            <w:vAlign w:val="center"/>
          </w:tcPr>
          <w:p w:rsidR="00A963E8" w:rsidRPr="00A963E8" w:rsidRDefault="00A963E8" w:rsidP="00FF599D">
            <w:pPr>
              <w:jc w:val="both"/>
              <w:rPr>
                <w:rFonts w:ascii="Times New Roman" w:hAnsi="Times New Roman" w:cs="Times New Roman"/>
                <w:sz w:val="20"/>
                <w:szCs w:val="20"/>
              </w:rPr>
            </w:pPr>
          </w:p>
        </w:tc>
        <w:tc>
          <w:tcPr>
            <w:tcW w:w="1276" w:type="dxa"/>
            <w:vMerge/>
            <w:vAlign w:val="center"/>
          </w:tcPr>
          <w:p w:rsidR="00A963E8" w:rsidRPr="00A963E8" w:rsidRDefault="00A963E8" w:rsidP="00FF599D">
            <w:pPr>
              <w:jc w:val="both"/>
              <w:rPr>
                <w:rFonts w:ascii="Times New Roman" w:hAnsi="Times New Roman" w:cs="Times New Roman"/>
                <w:sz w:val="20"/>
                <w:szCs w:val="20"/>
              </w:rPr>
            </w:pPr>
          </w:p>
        </w:tc>
        <w:tc>
          <w:tcPr>
            <w:tcW w:w="1270" w:type="dxa"/>
            <w:vMerge/>
            <w:vAlign w:val="center"/>
          </w:tcPr>
          <w:p w:rsidR="00A963E8" w:rsidRPr="00A963E8" w:rsidRDefault="00A963E8" w:rsidP="00FF599D">
            <w:pPr>
              <w:jc w:val="both"/>
              <w:rPr>
                <w:rFonts w:ascii="Times New Roman" w:hAnsi="Times New Roman" w:cs="Times New Roman"/>
                <w:sz w:val="20"/>
                <w:szCs w:val="20"/>
              </w:rPr>
            </w:pPr>
          </w:p>
        </w:tc>
      </w:tr>
      <w:tr w:rsidR="00A963E8" w:rsidRPr="00A963E8" w:rsidTr="00F76FDC">
        <w:tc>
          <w:tcPr>
            <w:tcW w:w="2547" w:type="dxa"/>
            <w:vAlign w:val="center"/>
          </w:tcPr>
          <w:p w:rsidR="00A963E8" w:rsidRPr="00A963E8" w:rsidRDefault="00A963E8" w:rsidP="00FF599D">
            <w:pPr>
              <w:autoSpaceDE w:val="0"/>
              <w:autoSpaceDN w:val="0"/>
              <w:adjustRightInd w:val="0"/>
              <w:jc w:val="both"/>
              <w:rPr>
                <w:rFonts w:ascii="Times New Roman" w:hAnsi="Times New Roman" w:cs="Times New Roman"/>
                <w:sz w:val="20"/>
                <w:szCs w:val="20"/>
              </w:rPr>
            </w:pPr>
            <w:r w:rsidRPr="00A963E8">
              <w:rPr>
                <w:rFonts w:ascii="Times New Roman" w:hAnsi="Times New Roman" w:cs="Times New Roman"/>
                <w:sz w:val="20"/>
                <w:szCs w:val="20"/>
              </w:rPr>
              <w:t>Sokolovská uhelná</w:t>
            </w:r>
          </w:p>
        </w:tc>
        <w:tc>
          <w:tcPr>
            <w:tcW w:w="2402" w:type="dxa"/>
            <w:vMerge w:val="restart"/>
            <w:vAlign w:val="center"/>
          </w:tcPr>
          <w:p w:rsidR="00A963E8" w:rsidRPr="00A963E8" w:rsidRDefault="00A963E8" w:rsidP="00FF599D">
            <w:pPr>
              <w:autoSpaceDE w:val="0"/>
              <w:autoSpaceDN w:val="0"/>
              <w:adjustRightInd w:val="0"/>
              <w:jc w:val="both"/>
              <w:rPr>
                <w:rFonts w:ascii="Times New Roman" w:hAnsi="Times New Roman" w:cs="Times New Roman"/>
                <w:sz w:val="20"/>
                <w:szCs w:val="20"/>
              </w:rPr>
            </w:pPr>
            <w:r w:rsidRPr="00A963E8">
              <w:rPr>
                <w:rFonts w:ascii="Times New Roman" w:hAnsi="Times New Roman" w:cs="Times New Roman"/>
                <w:sz w:val="20"/>
                <w:szCs w:val="20"/>
              </w:rPr>
              <w:t xml:space="preserve">Plzeňská teplárenská </w:t>
            </w:r>
          </w:p>
        </w:tc>
        <w:tc>
          <w:tcPr>
            <w:tcW w:w="1567" w:type="dxa"/>
            <w:vMerge w:val="restart"/>
            <w:vAlign w:val="center"/>
          </w:tcPr>
          <w:p w:rsidR="00A963E8" w:rsidRPr="00A963E8" w:rsidRDefault="00A963E8" w:rsidP="00FF599D">
            <w:pPr>
              <w:jc w:val="both"/>
              <w:rPr>
                <w:rFonts w:ascii="Times New Roman" w:hAnsi="Times New Roman" w:cs="Times New Roman"/>
                <w:sz w:val="20"/>
                <w:szCs w:val="20"/>
              </w:rPr>
            </w:pPr>
            <w:r w:rsidRPr="00A963E8">
              <w:rPr>
                <w:rFonts w:ascii="Times New Roman" w:hAnsi="Times New Roman" w:cs="Times New Roman"/>
                <w:sz w:val="20"/>
                <w:szCs w:val="20"/>
              </w:rPr>
              <w:t>brown coal</w:t>
            </w:r>
          </w:p>
        </w:tc>
        <w:tc>
          <w:tcPr>
            <w:tcW w:w="1276" w:type="dxa"/>
            <w:vMerge w:val="restart"/>
            <w:vAlign w:val="center"/>
          </w:tcPr>
          <w:p w:rsidR="00A963E8" w:rsidRPr="00A963E8" w:rsidRDefault="00A963E8" w:rsidP="00FF599D">
            <w:pPr>
              <w:jc w:val="both"/>
              <w:rPr>
                <w:rFonts w:ascii="Times New Roman" w:hAnsi="Times New Roman" w:cs="Times New Roman"/>
                <w:sz w:val="20"/>
                <w:szCs w:val="20"/>
              </w:rPr>
            </w:pPr>
            <w:r w:rsidRPr="00A963E8">
              <w:rPr>
                <w:rFonts w:ascii="Times New Roman" w:hAnsi="Times New Roman" w:cs="Times New Roman"/>
                <w:sz w:val="20"/>
                <w:szCs w:val="20"/>
              </w:rPr>
              <w:t>IF XXM</w:t>
            </w:r>
          </w:p>
        </w:tc>
        <w:tc>
          <w:tcPr>
            <w:tcW w:w="1270" w:type="dxa"/>
            <w:vMerge w:val="restart"/>
            <w:vAlign w:val="center"/>
          </w:tcPr>
          <w:p w:rsidR="00A963E8" w:rsidRPr="00A963E8" w:rsidRDefault="00A963E8" w:rsidP="00FF599D">
            <w:pPr>
              <w:jc w:val="both"/>
              <w:rPr>
                <w:rFonts w:ascii="Times New Roman" w:hAnsi="Times New Roman" w:cs="Times New Roman"/>
                <w:sz w:val="20"/>
                <w:szCs w:val="20"/>
              </w:rPr>
            </w:pPr>
            <w:r w:rsidRPr="00A963E8">
              <w:rPr>
                <w:rFonts w:ascii="Times New Roman" w:hAnsi="Times New Roman" w:cs="Times New Roman"/>
                <w:sz w:val="20"/>
                <w:szCs w:val="20"/>
              </w:rPr>
              <w:t>forklift truck</w:t>
            </w:r>
          </w:p>
        </w:tc>
      </w:tr>
      <w:tr w:rsidR="00A963E8" w:rsidRPr="00A963E8" w:rsidTr="00F76FDC">
        <w:tc>
          <w:tcPr>
            <w:tcW w:w="2547" w:type="dxa"/>
            <w:vAlign w:val="center"/>
          </w:tcPr>
          <w:p w:rsidR="00A963E8" w:rsidRPr="00A963E8" w:rsidRDefault="00A963E8" w:rsidP="00FF599D">
            <w:pPr>
              <w:autoSpaceDE w:val="0"/>
              <w:autoSpaceDN w:val="0"/>
              <w:adjustRightInd w:val="0"/>
              <w:jc w:val="both"/>
              <w:rPr>
                <w:rFonts w:ascii="Times New Roman" w:hAnsi="Times New Roman" w:cs="Times New Roman"/>
                <w:sz w:val="20"/>
                <w:szCs w:val="20"/>
              </w:rPr>
            </w:pPr>
            <w:r w:rsidRPr="00A963E8">
              <w:rPr>
                <w:rFonts w:ascii="Times New Roman" w:hAnsi="Times New Roman" w:cs="Times New Roman"/>
                <w:sz w:val="20"/>
                <w:szCs w:val="20"/>
              </w:rPr>
              <w:t xml:space="preserve">Bílina mine </w:t>
            </w:r>
          </w:p>
        </w:tc>
        <w:tc>
          <w:tcPr>
            <w:tcW w:w="2402" w:type="dxa"/>
            <w:vMerge/>
            <w:vAlign w:val="center"/>
          </w:tcPr>
          <w:p w:rsidR="00A963E8" w:rsidRPr="00A963E8" w:rsidRDefault="00A963E8" w:rsidP="00FF599D">
            <w:pPr>
              <w:jc w:val="both"/>
              <w:rPr>
                <w:rFonts w:ascii="Times New Roman" w:hAnsi="Times New Roman" w:cs="Times New Roman"/>
                <w:sz w:val="20"/>
                <w:szCs w:val="20"/>
              </w:rPr>
            </w:pPr>
          </w:p>
        </w:tc>
        <w:tc>
          <w:tcPr>
            <w:tcW w:w="1567" w:type="dxa"/>
            <w:vMerge/>
            <w:vAlign w:val="center"/>
          </w:tcPr>
          <w:p w:rsidR="00A963E8" w:rsidRPr="00A963E8" w:rsidRDefault="00A963E8" w:rsidP="00FF599D">
            <w:pPr>
              <w:jc w:val="both"/>
              <w:rPr>
                <w:rFonts w:ascii="Times New Roman" w:hAnsi="Times New Roman" w:cs="Times New Roman"/>
                <w:sz w:val="20"/>
                <w:szCs w:val="20"/>
              </w:rPr>
            </w:pPr>
          </w:p>
        </w:tc>
        <w:tc>
          <w:tcPr>
            <w:tcW w:w="1276" w:type="dxa"/>
            <w:vMerge/>
            <w:vAlign w:val="center"/>
          </w:tcPr>
          <w:p w:rsidR="00A963E8" w:rsidRPr="00A963E8" w:rsidRDefault="00A963E8" w:rsidP="00FF599D">
            <w:pPr>
              <w:jc w:val="both"/>
              <w:rPr>
                <w:rFonts w:ascii="Times New Roman" w:hAnsi="Times New Roman" w:cs="Times New Roman"/>
                <w:sz w:val="20"/>
                <w:szCs w:val="20"/>
              </w:rPr>
            </w:pPr>
          </w:p>
        </w:tc>
        <w:tc>
          <w:tcPr>
            <w:tcW w:w="1270" w:type="dxa"/>
            <w:vMerge/>
            <w:vAlign w:val="center"/>
          </w:tcPr>
          <w:p w:rsidR="00A963E8" w:rsidRPr="00A963E8" w:rsidRDefault="00A963E8" w:rsidP="00FF599D">
            <w:pPr>
              <w:jc w:val="both"/>
              <w:rPr>
                <w:rFonts w:ascii="Times New Roman" w:hAnsi="Times New Roman" w:cs="Times New Roman"/>
                <w:sz w:val="20"/>
                <w:szCs w:val="20"/>
              </w:rPr>
            </w:pPr>
          </w:p>
        </w:tc>
      </w:tr>
      <w:tr w:rsidR="00A963E8" w:rsidRPr="00A963E8" w:rsidTr="00F76FDC">
        <w:tc>
          <w:tcPr>
            <w:tcW w:w="2547" w:type="dxa"/>
            <w:vAlign w:val="center"/>
          </w:tcPr>
          <w:p w:rsidR="00A963E8" w:rsidRPr="00A963E8" w:rsidRDefault="00A963E8" w:rsidP="00FF599D">
            <w:pPr>
              <w:autoSpaceDE w:val="0"/>
              <w:autoSpaceDN w:val="0"/>
              <w:adjustRightInd w:val="0"/>
              <w:jc w:val="both"/>
              <w:rPr>
                <w:rFonts w:ascii="Times New Roman" w:hAnsi="Times New Roman" w:cs="Times New Roman"/>
                <w:sz w:val="20"/>
                <w:szCs w:val="20"/>
              </w:rPr>
            </w:pPr>
            <w:r w:rsidRPr="00A963E8">
              <w:rPr>
                <w:rFonts w:ascii="Times New Roman" w:hAnsi="Times New Roman" w:cs="Times New Roman"/>
                <w:sz w:val="20"/>
                <w:szCs w:val="20"/>
              </w:rPr>
              <w:t>(Temelín, Domažlice, Vimperk, Nejdek...)</w:t>
            </w:r>
          </w:p>
        </w:tc>
        <w:tc>
          <w:tcPr>
            <w:tcW w:w="2402" w:type="dxa"/>
            <w:vMerge/>
            <w:vAlign w:val="center"/>
          </w:tcPr>
          <w:p w:rsidR="00A963E8" w:rsidRPr="00A963E8" w:rsidRDefault="00A963E8" w:rsidP="00FF599D">
            <w:pPr>
              <w:jc w:val="both"/>
              <w:rPr>
                <w:rFonts w:ascii="Times New Roman" w:hAnsi="Times New Roman" w:cs="Times New Roman"/>
                <w:sz w:val="20"/>
                <w:szCs w:val="20"/>
              </w:rPr>
            </w:pPr>
          </w:p>
        </w:tc>
        <w:tc>
          <w:tcPr>
            <w:tcW w:w="1567" w:type="dxa"/>
            <w:vAlign w:val="center"/>
          </w:tcPr>
          <w:p w:rsidR="00A963E8" w:rsidRPr="00A963E8" w:rsidRDefault="00A963E8" w:rsidP="00FF599D">
            <w:pPr>
              <w:jc w:val="both"/>
              <w:rPr>
                <w:rFonts w:ascii="Times New Roman" w:hAnsi="Times New Roman" w:cs="Times New Roman"/>
                <w:sz w:val="20"/>
                <w:szCs w:val="20"/>
              </w:rPr>
            </w:pPr>
            <w:r w:rsidRPr="00A963E8">
              <w:rPr>
                <w:rFonts w:ascii="Times New Roman" w:hAnsi="Times New Roman" w:cs="Times New Roman"/>
                <w:sz w:val="20"/>
                <w:szCs w:val="20"/>
              </w:rPr>
              <w:t>wood chips</w:t>
            </w:r>
          </w:p>
        </w:tc>
        <w:tc>
          <w:tcPr>
            <w:tcW w:w="1276" w:type="dxa"/>
            <w:vAlign w:val="center"/>
          </w:tcPr>
          <w:p w:rsidR="00A963E8" w:rsidRPr="00A963E8" w:rsidRDefault="00A963E8" w:rsidP="00FF599D">
            <w:pPr>
              <w:jc w:val="both"/>
              <w:rPr>
                <w:rFonts w:ascii="Times New Roman" w:hAnsi="Times New Roman" w:cs="Times New Roman"/>
                <w:sz w:val="20"/>
                <w:szCs w:val="20"/>
              </w:rPr>
            </w:pPr>
            <w:r w:rsidRPr="00A963E8">
              <w:rPr>
                <w:rFonts w:ascii="Times New Roman" w:hAnsi="Times New Roman" w:cs="Times New Roman"/>
                <w:sz w:val="20"/>
                <w:szCs w:val="20"/>
              </w:rPr>
              <w:t>IF XXL</w:t>
            </w:r>
          </w:p>
        </w:tc>
        <w:tc>
          <w:tcPr>
            <w:tcW w:w="1270" w:type="dxa"/>
            <w:vMerge/>
            <w:vAlign w:val="center"/>
          </w:tcPr>
          <w:p w:rsidR="00A963E8" w:rsidRPr="00A963E8" w:rsidRDefault="00A963E8" w:rsidP="00FF599D">
            <w:pPr>
              <w:jc w:val="both"/>
              <w:rPr>
                <w:rFonts w:ascii="Times New Roman" w:hAnsi="Times New Roman" w:cs="Times New Roman"/>
                <w:sz w:val="20"/>
                <w:szCs w:val="20"/>
              </w:rPr>
            </w:pPr>
          </w:p>
        </w:tc>
      </w:tr>
      <w:tr w:rsidR="00A963E8" w:rsidRPr="00A963E8" w:rsidTr="00F76FDC">
        <w:tc>
          <w:tcPr>
            <w:tcW w:w="2547" w:type="dxa"/>
            <w:vAlign w:val="center"/>
          </w:tcPr>
          <w:p w:rsidR="00A963E8" w:rsidRPr="00A963E8" w:rsidRDefault="00A963E8" w:rsidP="00FF599D">
            <w:pPr>
              <w:autoSpaceDE w:val="0"/>
              <w:autoSpaceDN w:val="0"/>
              <w:adjustRightInd w:val="0"/>
              <w:jc w:val="both"/>
              <w:rPr>
                <w:rFonts w:ascii="Times New Roman" w:hAnsi="Times New Roman" w:cs="Times New Roman"/>
                <w:sz w:val="20"/>
                <w:szCs w:val="20"/>
              </w:rPr>
            </w:pPr>
            <w:r w:rsidRPr="00A963E8">
              <w:rPr>
                <w:rFonts w:ascii="Times New Roman" w:hAnsi="Times New Roman" w:cs="Times New Roman"/>
                <w:sz w:val="20"/>
                <w:szCs w:val="20"/>
              </w:rPr>
              <w:t>Stora Enso sawmill (Planá u Mariánskych Lázní)</w:t>
            </w:r>
          </w:p>
        </w:tc>
        <w:tc>
          <w:tcPr>
            <w:tcW w:w="2402" w:type="dxa"/>
            <w:vMerge w:val="restart"/>
            <w:vAlign w:val="center"/>
          </w:tcPr>
          <w:p w:rsidR="00A963E8" w:rsidRPr="00A963E8" w:rsidRDefault="00A963E8" w:rsidP="00FF599D">
            <w:pPr>
              <w:autoSpaceDE w:val="0"/>
              <w:autoSpaceDN w:val="0"/>
              <w:adjustRightInd w:val="0"/>
              <w:jc w:val="both"/>
              <w:rPr>
                <w:rFonts w:ascii="Times New Roman" w:hAnsi="Times New Roman" w:cs="Times New Roman"/>
                <w:sz w:val="20"/>
                <w:szCs w:val="20"/>
              </w:rPr>
            </w:pPr>
            <w:r w:rsidRPr="00A963E8">
              <w:rPr>
                <w:rFonts w:ascii="Times New Roman" w:hAnsi="Times New Roman" w:cs="Times New Roman"/>
                <w:sz w:val="20"/>
                <w:szCs w:val="20"/>
              </w:rPr>
              <w:t xml:space="preserve">Mondi Štětí paper mill </w:t>
            </w:r>
          </w:p>
          <w:p w:rsidR="00A963E8" w:rsidRPr="00A963E8" w:rsidRDefault="00A963E8" w:rsidP="00FF599D">
            <w:pPr>
              <w:jc w:val="both"/>
              <w:rPr>
                <w:rFonts w:ascii="Times New Roman" w:hAnsi="Times New Roman" w:cs="Times New Roman"/>
                <w:sz w:val="20"/>
                <w:szCs w:val="20"/>
              </w:rPr>
            </w:pPr>
          </w:p>
        </w:tc>
        <w:tc>
          <w:tcPr>
            <w:tcW w:w="1567" w:type="dxa"/>
            <w:vMerge w:val="restart"/>
            <w:vAlign w:val="center"/>
          </w:tcPr>
          <w:p w:rsidR="00A963E8" w:rsidRPr="00A963E8" w:rsidRDefault="00A963E8" w:rsidP="00FF599D">
            <w:pPr>
              <w:jc w:val="both"/>
              <w:rPr>
                <w:rFonts w:ascii="Times New Roman" w:hAnsi="Times New Roman" w:cs="Times New Roman"/>
                <w:sz w:val="20"/>
                <w:szCs w:val="20"/>
              </w:rPr>
            </w:pPr>
            <w:r w:rsidRPr="00A963E8">
              <w:rPr>
                <w:rFonts w:ascii="Times New Roman" w:hAnsi="Times New Roman" w:cs="Times New Roman"/>
                <w:sz w:val="20"/>
                <w:szCs w:val="20"/>
              </w:rPr>
              <w:t>wood chips</w:t>
            </w:r>
          </w:p>
        </w:tc>
        <w:tc>
          <w:tcPr>
            <w:tcW w:w="1276" w:type="dxa"/>
            <w:vMerge w:val="restart"/>
            <w:vAlign w:val="center"/>
          </w:tcPr>
          <w:p w:rsidR="00A963E8" w:rsidRPr="00A963E8" w:rsidRDefault="00A963E8" w:rsidP="00FF599D">
            <w:pPr>
              <w:jc w:val="both"/>
              <w:rPr>
                <w:rFonts w:ascii="Times New Roman" w:hAnsi="Times New Roman" w:cs="Times New Roman"/>
                <w:sz w:val="20"/>
                <w:szCs w:val="20"/>
              </w:rPr>
            </w:pPr>
            <w:r w:rsidRPr="00A963E8">
              <w:rPr>
                <w:rFonts w:ascii="Times New Roman" w:hAnsi="Times New Roman" w:cs="Times New Roman"/>
                <w:sz w:val="20"/>
                <w:szCs w:val="20"/>
              </w:rPr>
              <w:t>IF XXL</w:t>
            </w:r>
          </w:p>
        </w:tc>
        <w:tc>
          <w:tcPr>
            <w:tcW w:w="1270" w:type="dxa"/>
            <w:vMerge w:val="restart"/>
            <w:vAlign w:val="center"/>
          </w:tcPr>
          <w:p w:rsidR="00A963E8" w:rsidRPr="00A963E8" w:rsidRDefault="00A963E8" w:rsidP="00FF599D">
            <w:pPr>
              <w:jc w:val="both"/>
              <w:rPr>
                <w:rFonts w:ascii="Times New Roman" w:hAnsi="Times New Roman" w:cs="Times New Roman"/>
                <w:sz w:val="20"/>
                <w:szCs w:val="20"/>
              </w:rPr>
            </w:pPr>
            <w:r w:rsidRPr="00A963E8">
              <w:rPr>
                <w:rFonts w:ascii="Times New Roman" w:hAnsi="Times New Roman" w:cs="Times New Roman"/>
                <w:sz w:val="20"/>
                <w:szCs w:val="20"/>
              </w:rPr>
              <w:t>stationary unloader</w:t>
            </w:r>
          </w:p>
        </w:tc>
      </w:tr>
      <w:tr w:rsidR="00A963E8" w:rsidRPr="00A963E8" w:rsidTr="00F76FDC">
        <w:tc>
          <w:tcPr>
            <w:tcW w:w="2547" w:type="dxa"/>
            <w:vAlign w:val="center"/>
          </w:tcPr>
          <w:p w:rsidR="00A963E8" w:rsidRPr="00A963E8" w:rsidRDefault="00A963E8" w:rsidP="00FF599D">
            <w:pPr>
              <w:autoSpaceDE w:val="0"/>
              <w:autoSpaceDN w:val="0"/>
              <w:adjustRightInd w:val="0"/>
              <w:jc w:val="both"/>
              <w:rPr>
                <w:rFonts w:ascii="Times New Roman" w:hAnsi="Times New Roman" w:cs="Times New Roman"/>
                <w:sz w:val="20"/>
                <w:szCs w:val="20"/>
              </w:rPr>
            </w:pPr>
            <w:r w:rsidRPr="00A963E8">
              <w:rPr>
                <w:rFonts w:ascii="Times New Roman" w:hAnsi="Times New Roman" w:cs="Times New Roman"/>
                <w:sz w:val="20"/>
                <w:szCs w:val="20"/>
              </w:rPr>
              <w:t>Stora Enso sawmill (Ždírec nad Doubravou) (CZ)</w:t>
            </w:r>
          </w:p>
        </w:tc>
        <w:tc>
          <w:tcPr>
            <w:tcW w:w="2402" w:type="dxa"/>
            <w:vMerge/>
            <w:vAlign w:val="center"/>
          </w:tcPr>
          <w:p w:rsidR="00A963E8" w:rsidRPr="00A963E8" w:rsidRDefault="00A963E8" w:rsidP="00FF599D">
            <w:pPr>
              <w:jc w:val="both"/>
              <w:rPr>
                <w:rFonts w:ascii="Times New Roman" w:hAnsi="Times New Roman" w:cs="Times New Roman"/>
                <w:sz w:val="20"/>
                <w:szCs w:val="20"/>
              </w:rPr>
            </w:pPr>
          </w:p>
        </w:tc>
        <w:tc>
          <w:tcPr>
            <w:tcW w:w="1567" w:type="dxa"/>
            <w:vMerge/>
            <w:vAlign w:val="center"/>
          </w:tcPr>
          <w:p w:rsidR="00A963E8" w:rsidRPr="00A963E8" w:rsidRDefault="00A963E8" w:rsidP="00FF599D">
            <w:pPr>
              <w:jc w:val="both"/>
              <w:rPr>
                <w:rFonts w:ascii="Times New Roman" w:hAnsi="Times New Roman" w:cs="Times New Roman"/>
                <w:sz w:val="20"/>
                <w:szCs w:val="20"/>
              </w:rPr>
            </w:pPr>
          </w:p>
        </w:tc>
        <w:tc>
          <w:tcPr>
            <w:tcW w:w="1276" w:type="dxa"/>
            <w:vMerge/>
            <w:vAlign w:val="center"/>
          </w:tcPr>
          <w:p w:rsidR="00A963E8" w:rsidRPr="00A963E8" w:rsidRDefault="00A963E8" w:rsidP="00FF599D">
            <w:pPr>
              <w:jc w:val="both"/>
              <w:rPr>
                <w:rFonts w:ascii="Times New Roman" w:hAnsi="Times New Roman" w:cs="Times New Roman"/>
                <w:sz w:val="20"/>
                <w:szCs w:val="20"/>
              </w:rPr>
            </w:pPr>
          </w:p>
        </w:tc>
        <w:tc>
          <w:tcPr>
            <w:tcW w:w="1270" w:type="dxa"/>
            <w:vMerge/>
            <w:vAlign w:val="center"/>
          </w:tcPr>
          <w:p w:rsidR="00A963E8" w:rsidRPr="00A963E8" w:rsidRDefault="00A963E8" w:rsidP="00FF599D">
            <w:pPr>
              <w:jc w:val="both"/>
              <w:rPr>
                <w:rFonts w:ascii="Times New Roman" w:hAnsi="Times New Roman" w:cs="Times New Roman"/>
                <w:sz w:val="20"/>
                <w:szCs w:val="20"/>
              </w:rPr>
            </w:pPr>
          </w:p>
        </w:tc>
      </w:tr>
      <w:tr w:rsidR="00A963E8" w:rsidRPr="00A963E8" w:rsidTr="00F76FDC">
        <w:tc>
          <w:tcPr>
            <w:tcW w:w="2547" w:type="dxa"/>
            <w:vAlign w:val="center"/>
          </w:tcPr>
          <w:p w:rsidR="00A963E8" w:rsidRPr="00A963E8" w:rsidRDefault="00A963E8" w:rsidP="00FF599D">
            <w:pPr>
              <w:autoSpaceDE w:val="0"/>
              <w:autoSpaceDN w:val="0"/>
              <w:adjustRightInd w:val="0"/>
              <w:jc w:val="both"/>
              <w:rPr>
                <w:rFonts w:ascii="Times New Roman" w:hAnsi="Times New Roman" w:cs="Times New Roman"/>
                <w:sz w:val="20"/>
                <w:szCs w:val="20"/>
              </w:rPr>
            </w:pPr>
            <w:r w:rsidRPr="00A963E8">
              <w:rPr>
                <w:rFonts w:ascii="Times New Roman" w:hAnsi="Times New Roman" w:cs="Times New Roman"/>
                <w:sz w:val="20"/>
                <w:szCs w:val="20"/>
              </w:rPr>
              <w:t>Less &amp; Timber sawmill (Čáslav)</w:t>
            </w:r>
          </w:p>
        </w:tc>
        <w:tc>
          <w:tcPr>
            <w:tcW w:w="2402" w:type="dxa"/>
            <w:vMerge/>
            <w:vAlign w:val="center"/>
          </w:tcPr>
          <w:p w:rsidR="00A963E8" w:rsidRPr="00A963E8" w:rsidRDefault="00A963E8" w:rsidP="00FF599D">
            <w:pPr>
              <w:jc w:val="both"/>
              <w:rPr>
                <w:rFonts w:ascii="Times New Roman" w:hAnsi="Times New Roman" w:cs="Times New Roman"/>
                <w:sz w:val="20"/>
                <w:szCs w:val="20"/>
              </w:rPr>
            </w:pPr>
          </w:p>
        </w:tc>
        <w:tc>
          <w:tcPr>
            <w:tcW w:w="1567" w:type="dxa"/>
            <w:vMerge/>
            <w:vAlign w:val="center"/>
          </w:tcPr>
          <w:p w:rsidR="00A963E8" w:rsidRPr="00A963E8" w:rsidRDefault="00A963E8" w:rsidP="00FF599D">
            <w:pPr>
              <w:jc w:val="both"/>
              <w:rPr>
                <w:rFonts w:ascii="Times New Roman" w:hAnsi="Times New Roman" w:cs="Times New Roman"/>
                <w:sz w:val="20"/>
                <w:szCs w:val="20"/>
              </w:rPr>
            </w:pPr>
          </w:p>
        </w:tc>
        <w:tc>
          <w:tcPr>
            <w:tcW w:w="1276" w:type="dxa"/>
            <w:vMerge/>
            <w:vAlign w:val="center"/>
          </w:tcPr>
          <w:p w:rsidR="00A963E8" w:rsidRPr="00A963E8" w:rsidRDefault="00A963E8" w:rsidP="00FF599D">
            <w:pPr>
              <w:jc w:val="both"/>
              <w:rPr>
                <w:rFonts w:ascii="Times New Roman" w:hAnsi="Times New Roman" w:cs="Times New Roman"/>
                <w:sz w:val="20"/>
                <w:szCs w:val="20"/>
              </w:rPr>
            </w:pPr>
          </w:p>
        </w:tc>
        <w:tc>
          <w:tcPr>
            <w:tcW w:w="1270" w:type="dxa"/>
            <w:vMerge/>
            <w:vAlign w:val="center"/>
          </w:tcPr>
          <w:p w:rsidR="00A963E8" w:rsidRPr="00A963E8" w:rsidRDefault="00A963E8" w:rsidP="00FF599D">
            <w:pPr>
              <w:jc w:val="both"/>
              <w:rPr>
                <w:rFonts w:ascii="Times New Roman" w:hAnsi="Times New Roman" w:cs="Times New Roman"/>
                <w:sz w:val="20"/>
                <w:szCs w:val="20"/>
              </w:rPr>
            </w:pPr>
          </w:p>
        </w:tc>
      </w:tr>
      <w:tr w:rsidR="00A963E8" w:rsidRPr="00A963E8" w:rsidTr="00F76FDC">
        <w:tc>
          <w:tcPr>
            <w:tcW w:w="2547" w:type="dxa"/>
            <w:vAlign w:val="center"/>
          </w:tcPr>
          <w:p w:rsidR="00A963E8" w:rsidRPr="00A963E8" w:rsidRDefault="00A963E8" w:rsidP="00FF599D">
            <w:pPr>
              <w:autoSpaceDE w:val="0"/>
              <w:autoSpaceDN w:val="0"/>
              <w:adjustRightInd w:val="0"/>
              <w:jc w:val="both"/>
              <w:rPr>
                <w:rFonts w:ascii="Times New Roman" w:hAnsi="Times New Roman" w:cs="Times New Roman"/>
                <w:sz w:val="20"/>
                <w:szCs w:val="20"/>
              </w:rPr>
            </w:pPr>
            <w:r w:rsidRPr="00A963E8">
              <w:rPr>
                <w:rFonts w:ascii="Times New Roman" w:hAnsi="Times New Roman" w:cs="Times New Roman"/>
                <w:sz w:val="20"/>
                <w:szCs w:val="20"/>
              </w:rPr>
              <w:t>Stora Enso sawmill (Ždírec nad Doubravou) (CZ)</w:t>
            </w:r>
          </w:p>
        </w:tc>
        <w:tc>
          <w:tcPr>
            <w:tcW w:w="2402" w:type="dxa"/>
            <w:vAlign w:val="center"/>
          </w:tcPr>
          <w:p w:rsidR="00A963E8" w:rsidRPr="00A963E8" w:rsidRDefault="00A963E8" w:rsidP="00FF599D">
            <w:pPr>
              <w:autoSpaceDE w:val="0"/>
              <w:autoSpaceDN w:val="0"/>
              <w:adjustRightInd w:val="0"/>
              <w:jc w:val="both"/>
              <w:rPr>
                <w:rFonts w:ascii="Times New Roman" w:hAnsi="Times New Roman" w:cs="Times New Roman"/>
                <w:sz w:val="20"/>
                <w:szCs w:val="20"/>
              </w:rPr>
            </w:pPr>
            <w:r w:rsidRPr="00A963E8">
              <w:rPr>
                <w:rFonts w:ascii="Times New Roman" w:hAnsi="Times New Roman" w:cs="Times New Roman"/>
                <w:sz w:val="20"/>
                <w:szCs w:val="20"/>
              </w:rPr>
              <w:t xml:space="preserve">Lenzing Biocel Paskov </w:t>
            </w:r>
          </w:p>
          <w:p w:rsidR="00A963E8" w:rsidRPr="00A963E8" w:rsidRDefault="00A963E8" w:rsidP="00FF599D">
            <w:pPr>
              <w:jc w:val="both"/>
              <w:rPr>
                <w:rFonts w:ascii="Times New Roman" w:hAnsi="Times New Roman" w:cs="Times New Roman"/>
                <w:sz w:val="20"/>
                <w:szCs w:val="20"/>
              </w:rPr>
            </w:pPr>
          </w:p>
        </w:tc>
        <w:tc>
          <w:tcPr>
            <w:tcW w:w="1567" w:type="dxa"/>
            <w:vMerge/>
            <w:vAlign w:val="center"/>
          </w:tcPr>
          <w:p w:rsidR="00A963E8" w:rsidRPr="00A963E8" w:rsidRDefault="00A963E8" w:rsidP="00FF599D">
            <w:pPr>
              <w:jc w:val="both"/>
              <w:rPr>
                <w:rFonts w:ascii="Times New Roman" w:hAnsi="Times New Roman" w:cs="Times New Roman"/>
                <w:sz w:val="20"/>
                <w:szCs w:val="20"/>
              </w:rPr>
            </w:pPr>
          </w:p>
        </w:tc>
        <w:tc>
          <w:tcPr>
            <w:tcW w:w="1276" w:type="dxa"/>
            <w:vMerge/>
            <w:vAlign w:val="center"/>
          </w:tcPr>
          <w:p w:rsidR="00A963E8" w:rsidRPr="00A963E8" w:rsidRDefault="00A963E8" w:rsidP="00FF599D">
            <w:pPr>
              <w:jc w:val="both"/>
              <w:rPr>
                <w:rFonts w:ascii="Times New Roman" w:hAnsi="Times New Roman" w:cs="Times New Roman"/>
                <w:sz w:val="20"/>
                <w:szCs w:val="20"/>
              </w:rPr>
            </w:pPr>
          </w:p>
        </w:tc>
        <w:tc>
          <w:tcPr>
            <w:tcW w:w="1270" w:type="dxa"/>
            <w:vAlign w:val="center"/>
          </w:tcPr>
          <w:p w:rsidR="00A963E8" w:rsidRPr="00A963E8" w:rsidRDefault="00A963E8" w:rsidP="00FF599D">
            <w:pPr>
              <w:jc w:val="both"/>
              <w:rPr>
                <w:rFonts w:ascii="Times New Roman" w:hAnsi="Times New Roman" w:cs="Times New Roman"/>
                <w:sz w:val="20"/>
                <w:szCs w:val="20"/>
              </w:rPr>
            </w:pPr>
            <w:r w:rsidRPr="00A963E8">
              <w:rPr>
                <w:rFonts w:ascii="Times New Roman" w:hAnsi="Times New Roman" w:cs="Times New Roman"/>
                <w:sz w:val="20"/>
                <w:szCs w:val="20"/>
              </w:rPr>
              <w:t>forklift truck</w:t>
            </w:r>
          </w:p>
        </w:tc>
      </w:tr>
      <w:tr w:rsidR="00A963E8" w:rsidRPr="00A963E8" w:rsidTr="00F76FDC">
        <w:tc>
          <w:tcPr>
            <w:tcW w:w="2547" w:type="dxa"/>
            <w:vAlign w:val="center"/>
          </w:tcPr>
          <w:p w:rsidR="00A963E8" w:rsidRPr="00A963E8" w:rsidRDefault="00A963E8" w:rsidP="00FF599D">
            <w:pPr>
              <w:autoSpaceDE w:val="0"/>
              <w:autoSpaceDN w:val="0"/>
              <w:adjustRightInd w:val="0"/>
              <w:jc w:val="both"/>
              <w:rPr>
                <w:rFonts w:ascii="Times New Roman" w:hAnsi="Times New Roman" w:cs="Times New Roman"/>
                <w:sz w:val="20"/>
                <w:szCs w:val="20"/>
              </w:rPr>
            </w:pPr>
            <w:r w:rsidRPr="00A963E8">
              <w:rPr>
                <w:rFonts w:ascii="Times New Roman" w:hAnsi="Times New Roman" w:cs="Times New Roman"/>
                <w:sz w:val="20"/>
                <w:szCs w:val="20"/>
              </w:rPr>
              <w:t>Stora Enso sawmill (Ždírec nad Doubravou) (CZ)</w:t>
            </w:r>
          </w:p>
        </w:tc>
        <w:tc>
          <w:tcPr>
            <w:tcW w:w="2402" w:type="dxa"/>
            <w:vAlign w:val="center"/>
          </w:tcPr>
          <w:p w:rsidR="00A963E8" w:rsidRPr="00A963E8" w:rsidRDefault="00A963E8" w:rsidP="00FF599D">
            <w:pPr>
              <w:autoSpaceDE w:val="0"/>
              <w:autoSpaceDN w:val="0"/>
              <w:adjustRightInd w:val="0"/>
              <w:jc w:val="both"/>
              <w:rPr>
                <w:rFonts w:ascii="Times New Roman" w:hAnsi="Times New Roman" w:cs="Times New Roman"/>
                <w:sz w:val="20"/>
                <w:szCs w:val="20"/>
              </w:rPr>
            </w:pPr>
            <w:r w:rsidRPr="00A963E8">
              <w:rPr>
                <w:rFonts w:ascii="Times New Roman" w:hAnsi="Times New Roman" w:cs="Times New Roman"/>
                <w:sz w:val="20"/>
                <w:szCs w:val="20"/>
              </w:rPr>
              <w:t xml:space="preserve">Sappi paper mill </w:t>
            </w:r>
          </w:p>
          <w:p w:rsidR="00A963E8" w:rsidRPr="00A963E8" w:rsidRDefault="00A963E8" w:rsidP="00FF599D">
            <w:pPr>
              <w:jc w:val="both"/>
              <w:rPr>
                <w:rFonts w:ascii="Times New Roman" w:hAnsi="Times New Roman" w:cs="Times New Roman"/>
                <w:sz w:val="20"/>
                <w:szCs w:val="20"/>
              </w:rPr>
            </w:pPr>
          </w:p>
        </w:tc>
        <w:tc>
          <w:tcPr>
            <w:tcW w:w="1567" w:type="dxa"/>
            <w:vMerge/>
            <w:vAlign w:val="center"/>
          </w:tcPr>
          <w:p w:rsidR="00A963E8" w:rsidRPr="00A963E8" w:rsidRDefault="00A963E8" w:rsidP="00FF599D">
            <w:pPr>
              <w:jc w:val="both"/>
              <w:rPr>
                <w:rFonts w:ascii="Times New Roman" w:hAnsi="Times New Roman" w:cs="Times New Roman"/>
                <w:sz w:val="20"/>
                <w:szCs w:val="20"/>
              </w:rPr>
            </w:pPr>
          </w:p>
        </w:tc>
        <w:tc>
          <w:tcPr>
            <w:tcW w:w="1276" w:type="dxa"/>
            <w:vMerge/>
            <w:vAlign w:val="center"/>
          </w:tcPr>
          <w:p w:rsidR="00A963E8" w:rsidRPr="00A963E8" w:rsidRDefault="00A963E8" w:rsidP="00FF599D">
            <w:pPr>
              <w:jc w:val="both"/>
              <w:rPr>
                <w:rFonts w:ascii="Times New Roman" w:hAnsi="Times New Roman" w:cs="Times New Roman"/>
                <w:sz w:val="20"/>
                <w:szCs w:val="20"/>
              </w:rPr>
            </w:pPr>
          </w:p>
        </w:tc>
        <w:tc>
          <w:tcPr>
            <w:tcW w:w="1270" w:type="dxa"/>
            <w:vAlign w:val="center"/>
          </w:tcPr>
          <w:p w:rsidR="00A963E8" w:rsidRPr="00A963E8" w:rsidRDefault="00A963E8" w:rsidP="00FF599D">
            <w:pPr>
              <w:jc w:val="both"/>
              <w:rPr>
                <w:rFonts w:ascii="Times New Roman" w:hAnsi="Times New Roman" w:cs="Times New Roman"/>
                <w:sz w:val="20"/>
                <w:szCs w:val="20"/>
              </w:rPr>
            </w:pPr>
            <w:r w:rsidRPr="00A963E8">
              <w:rPr>
                <w:rFonts w:ascii="Times New Roman" w:hAnsi="Times New Roman" w:cs="Times New Roman"/>
                <w:sz w:val="20"/>
                <w:szCs w:val="20"/>
              </w:rPr>
              <w:t>forklift truck</w:t>
            </w:r>
          </w:p>
        </w:tc>
      </w:tr>
      <w:tr w:rsidR="00A963E8" w:rsidRPr="00A963E8" w:rsidTr="00F76FDC">
        <w:tc>
          <w:tcPr>
            <w:tcW w:w="2547" w:type="dxa"/>
            <w:vAlign w:val="center"/>
          </w:tcPr>
          <w:p w:rsidR="00A963E8" w:rsidRPr="00A963E8" w:rsidRDefault="00A963E8" w:rsidP="00FF599D">
            <w:pPr>
              <w:autoSpaceDE w:val="0"/>
              <w:autoSpaceDN w:val="0"/>
              <w:adjustRightInd w:val="0"/>
              <w:jc w:val="both"/>
              <w:rPr>
                <w:rFonts w:ascii="Times New Roman" w:hAnsi="Times New Roman" w:cs="Times New Roman"/>
                <w:sz w:val="20"/>
                <w:szCs w:val="20"/>
              </w:rPr>
            </w:pPr>
            <w:r w:rsidRPr="00A963E8">
              <w:rPr>
                <w:rFonts w:ascii="Times New Roman" w:hAnsi="Times New Roman" w:cs="Times New Roman"/>
                <w:sz w:val="20"/>
                <w:szCs w:val="20"/>
              </w:rPr>
              <w:t>Loading locations network (A, DE)</w:t>
            </w:r>
          </w:p>
        </w:tc>
        <w:tc>
          <w:tcPr>
            <w:tcW w:w="2402" w:type="dxa"/>
            <w:vAlign w:val="center"/>
          </w:tcPr>
          <w:p w:rsidR="00A963E8" w:rsidRPr="00A963E8" w:rsidRDefault="00A963E8" w:rsidP="00FF599D">
            <w:pPr>
              <w:autoSpaceDE w:val="0"/>
              <w:autoSpaceDN w:val="0"/>
              <w:adjustRightInd w:val="0"/>
              <w:jc w:val="both"/>
              <w:rPr>
                <w:rFonts w:ascii="Times New Roman" w:hAnsi="Times New Roman" w:cs="Times New Roman"/>
                <w:sz w:val="20"/>
                <w:szCs w:val="20"/>
              </w:rPr>
            </w:pPr>
            <w:r w:rsidRPr="00A963E8">
              <w:rPr>
                <w:rFonts w:ascii="Times New Roman" w:hAnsi="Times New Roman" w:cs="Times New Roman"/>
                <w:sz w:val="20"/>
                <w:szCs w:val="20"/>
              </w:rPr>
              <w:t>Kronospan Jihlava</w:t>
            </w:r>
          </w:p>
        </w:tc>
        <w:tc>
          <w:tcPr>
            <w:tcW w:w="1567" w:type="dxa"/>
            <w:vAlign w:val="center"/>
          </w:tcPr>
          <w:p w:rsidR="00A963E8" w:rsidRPr="00A963E8" w:rsidRDefault="00A963E8" w:rsidP="00FF599D">
            <w:pPr>
              <w:jc w:val="both"/>
              <w:rPr>
                <w:rFonts w:ascii="Times New Roman" w:hAnsi="Times New Roman" w:cs="Times New Roman"/>
                <w:sz w:val="20"/>
                <w:szCs w:val="20"/>
              </w:rPr>
            </w:pPr>
            <w:r w:rsidRPr="00A963E8">
              <w:rPr>
                <w:rFonts w:ascii="Times New Roman" w:hAnsi="Times New Roman" w:cs="Times New Roman"/>
                <w:sz w:val="20"/>
                <w:szCs w:val="20"/>
              </w:rPr>
              <w:t>wood waste</w:t>
            </w:r>
          </w:p>
        </w:tc>
        <w:tc>
          <w:tcPr>
            <w:tcW w:w="1276" w:type="dxa"/>
            <w:vAlign w:val="center"/>
          </w:tcPr>
          <w:p w:rsidR="00A963E8" w:rsidRPr="00A963E8" w:rsidRDefault="00A963E8" w:rsidP="00FF599D">
            <w:pPr>
              <w:jc w:val="both"/>
              <w:rPr>
                <w:rFonts w:ascii="Times New Roman" w:hAnsi="Times New Roman" w:cs="Times New Roman"/>
                <w:sz w:val="20"/>
                <w:szCs w:val="20"/>
              </w:rPr>
            </w:pPr>
            <w:r w:rsidRPr="00A963E8">
              <w:rPr>
                <w:rFonts w:ascii="Times New Roman" w:hAnsi="Times New Roman" w:cs="Times New Roman"/>
                <w:sz w:val="20"/>
                <w:szCs w:val="20"/>
              </w:rPr>
              <w:t>IF XXL</w:t>
            </w:r>
          </w:p>
        </w:tc>
        <w:tc>
          <w:tcPr>
            <w:tcW w:w="1270" w:type="dxa"/>
            <w:vAlign w:val="center"/>
          </w:tcPr>
          <w:p w:rsidR="00A963E8" w:rsidRPr="00A963E8" w:rsidRDefault="00A963E8" w:rsidP="00FF599D">
            <w:pPr>
              <w:jc w:val="both"/>
              <w:rPr>
                <w:rFonts w:ascii="Times New Roman" w:hAnsi="Times New Roman" w:cs="Times New Roman"/>
                <w:sz w:val="20"/>
                <w:szCs w:val="20"/>
              </w:rPr>
            </w:pPr>
            <w:r w:rsidRPr="00A963E8">
              <w:rPr>
                <w:rFonts w:ascii="Times New Roman" w:hAnsi="Times New Roman" w:cs="Times New Roman"/>
                <w:sz w:val="20"/>
                <w:szCs w:val="20"/>
              </w:rPr>
              <w:t>forklift truck</w:t>
            </w:r>
          </w:p>
        </w:tc>
      </w:tr>
      <w:tr w:rsidR="00A963E8" w:rsidRPr="00A963E8" w:rsidTr="00F76FDC">
        <w:tc>
          <w:tcPr>
            <w:tcW w:w="2547" w:type="dxa"/>
            <w:vAlign w:val="center"/>
          </w:tcPr>
          <w:p w:rsidR="00A963E8" w:rsidRPr="00A963E8" w:rsidRDefault="00A963E8" w:rsidP="00FF599D">
            <w:pPr>
              <w:autoSpaceDE w:val="0"/>
              <w:autoSpaceDN w:val="0"/>
              <w:adjustRightInd w:val="0"/>
              <w:jc w:val="both"/>
              <w:rPr>
                <w:rFonts w:ascii="Times New Roman" w:hAnsi="Times New Roman" w:cs="Times New Roman"/>
                <w:sz w:val="20"/>
                <w:szCs w:val="20"/>
              </w:rPr>
            </w:pPr>
            <w:r w:rsidRPr="00A963E8">
              <w:rPr>
                <w:rFonts w:ascii="Times New Roman" w:hAnsi="Times New Roman" w:cs="Times New Roman"/>
                <w:sz w:val="20"/>
                <w:szCs w:val="20"/>
              </w:rPr>
              <w:t>Vlkov</w:t>
            </w:r>
          </w:p>
        </w:tc>
        <w:tc>
          <w:tcPr>
            <w:tcW w:w="2402" w:type="dxa"/>
            <w:vAlign w:val="center"/>
          </w:tcPr>
          <w:p w:rsidR="00A963E8" w:rsidRPr="00A963E8" w:rsidRDefault="00A963E8" w:rsidP="00FF599D">
            <w:pPr>
              <w:autoSpaceDE w:val="0"/>
              <w:autoSpaceDN w:val="0"/>
              <w:adjustRightInd w:val="0"/>
              <w:jc w:val="both"/>
              <w:rPr>
                <w:rFonts w:ascii="Times New Roman" w:hAnsi="Times New Roman" w:cs="Times New Roman"/>
                <w:sz w:val="20"/>
                <w:szCs w:val="20"/>
              </w:rPr>
            </w:pPr>
            <w:r w:rsidRPr="00A963E8">
              <w:rPr>
                <w:rFonts w:ascii="Times New Roman" w:hAnsi="Times New Roman" w:cs="Times New Roman"/>
                <w:sz w:val="20"/>
                <w:szCs w:val="20"/>
              </w:rPr>
              <w:t>DIAMO Dívčice disposal facility</w:t>
            </w:r>
          </w:p>
        </w:tc>
        <w:tc>
          <w:tcPr>
            <w:tcW w:w="1567" w:type="dxa"/>
            <w:vAlign w:val="center"/>
          </w:tcPr>
          <w:p w:rsidR="00A963E8" w:rsidRPr="00A963E8" w:rsidRDefault="00A963E8" w:rsidP="00FF599D">
            <w:pPr>
              <w:jc w:val="both"/>
              <w:rPr>
                <w:rFonts w:ascii="Times New Roman" w:hAnsi="Times New Roman" w:cs="Times New Roman"/>
                <w:sz w:val="20"/>
                <w:szCs w:val="20"/>
              </w:rPr>
            </w:pPr>
            <w:r w:rsidRPr="00A963E8">
              <w:rPr>
                <w:rFonts w:ascii="Times New Roman" w:hAnsi="Times New Roman" w:cs="Times New Roman"/>
                <w:sz w:val="20"/>
                <w:szCs w:val="20"/>
              </w:rPr>
              <w:t>excavated soil</w:t>
            </w:r>
          </w:p>
        </w:tc>
        <w:tc>
          <w:tcPr>
            <w:tcW w:w="1276" w:type="dxa"/>
            <w:vAlign w:val="center"/>
          </w:tcPr>
          <w:p w:rsidR="00A963E8" w:rsidRPr="00A963E8" w:rsidRDefault="00A963E8" w:rsidP="00FF599D">
            <w:pPr>
              <w:jc w:val="both"/>
              <w:rPr>
                <w:rFonts w:ascii="Times New Roman" w:hAnsi="Times New Roman" w:cs="Times New Roman"/>
                <w:sz w:val="20"/>
                <w:szCs w:val="20"/>
              </w:rPr>
            </w:pPr>
            <w:r w:rsidRPr="00A963E8">
              <w:rPr>
                <w:rFonts w:ascii="Times New Roman" w:hAnsi="Times New Roman" w:cs="Times New Roman"/>
                <w:sz w:val="20"/>
                <w:szCs w:val="20"/>
              </w:rPr>
              <w:t>IF XXM</w:t>
            </w:r>
          </w:p>
        </w:tc>
        <w:tc>
          <w:tcPr>
            <w:tcW w:w="1270" w:type="dxa"/>
            <w:vAlign w:val="center"/>
          </w:tcPr>
          <w:p w:rsidR="00A963E8" w:rsidRPr="00A963E8" w:rsidRDefault="00A963E8" w:rsidP="00FF599D">
            <w:pPr>
              <w:jc w:val="both"/>
              <w:rPr>
                <w:rFonts w:ascii="Times New Roman" w:hAnsi="Times New Roman" w:cs="Times New Roman"/>
                <w:sz w:val="20"/>
                <w:szCs w:val="20"/>
              </w:rPr>
            </w:pPr>
            <w:r w:rsidRPr="00A963E8">
              <w:rPr>
                <w:rFonts w:ascii="Times New Roman" w:hAnsi="Times New Roman" w:cs="Times New Roman"/>
                <w:sz w:val="20"/>
                <w:szCs w:val="20"/>
              </w:rPr>
              <w:t>forklift truck</w:t>
            </w:r>
          </w:p>
        </w:tc>
      </w:tr>
      <w:tr w:rsidR="00A963E8" w:rsidRPr="00A963E8" w:rsidTr="00F76FDC">
        <w:tc>
          <w:tcPr>
            <w:tcW w:w="2547" w:type="dxa"/>
            <w:vAlign w:val="center"/>
          </w:tcPr>
          <w:p w:rsidR="00A963E8" w:rsidRPr="00A963E8" w:rsidRDefault="00A963E8" w:rsidP="00FF599D">
            <w:pPr>
              <w:autoSpaceDE w:val="0"/>
              <w:autoSpaceDN w:val="0"/>
              <w:adjustRightInd w:val="0"/>
              <w:jc w:val="both"/>
              <w:rPr>
                <w:rFonts w:ascii="Times New Roman" w:hAnsi="Times New Roman" w:cs="Times New Roman"/>
                <w:sz w:val="20"/>
                <w:szCs w:val="20"/>
              </w:rPr>
            </w:pPr>
            <w:r w:rsidRPr="00A963E8">
              <w:rPr>
                <w:rFonts w:ascii="Times New Roman" w:hAnsi="Times New Roman" w:cs="Times New Roman"/>
                <w:sz w:val="20"/>
                <w:szCs w:val="20"/>
              </w:rPr>
              <w:t>Ostramo Ostrava lagoons</w:t>
            </w:r>
          </w:p>
          <w:p w:rsidR="00A963E8" w:rsidRPr="00A963E8" w:rsidRDefault="00A963E8" w:rsidP="00FF599D">
            <w:pPr>
              <w:autoSpaceDE w:val="0"/>
              <w:autoSpaceDN w:val="0"/>
              <w:adjustRightInd w:val="0"/>
              <w:jc w:val="both"/>
              <w:rPr>
                <w:rFonts w:ascii="Times New Roman" w:hAnsi="Times New Roman" w:cs="Times New Roman"/>
                <w:sz w:val="20"/>
                <w:szCs w:val="20"/>
              </w:rPr>
            </w:pPr>
          </w:p>
        </w:tc>
        <w:tc>
          <w:tcPr>
            <w:tcW w:w="2402" w:type="dxa"/>
            <w:vAlign w:val="center"/>
          </w:tcPr>
          <w:p w:rsidR="00A963E8" w:rsidRPr="00A963E8" w:rsidRDefault="00A963E8" w:rsidP="00FF599D">
            <w:pPr>
              <w:autoSpaceDE w:val="0"/>
              <w:autoSpaceDN w:val="0"/>
              <w:adjustRightInd w:val="0"/>
              <w:jc w:val="both"/>
              <w:rPr>
                <w:rFonts w:ascii="Times New Roman" w:hAnsi="Times New Roman" w:cs="Times New Roman"/>
                <w:sz w:val="20"/>
                <w:szCs w:val="20"/>
              </w:rPr>
            </w:pPr>
            <w:r w:rsidRPr="00A963E8">
              <w:rPr>
                <w:rFonts w:ascii="Times New Roman" w:hAnsi="Times New Roman" w:cs="Times New Roman"/>
                <w:sz w:val="20"/>
                <w:szCs w:val="20"/>
              </w:rPr>
              <w:t>Vřesová pressure gas plant</w:t>
            </w:r>
          </w:p>
          <w:p w:rsidR="00A963E8" w:rsidRPr="00A963E8" w:rsidRDefault="00A963E8" w:rsidP="00FF599D">
            <w:pPr>
              <w:jc w:val="both"/>
              <w:rPr>
                <w:rFonts w:ascii="Times New Roman" w:hAnsi="Times New Roman" w:cs="Times New Roman"/>
                <w:sz w:val="20"/>
                <w:szCs w:val="20"/>
              </w:rPr>
            </w:pPr>
          </w:p>
        </w:tc>
        <w:tc>
          <w:tcPr>
            <w:tcW w:w="1567" w:type="dxa"/>
            <w:vAlign w:val="center"/>
          </w:tcPr>
          <w:p w:rsidR="00A963E8" w:rsidRPr="00A963E8" w:rsidRDefault="00A963E8" w:rsidP="00FF599D">
            <w:pPr>
              <w:jc w:val="both"/>
              <w:rPr>
                <w:rFonts w:ascii="Times New Roman" w:hAnsi="Times New Roman" w:cs="Times New Roman"/>
                <w:sz w:val="20"/>
                <w:szCs w:val="20"/>
              </w:rPr>
            </w:pPr>
            <w:r w:rsidRPr="00A963E8">
              <w:rPr>
                <w:rFonts w:ascii="Times New Roman" w:hAnsi="Times New Roman" w:cs="Times New Roman"/>
                <w:sz w:val="20"/>
                <w:szCs w:val="20"/>
              </w:rPr>
              <w:t>oil sludge</w:t>
            </w:r>
          </w:p>
        </w:tc>
        <w:tc>
          <w:tcPr>
            <w:tcW w:w="1276" w:type="dxa"/>
            <w:vAlign w:val="center"/>
          </w:tcPr>
          <w:p w:rsidR="00A963E8" w:rsidRPr="00A963E8" w:rsidRDefault="00A963E8" w:rsidP="00FF599D">
            <w:pPr>
              <w:jc w:val="both"/>
              <w:rPr>
                <w:rFonts w:ascii="Times New Roman" w:hAnsi="Times New Roman" w:cs="Times New Roman"/>
                <w:sz w:val="20"/>
                <w:szCs w:val="20"/>
              </w:rPr>
            </w:pPr>
            <w:r w:rsidRPr="00A963E8">
              <w:rPr>
                <w:rFonts w:ascii="Times New Roman" w:hAnsi="Times New Roman" w:cs="Times New Roman"/>
                <w:sz w:val="20"/>
                <w:szCs w:val="20"/>
              </w:rPr>
              <w:t>IF XS</w:t>
            </w:r>
          </w:p>
        </w:tc>
        <w:tc>
          <w:tcPr>
            <w:tcW w:w="1270" w:type="dxa"/>
            <w:vAlign w:val="center"/>
          </w:tcPr>
          <w:p w:rsidR="00A963E8" w:rsidRPr="00A963E8" w:rsidRDefault="00A963E8" w:rsidP="00FF599D">
            <w:pPr>
              <w:jc w:val="both"/>
              <w:rPr>
                <w:rFonts w:ascii="Times New Roman" w:hAnsi="Times New Roman" w:cs="Times New Roman"/>
                <w:sz w:val="20"/>
                <w:szCs w:val="20"/>
              </w:rPr>
            </w:pPr>
            <w:r w:rsidRPr="00A963E8">
              <w:rPr>
                <w:rFonts w:ascii="Times New Roman" w:hAnsi="Times New Roman" w:cs="Times New Roman"/>
                <w:sz w:val="20"/>
                <w:szCs w:val="20"/>
              </w:rPr>
              <w:t>forklift truck</w:t>
            </w:r>
          </w:p>
        </w:tc>
      </w:tr>
      <w:tr w:rsidR="00A963E8" w:rsidRPr="00A963E8" w:rsidTr="00F76FDC">
        <w:tc>
          <w:tcPr>
            <w:tcW w:w="2547" w:type="dxa"/>
            <w:vAlign w:val="center"/>
          </w:tcPr>
          <w:p w:rsidR="00A963E8" w:rsidRPr="00A963E8" w:rsidRDefault="00A963E8" w:rsidP="00F76FDC">
            <w:pPr>
              <w:autoSpaceDE w:val="0"/>
              <w:autoSpaceDN w:val="0"/>
              <w:adjustRightInd w:val="0"/>
              <w:jc w:val="both"/>
              <w:rPr>
                <w:rFonts w:ascii="Times New Roman" w:hAnsi="Times New Roman" w:cs="Times New Roman"/>
                <w:sz w:val="20"/>
                <w:szCs w:val="20"/>
              </w:rPr>
            </w:pPr>
            <w:r w:rsidRPr="00A963E8">
              <w:rPr>
                <w:rFonts w:ascii="Times New Roman" w:hAnsi="Times New Roman" w:cs="Times New Roman"/>
                <w:sz w:val="20"/>
                <w:szCs w:val="20"/>
              </w:rPr>
              <w:t>Zdzieszowice/Zabrze coking plant (PL)</w:t>
            </w:r>
          </w:p>
        </w:tc>
        <w:tc>
          <w:tcPr>
            <w:tcW w:w="2402" w:type="dxa"/>
            <w:vMerge w:val="restart"/>
            <w:vAlign w:val="center"/>
          </w:tcPr>
          <w:p w:rsidR="00A963E8" w:rsidRPr="00A963E8" w:rsidRDefault="00A963E8" w:rsidP="00FF599D">
            <w:pPr>
              <w:autoSpaceDE w:val="0"/>
              <w:autoSpaceDN w:val="0"/>
              <w:adjustRightInd w:val="0"/>
              <w:jc w:val="both"/>
              <w:rPr>
                <w:rFonts w:ascii="Times New Roman" w:hAnsi="Times New Roman" w:cs="Times New Roman"/>
                <w:sz w:val="20"/>
                <w:szCs w:val="20"/>
              </w:rPr>
            </w:pPr>
            <w:r w:rsidRPr="00A963E8">
              <w:rPr>
                <w:rFonts w:ascii="Times New Roman" w:hAnsi="Times New Roman" w:cs="Times New Roman"/>
                <w:sz w:val="20"/>
                <w:szCs w:val="20"/>
              </w:rPr>
              <w:t>Voestalpine Donawitz steelworks (A)</w:t>
            </w:r>
          </w:p>
        </w:tc>
        <w:tc>
          <w:tcPr>
            <w:tcW w:w="1567" w:type="dxa"/>
            <w:vAlign w:val="center"/>
          </w:tcPr>
          <w:p w:rsidR="00A963E8" w:rsidRPr="00A963E8" w:rsidRDefault="00A963E8" w:rsidP="00FF599D">
            <w:pPr>
              <w:jc w:val="both"/>
              <w:rPr>
                <w:rFonts w:ascii="Times New Roman" w:hAnsi="Times New Roman" w:cs="Times New Roman"/>
                <w:sz w:val="20"/>
                <w:szCs w:val="20"/>
              </w:rPr>
            </w:pPr>
            <w:r w:rsidRPr="00A963E8">
              <w:rPr>
                <w:rFonts w:ascii="Times New Roman" w:hAnsi="Times New Roman" w:cs="Times New Roman"/>
                <w:sz w:val="20"/>
                <w:szCs w:val="20"/>
              </w:rPr>
              <w:t>coke</w:t>
            </w:r>
          </w:p>
        </w:tc>
        <w:tc>
          <w:tcPr>
            <w:tcW w:w="1276" w:type="dxa"/>
            <w:vAlign w:val="center"/>
          </w:tcPr>
          <w:p w:rsidR="00A963E8" w:rsidRPr="00A963E8" w:rsidRDefault="00A963E8" w:rsidP="00FF599D">
            <w:pPr>
              <w:jc w:val="both"/>
              <w:rPr>
                <w:rFonts w:ascii="Times New Roman" w:hAnsi="Times New Roman" w:cs="Times New Roman"/>
                <w:sz w:val="20"/>
                <w:szCs w:val="20"/>
              </w:rPr>
            </w:pPr>
            <w:r w:rsidRPr="00A963E8">
              <w:rPr>
                <w:rFonts w:ascii="Times New Roman" w:hAnsi="Times New Roman" w:cs="Times New Roman"/>
                <w:sz w:val="20"/>
                <w:szCs w:val="20"/>
              </w:rPr>
              <w:t>IF XL</w:t>
            </w:r>
          </w:p>
        </w:tc>
        <w:tc>
          <w:tcPr>
            <w:tcW w:w="1270" w:type="dxa"/>
            <w:vMerge w:val="restart"/>
            <w:vAlign w:val="center"/>
          </w:tcPr>
          <w:p w:rsidR="00A963E8" w:rsidRPr="00A963E8" w:rsidRDefault="00A963E8" w:rsidP="00FF599D">
            <w:pPr>
              <w:jc w:val="both"/>
              <w:rPr>
                <w:rFonts w:ascii="Times New Roman" w:hAnsi="Times New Roman" w:cs="Times New Roman"/>
                <w:sz w:val="20"/>
                <w:szCs w:val="20"/>
              </w:rPr>
            </w:pPr>
            <w:r w:rsidRPr="00A963E8">
              <w:rPr>
                <w:rFonts w:ascii="Times New Roman" w:hAnsi="Times New Roman" w:cs="Times New Roman"/>
                <w:sz w:val="20"/>
                <w:szCs w:val="20"/>
              </w:rPr>
              <w:t>stationary unloader</w:t>
            </w:r>
          </w:p>
        </w:tc>
      </w:tr>
      <w:tr w:rsidR="00A963E8" w:rsidRPr="00A963E8" w:rsidTr="00F76FDC">
        <w:tc>
          <w:tcPr>
            <w:tcW w:w="2547" w:type="dxa"/>
            <w:vAlign w:val="center"/>
          </w:tcPr>
          <w:p w:rsidR="00A963E8" w:rsidRPr="00A963E8" w:rsidRDefault="00A963E8" w:rsidP="00FF599D">
            <w:pPr>
              <w:autoSpaceDE w:val="0"/>
              <w:autoSpaceDN w:val="0"/>
              <w:adjustRightInd w:val="0"/>
              <w:jc w:val="both"/>
              <w:rPr>
                <w:rFonts w:ascii="Times New Roman" w:hAnsi="Times New Roman" w:cs="Times New Roman"/>
                <w:sz w:val="20"/>
                <w:szCs w:val="20"/>
              </w:rPr>
            </w:pPr>
            <w:r w:rsidRPr="00A963E8">
              <w:rPr>
                <w:rFonts w:ascii="Times New Roman" w:hAnsi="Times New Roman" w:cs="Times New Roman"/>
                <w:sz w:val="20"/>
                <w:szCs w:val="20"/>
              </w:rPr>
              <w:t>Radim (PL)</w:t>
            </w:r>
          </w:p>
        </w:tc>
        <w:tc>
          <w:tcPr>
            <w:tcW w:w="2402" w:type="dxa"/>
            <w:vMerge/>
            <w:vAlign w:val="center"/>
          </w:tcPr>
          <w:p w:rsidR="00A963E8" w:rsidRPr="00A963E8" w:rsidRDefault="00A963E8" w:rsidP="00FF599D">
            <w:pPr>
              <w:jc w:val="both"/>
              <w:rPr>
                <w:rFonts w:ascii="Times New Roman" w:hAnsi="Times New Roman" w:cs="Times New Roman"/>
                <w:sz w:val="20"/>
                <w:szCs w:val="20"/>
              </w:rPr>
            </w:pPr>
          </w:p>
        </w:tc>
        <w:tc>
          <w:tcPr>
            <w:tcW w:w="1567" w:type="dxa"/>
            <w:vAlign w:val="center"/>
          </w:tcPr>
          <w:p w:rsidR="00A963E8" w:rsidRPr="00A963E8" w:rsidRDefault="00A963E8" w:rsidP="00FF599D">
            <w:pPr>
              <w:jc w:val="both"/>
              <w:rPr>
                <w:rFonts w:ascii="Times New Roman" w:hAnsi="Times New Roman" w:cs="Times New Roman"/>
                <w:sz w:val="20"/>
                <w:szCs w:val="20"/>
              </w:rPr>
            </w:pPr>
            <w:r w:rsidRPr="00A963E8">
              <w:rPr>
                <w:rFonts w:ascii="Times New Roman" w:hAnsi="Times New Roman" w:cs="Times New Roman"/>
                <w:sz w:val="20"/>
                <w:szCs w:val="20"/>
              </w:rPr>
              <w:t>hard coal</w:t>
            </w:r>
          </w:p>
        </w:tc>
        <w:tc>
          <w:tcPr>
            <w:tcW w:w="1276" w:type="dxa"/>
            <w:vAlign w:val="center"/>
          </w:tcPr>
          <w:p w:rsidR="00A963E8" w:rsidRPr="00A963E8" w:rsidRDefault="00A963E8" w:rsidP="00FF599D">
            <w:pPr>
              <w:jc w:val="both"/>
              <w:rPr>
                <w:rFonts w:ascii="Times New Roman" w:hAnsi="Times New Roman" w:cs="Times New Roman"/>
                <w:sz w:val="20"/>
                <w:szCs w:val="20"/>
              </w:rPr>
            </w:pPr>
            <w:r w:rsidRPr="00A963E8">
              <w:rPr>
                <w:rFonts w:ascii="Times New Roman" w:hAnsi="Times New Roman" w:cs="Times New Roman"/>
                <w:sz w:val="20"/>
                <w:szCs w:val="20"/>
              </w:rPr>
              <w:t>IF XXM-L</w:t>
            </w:r>
          </w:p>
        </w:tc>
        <w:tc>
          <w:tcPr>
            <w:tcW w:w="1270" w:type="dxa"/>
            <w:vMerge/>
            <w:vAlign w:val="center"/>
          </w:tcPr>
          <w:p w:rsidR="00A963E8" w:rsidRPr="00A963E8" w:rsidRDefault="00A963E8" w:rsidP="00FF599D">
            <w:pPr>
              <w:jc w:val="both"/>
              <w:rPr>
                <w:rFonts w:ascii="Times New Roman" w:hAnsi="Times New Roman" w:cs="Times New Roman"/>
                <w:sz w:val="20"/>
                <w:szCs w:val="20"/>
              </w:rPr>
            </w:pPr>
          </w:p>
        </w:tc>
      </w:tr>
    </w:tbl>
    <w:p w:rsidR="00305E98" w:rsidRPr="00AF4278" w:rsidRDefault="00305E98" w:rsidP="00305E98">
      <w:pPr>
        <w:autoSpaceDE w:val="0"/>
        <w:autoSpaceDN w:val="0"/>
        <w:adjustRightInd w:val="0"/>
        <w:jc w:val="right"/>
        <w:rPr>
          <w:rFonts w:cstheme="minorHAnsi"/>
          <w:sz w:val="20"/>
          <w:szCs w:val="20"/>
          <w:lang w:val="cs-CZ"/>
        </w:rPr>
      </w:pPr>
      <w:r w:rsidRPr="00AF4278">
        <w:rPr>
          <w:rFonts w:cstheme="minorHAnsi"/>
          <w:sz w:val="20"/>
          <w:szCs w:val="20"/>
        </w:rPr>
        <w:t>Source</w:t>
      </w:r>
      <w:r w:rsidRPr="00AF4278">
        <w:rPr>
          <w:rFonts w:cstheme="minorHAnsi"/>
          <w:sz w:val="20"/>
          <w:szCs w:val="20"/>
          <w:lang w:val="cs-CZ"/>
        </w:rPr>
        <w:t xml:space="preserve">: </w:t>
      </w:r>
      <w:r w:rsidRPr="00AF4278">
        <w:rPr>
          <w:sz w:val="20"/>
          <w:szCs w:val="20"/>
        </w:rPr>
        <w:t xml:space="preserve">authors based on </w:t>
      </w:r>
      <w:r w:rsidRPr="00AF4278">
        <w:rPr>
          <w:rFonts w:cstheme="minorHAnsi"/>
          <w:sz w:val="20"/>
          <w:szCs w:val="20"/>
        </w:rPr>
        <w:t xml:space="preserve">[3, </w:t>
      </w:r>
      <w:r>
        <w:rPr>
          <w:rFonts w:cstheme="minorHAnsi"/>
          <w:sz w:val="20"/>
          <w:szCs w:val="20"/>
        </w:rPr>
        <w:t>8, 9</w:t>
      </w:r>
      <w:r w:rsidRPr="00AF4278">
        <w:rPr>
          <w:rFonts w:cstheme="minorHAnsi"/>
          <w:sz w:val="20"/>
          <w:szCs w:val="20"/>
        </w:rPr>
        <w:t>]</w:t>
      </w:r>
    </w:p>
    <w:p w:rsidR="00A963E8" w:rsidRDefault="00A963E8" w:rsidP="00A963E8">
      <w:pPr>
        <w:widowControl w:val="0"/>
        <w:ind w:firstLine="567"/>
        <w:jc w:val="both"/>
        <w:rPr>
          <w:sz w:val="20"/>
          <w:szCs w:val="20"/>
        </w:rPr>
      </w:pPr>
    </w:p>
    <w:p w:rsidR="00A963E8" w:rsidRDefault="00A963E8" w:rsidP="00A963E8">
      <w:pPr>
        <w:pStyle w:val="Body"/>
        <w:widowControl w:val="0"/>
        <w:spacing w:after="0"/>
        <w:contextualSpacing/>
        <w:rPr>
          <w:rFonts w:ascii="Times New Roman" w:hAnsi="Times New Roman"/>
          <w:b/>
        </w:rPr>
      </w:pPr>
      <w:r>
        <w:rPr>
          <w:rFonts w:ascii="Times New Roman" w:hAnsi="Times New Roman"/>
          <w:b/>
        </w:rPr>
        <w:t xml:space="preserve">2.4 </w:t>
      </w:r>
      <w:r w:rsidRPr="00A963E8">
        <w:rPr>
          <w:rFonts w:ascii="Times New Roman" w:hAnsi="Times New Roman"/>
          <w:b/>
        </w:rPr>
        <w:t>Comparison of analysis results</w:t>
      </w:r>
    </w:p>
    <w:p w:rsidR="00A963E8" w:rsidRPr="00A963E8" w:rsidRDefault="00A963E8" w:rsidP="00A963E8">
      <w:pPr>
        <w:widowControl w:val="0"/>
        <w:ind w:firstLine="567"/>
        <w:jc w:val="both"/>
        <w:rPr>
          <w:sz w:val="20"/>
          <w:szCs w:val="20"/>
        </w:rPr>
      </w:pPr>
      <w:r w:rsidRPr="00A963E8">
        <w:rPr>
          <w:sz w:val="20"/>
          <w:szCs w:val="20"/>
        </w:rPr>
        <w:t>The following two indicators were used to compare the use of the IF transport system in selected countries</w:t>
      </w:r>
      <w:r w:rsidR="00305E98">
        <w:rPr>
          <w:sz w:val="20"/>
          <w:szCs w:val="20"/>
        </w:rPr>
        <w:t xml:space="preserve"> [3]</w:t>
      </w:r>
      <w:r w:rsidRPr="00A963E8">
        <w:rPr>
          <w:sz w:val="20"/>
          <w:szCs w:val="20"/>
        </w:rPr>
        <w:t xml:space="preserve">: </w:t>
      </w:r>
    </w:p>
    <w:p w:rsidR="00A963E8" w:rsidRPr="00A963E8" w:rsidRDefault="00A963E8" w:rsidP="00A963E8">
      <w:pPr>
        <w:pStyle w:val="Odstavecseseznamem"/>
        <w:widowControl w:val="0"/>
        <w:numPr>
          <w:ilvl w:val="0"/>
          <w:numId w:val="6"/>
        </w:numPr>
        <w:spacing w:after="0" w:line="240" w:lineRule="auto"/>
        <w:jc w:val="both"/>
        <w:rPr>
          <w:rFonts w:ascii="Times New Roman" w:hAnsi="Times New Roman"/>
          <w:sz w:val="20"/>
          <w:szCs w:val="20"/>
        </w:rPr>
      </w:pPr>
      <w:r w:rsidRPr="00A963E8">
        <w:rPr>
          <w:rFonts w:ascii="Times New Roman" w:hAnsi="Times New Roman"/>
          <w:sz w:val="20"/>
          <w:szCs w:val="20"/>
        </w:rPr>
        <w:t xml:space="preserve">Share of volume of goods transported in IFs in the total volume of freight railway transportation </w:t>
      </w:r>
    </w:p>
    <w:p w:rsidR="00A963E8" w:rsidRDefault="00A963E8" w:rsidP="00A963E8">
      <w:pPr>
        <w:widowControl w:val="0"/>
        <w:ind w:firstLine="567"/>
        <w:jc w:val="both"/>
        <w:rPr>
          <w:sz w:val="20"/>
          <w:szCs w:val="20"/>
        </w:rPr>
      </w:pPr>
      <w:r w:rsidRPr="00A963E8">
        <w:rPr>
          <w:sz w:val="20"/>
          <w:szCs w:val="20"/>
        </w:rPr>
        <w:t xml:space="preserve">The volume of freight railway transportation in the countries analysed is shown in </w:t>
      </w:r>
      <w:r w:rsidR="00DF2B6E">
        <w:rPr>
          <w:sz w:val="20"/>
          <w:szCs w:val="20"/>
        </w:rPr>
        <w:t>Table 4</w:t>
      </w:r>
      <w:r w:rsidRPr="00A963E8">
        <w:rPr>
          <w:sz w:val="20"/>
          <w:szCs w:val="20"/>
        </w:rPr>
        <w:t xml:space="preserve">. From the data it is clear that the volume of freight railway transportation in the Czech Republic and Austria is more than twice that of Slovakia, with about 100 million tonnes of goods every year compared to Slovakia's less than half of this volume. The analysis of the use of the IF transport system identified different shares of IF transport in the different countries (approximately 2% in Austria, 6% in the Czech Republic and less than 1% in Slovakia). The commodities transported differ in the different countries as well. In the Czech Republic, the most transported commodity is brown coal (77%), in Austria it is wood chips (44%) and coke and hard coal (42%) and in Slovakia it is wood chips (68%). </w:t>
      </w:r>
    </w:p>
    <w:p w:rsidR="00F76FDC" w:rsidRDefault="00F76FDC" w:rsidP="00A963E8">
      <w:pPr>
        <w:widowControl w:val="0"/>
        <w:ind w:firstLine="567"/>
        <w:jc w:val="both"/>
        <w:rPr>
          <w:sz w:val="20"/>
          <w:szCs w:val="20"/>
        </w:rPr>
      </w:pPr>
    </w:p>
    <w:p w:rsidR="00F76FDC" w:rsidRDefault="00F76FDC" w:rsidP="00F76FDC">
      <w:pPr>
        <w:widowControl w:val="0"/>
        <w:ind w:right="1984" w:firstLine="720"/>
        <w:jc w:val="right"/>
        <w:rPr>
          <w:sz w:val="20"/>
        </w:rPr>
      </w:pPr>
      <w:r>
        <w:rPr>
          <w:sz w:val="20"/>
        </w:rPr>
        <w:t>Table 4</w:t>
      </w:r>
    </w:p>
    <w:p w:rsidR="00F76FDC" w:rsidRPr="00F76FDC" w:rsidRDefault="00F76FDC" w:rsidP="00F76FDC">
      <w:pPr>
        <w:jc w:val="center"/>
        <w:rPr>
          <w:rFonts w:cstheme="minorHAnsi"/>
          <w:sz w:val="20"/>
          <w:szCs w:val="20"/>
        </w:rPr>
      </w:pPr>
      <w:r w:rsidRPr="00F76FDC">
        <w:rPr>
          <w:rFonts w:cstheme="minorHAnsi"/>
          <w:color w:val="000000"/>
          <w:sz w:val="20"/>
          <w:szCs w:val="20"/>
        </w:rPr>
        <w:t>Share of volume of goods transported in IFs</w:t>
      </w:r>
    </w:p>
    <w:tbl>
      <w:tblPr>
        <w:tblW w:w="7225" w:type="dxa"/>
        <w:jc w:val="center"/>
        <w:tblCellMar>
          <w:left w:w="70" w:type="dxa"/>
          <w:right w:w="70" w:type="dxa"/>
        </w:tblCellMar>
        <w:tblLook w:val="04A0" w:firstRow="1" w:lastRow="0" w:firstColumn="1" w:lastColumn="0" w:noHBand="0" w:noVBand="1"/>
      </w:tblPr>
      <w:tblGrid>
        <w:gridCol w:w="1701"/>
        <w:gridCol w:w="1134"/>
        <w:gridCol w:w="709"/>
        <w:gridCol w:w="1134"/>
        <w:gridCol w:w="709"/>
        <w:gridCol w:w="1134"/>
        <w:gridCol w:w="704"/>
      </w:tblGrid>
      <w:tr w:rsidR="00F76FDC" w:rsidRPr="00064A3E" w:rsidTr="00FF599D">
        <w:trPr>
          <w:jc w:val="center"/>
        </w:trPr>
        <w:tc>
          <w:tcPr>
            <w:tcW w:w="1701" w:type="dxa"/>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76FDC" w:rsidRPr="00064A3E" w:rsidRDefault="00F76FDC" w:rsidP="00FF599D">
            <w:pPr>
              <w:rPr>
                <w:color w:val="000000"/>
                <w:sz w:val="20"/>
                <w:szCs w:val="20"/>
                <w:lang w:val="cs-CZ" w:eastAsia="cs-CZ"/>
              </w:rPr>
            </w:pPr>
            <w:r w:rsidRPr="00064A3E">
              <w:rPr>
                <w:color w:val="000000"/>
                <w:sz w:val="20"/>
                <w:szCs w:val="20"/>
              </w:rPr>
              <w:t>Goods</w:t>
            </w:r>
          </w:p>
        </w:tc>
        <w:tc>
          <w:tcPr>
            <w:tcW w:w="1843" w:type="dxa"/>
            <w:gridSpan w:val="2"/>
            <w:tcBorders>
              <w:top w:val="single" w:sz="4" w:space="0" w:color="auto"/>
              <w:left w:val="nil"/>
              <w:bottom w:val="single" w:sz="4" w:space="0" w:color="auto"/>
              <w:right w:val="single" w:sz="4" w:space="0" w:color="auto"/>
            </w:tcBorders>
            <w:shd w:val="clear" w:color="auto" w:fill="auto"/>
            <w:noWrap/>
            <w:vAlign w:val="bottom"/>
            <w:hideMark/>
          </w:tcPr>
          <w:p w:rsidR="00F76FDC" w:rsidRPr="00064A3E" w:rsidRDefault="00F76FDC" w:rsidP="00FF599D">
            <w:pPr>
              <w:jc w:val="center"/>
              <w:rPr>
                <w:color w:val="000000"/>
                <w:sz w:val="20"/>
                <w:szCs w:val="20"/>
              </w:rPr>
            </w:pPr>
            <w:r w:rsidRPr="00064A3E">
              <w:rPr>
                <w:color w:val="000000"/>
                <w:sz w:val="20"/>
                <w:szCs w:val="20"/>
              </w:rPr>
              <w:t>Austria</w:t>
            </w:r>
          </w:p>
        </w:tc>
        <w:tc>
          <w:tcPr>
            <w:tcW w:w="1843" w:type="dxa"/>
            <w:gridSpan w:val="2"/>
            <w:tcBorders>
              <w:top w:val="single" w:sz="4" w:space="0" w:color="auto"/>
              <w:left w:val="nil"/>
              <w:bottom w:val="single" w:sz="4" w:space="0" w:color="auto"/>
              <w:right w:val="single" w:sz="4" w:space="0" w:color="auto"/>
            </w:tcBorders>
            <w:shd w:val="clear" w:color="auto" w:fill="auto"/>
            <w:noWrap/>
            <w:vAlign w:val="bottom"/>
            <w:hideMark/>
          </w:tcPr>
          <w:p w:rsidR="00F76FDC" w:rsidRPr="00064A3E" w:rsidRDefault="00F76FDC" w:rsidP="00FF599D">
            <w:pPr>
              <w:jc w:val="center"/>
              <w:rPr>
                <w:color w:val="000000"/>
                <w:sz w:val="20"/>
                <w:szCs w:val="20"/>
              </w:rPr>
            </w:pPr>
            <w:r w:rsidRPr="00064A3E">
              <w:rPr>
                <w:color w:val="000000"/>
                <w:sz w:val="20"/>
                <w:szCs w:val="20"/>
              </w:rPr>
              <w:t>Slovakia</w:t>
            </w:r>
          </w:p>
        </w:tc>
        <w:tc>
          <w:tcPr>
            <w:tcW w:w="1838" w:type="dxa"/>
            <w:gridSpan w:val="2"/>
            <w:tcBorders>
              <w:top w:val="single" w:sz="4" w:space="0" w:color="auto"/>
              <w:left w:val="nil"/>
              <w:bottom w:val="single" w:sz="4" w:space="0" w:color="auto"/>
              <w:right w:val="single" w:sz="4" w:space="0" w:color="auto"/>
            </w:tcBorders>
            <w:shd w:val="clear" w:color="auto" w:fill="auto"/>
            <w:noWrap/>
            <w:vAlign w:val="bottom"/>
            <w:hideMark/>
          </w:tcPr>
          <w:p w:rsidR="00F76FDC" w:rsidRPr="00064A3E" w:rsidRDefault="00F76FDC" w:rsidP="00FF599D">
            <w:pPr>
              <w:jc w:val="center"/>
              <w:rPr>
                <w:color w:val="000000"/>
                <w:sz w:val="20"/>
                <w:szCs w:val="20"/>
              </w:rPr>
            </w:pPr>
            <w:r w:rsidRPr="00064A3E">
              <w:rPr>
                <w:color w:val="000000"/>
                <w:sz w:val="20"/>
                <w:szCs w:val="20"/>
              </w:rPr>
              <w:t>Czech Republic</w:t>
            </w:r>
          </w:p>
        </w:tc>
      </w:tr>
      <w:tr w:rsidR="00F76FDC" w:rsidRPr="00064A3E" w:rsidTr="00FF599D">
        <w:trPr>
          <w:jc w:val="center"/>
        </w:trPr>
        <w:tc>
          <w:tcPr>
            <w:tcW w:w="1701" w:type="dxa"/>
            <w:vMerge/>
            <w:tcBorders>
              <w:top w:val="single" w:sz="4" w:space="0" w:color="auto"/>
              <w:left w:val="single" w:sz="4" w:space="0" w:color="auto"/>
              <w:bottom w:val="single" w:sz="4" w:space="0" w:color="auto"/>
              <w:right w:val="single" w:sz="4" w:space="0" w:color="auto"/>
            </w:tcBorders>
            <w:vAlign w:val="center"/>
            <w:hideMark/>
          </w:tcPr>
          <w:p w:rsidR="00F76FDC" w:rsidRPr="00064A3E" w:rsidRDefault="00F76FDC" w:rsidP="00FF599D">
            <w:pPr>
              <w:rPr>
                <w:color w:val="000000"/>
                <w:sz w:val="20"/>
                <w:szCs w:val="20"/>
              </w:rPr>
            </w:pPr>
          </w:p>
        </w:tc>
        <w:tc>
          <w:tcPr>
            <w:tcW w:w="1134" w:type="dxa"/>
            <w:tcBorders>
              <w:top w:val="nil"/>
              <w:left w:val="nil"/>
              <w:bottom w:val="single" w:sz="4" w:space="0" w:color="auto"/>
              <w:right w:val="single" w:sz="4" w:space="0" w:color="auto"/>
            </w:tcBorders>
            <w:shd w:val="clear" w:color="auto" w:fill="auto"/>
            <w:noWrap/>
            <w:vAlign w:val="bottom"/>
            <w:hideMark/>
          </w:tcPr>
          <w:p w:rsidR="00F76FDC" w:rsidRPr="00064A3E" w:rsidRDefault="00F76FDC" w:rsidP="00FF599D">
            <w:pPr>
              <w:jc w:val="center"/>
              <w:rPr>
                <w:color w:val="000000"/>
                <w:sz w:val="20"/>
                <w:szCs w:val="20"/>
              </w:rPr>
            </w:pPr>
            <w:r w:rsidRPr="00064A3E">
              <w:rPr>
                <w:color w:val="000000"/>
                <w:sz w:val="20"/>
                <w:szCs w:val="20"/>
              </w:rPr>
              <w:t>[th. tonnes]</w:t>
            </w:r>
          </w:p>
        </w:tc>
        <w:tc>
          <w:tcPr>
            <w:tcW w:w="709" w:type="dxa"/>
            <w:tcBorders>
              <w:top w:val="nil"/>
              <w:left w:val="nil"/>
              <w:bottom w:val="single" w:sz="4" w:space="0" w:color="auto"/>
              <w:right w:val="single" w:sz="4" w:space="0" w:color="auto"/>
            </w:tcBorders>
            <w:shd w:val="clear" w:color="auto" w:fill="auto"/>
            <w:noWrap/>
            <w:vAlign w:val="bottom"/>
            <w:hideMark/>
          </w:tcPr>
          <w:p w:rsidR="00F76FDC" w:rsidRPr="00064A3E" w:rsidRDefault="00F76FDC" w:rsidP="00FF599D">
            <w:pPr>
              <w:jc w:val="center"/>
              <w:rPr>
                <w:color w:val="000000"/>
                <w:sz w:val="20"/>
                <w:szCs w:val="20"/>
              </w:rPr>
            </w:pPr>
            <w:r w:rsidRPr="00064A3E">
              <w:rPr>
                <w:color w:val="000000"/>
                <w:sz w:val="20"/>
                <w:szCs w:val="20"/>
              </w:rPr>
              <w:t>[%]</w:t>
            </w:r>
          </w:p>
        </w:tc>
        <w:tc>
          <w:tcPr>
            <w:tcW w:w="1134" w:type="dxa"/>
            <w:tcBorders>
              <w:top w:val="nil"/>
              <w:left w:val="nil"/>
              <w:bottom w:val="single" w:sz="4" w:space="0" w:color="auto"/>
              <w:right w:val="single" w:sz="4" w:space="0" w:color="auto"/>
            </w:tcBorders>
            <w:shd w:val="clear" w:color="auto" w:fill="auto"/>
            <w:noWrap/>
            <w:vAlign w:val="bottom"/>
            <w:hideMark/>
          </w:tcPr>
          <w:p w:rsidR="00F76FDC" w:rsidRPr="00064A3E" w:rsidRDefault="00F76FDC" w:rsidP="00FF599D">
            <w:pPr>
              <w:jc w:val="center"/>
              <w:rPr>
                <w:color w:val="000000"/>
                <w:sz w:val="20"/>
                <w:szCs w:val="20"/>
              </w:rPr>
            </w:pPr>
            <w:r w:rsidRPr="00064A3E">
              <w:rPr>
                <w:color w:val="000000"/>
                <w:sz w:val="20"/>
                <w:szCs w:val="20"/>
              </w:rPr>
              <w:t>[th. tonnes]</w:t>
            </w:r>
          </w:p>
        </w:tc>
        <w:tc>
          <w:tcPr>
            <w:tcW w:w="709" w:type="dxa"/>
            <w:tcBorders>
              <w:top w:val="nil"/>
              <w:left w:val="nil"/>
              <w:bottom w:val="single" w:sz="4" w:space="0" w:color="auto"/>
              <w:right w:val="single" w:sz="4" w:space="0" w:color="auto"/>
            </w:tcBorders>
            <w:shd w:val="clear" w:color="auto" w:fill="auto"/>
            <w:noWrap/>
            <w:vAlign w:val="bottom"/>
            <w:hideMark/>
          </w:tcPr>
          <w:p w:rsidR="00F76FDC" w:rsidRPr="00064A3E" w:rsidRDefault="00F76FDC" w:rsidP="00FF599D">
            <w:pPr>
              <w:jc w:val="center"/>
              <w:rPr>
                <w:color w:val="000000"/>
                <w:sz w:val="20"/>
                <w:szCs w:val="20"/>
              </w:rPr>
            </w:pPr>
            <w:r w:rsidRPr="00064A3E">
              <w:rPr>
                <w:color w:val="000000"/>
                <w:sz w:val="20"/>
                <w:szCs w:val="20"/>
              </w:rPr>
              <w:t>[%]</w:t>
            </w:r>
          </w:p>
        </w:tc>
        <w:tc>
          <w:tcPr>
            <w:tcW w:w="1134" w:type="dxa"/>
            <w:tcBorders>
              <w:top w:val="nil"/>
              <w:left w:val="nil"/>
              <w:bottom w:val="single" w:sz="4" w:space="0" w:color="auto"/>
              <w:right w:val="single" w:sz="4" w:space="0" w:color="auto"/>
            </w:tcBorders>
            <w:shd w:val="clear" w:color="auto" w:fill="auto"/>
            <w:noWrap/>
            <w:vAlign w:val="bottom"/>
            <w:hideMark/>
          </w:tcPr>
          <w:p w:rsidR="00F76FDC" w:rsidRPr="00064A3E" w:rsidRDefault="00F76FDC" w:rsidP="00FF599D">
            <w:pPr>
              <w:jc w:val="center"/>
              <w:rPr>
                <w:color w:val="000000"/>
                <w:sz w:val="20"/>
                <w:szCs w:val="20"/>
              </w:rPr>
            </w:pPr>
            <w:r w:rsidRPr="00064A3E">
              <w:rPr>
                <w:color w:val="000000"/>
                <w:sz w:val="20"/>
                <w:szCs w:val="20"/>
              </w:rPr>
              <w:t>[th. tonnes]</w:t>
            </w:r>
          </w:p>
        </w:tc>
        <w:tc>
          <w:tcPr>
            <w:tcW w:w="704" w:type="dxa"/>
            <w:tcBorders>
              <w:top w:val="nil"/>
              <w:left w:val="nil"/>
              <w:bottom w:val="single" w:sz="4" w:space="0" w:color="auto"/>
              <w:right w:val="single" w:sz="4" w:space="0" w:color="auto"/>
            </w:tcBorders>
            <w:shd w:val="clear" w:color="auto" w:fill="auto"/>
            <w:noWrap/>
            <w:vAlign w:val="bottom"/>
            <w:hideMark/>
          </w:tcPr>
          <w:p w:rsidR="00F76FDC" w:rsidRPr="00064A3E" w:rsidRDefault="00F76FDC" w:rsidP="00FF599D">
            <w:pPr>
              <w:jc w:val="center"/>
              <w:rPr>
                <w:color w:val="000000"/>
                <w:sz w:val="20"/>
                <w:szCs w:val="20"/>
              </w:rPr>
            </w:pPr>
            <w:r w:rsidRPr="00064A3E">
              <w:rPr>
                <w:color w:val="000000"/>
                <w:sz w:val="20"/>
                <w:szCs w:val="20"/>
              </w:rPr>
              <w:t>[%]</w:t>
            </w:r>
          </w:p>
        </w:tc>
      </w:tr>
      <w:tr w:rsidR="00F76FDC" w:rsidRPr="00064A3E" w:rsidTr="00FF599D">
        <w:trPr>
          <w:jc w:val="center"/>
        </w:trPr>
        <w:tc>
          <w:tcPr>
            <w:tcW w:w="1701" w:type="dxa"/>
            <w:tcBorders>
              <w:top w:val="nil"/>
              <w:left w:val="single" w:sz="4" w:space="0" w:color="auto"/>
              <w:bottom w:val="single" w:sz="4" w:space="0" w:color="auto"/>
              <w:right w:val="single" w:sz="4" w:space="0" w:color="auto"/>
            </w:tcBorders>
            <w:shd w:val="clear" w:color="auto" w:fill="auto"/>
            <w:noWrap/>
            <w:vAlign w:val="bottom"/>
            <w:hideMark/>
          </w:tcPr>
          <w:p w:rsidR="00F76FDC" w:rsidRPr="00064A3E" w:rsidRDefault="00F76FDC" w:rsidP="00FF599D">
            <w:pPr>
              <w:rPr>
                <w:color w:val="000000"/>
                <w:sz w:val="20"/>
                <w:szCs w:val="20"/>
              </w:rPr>
            </w:pPr>
            <w:r w:rsidRPr="00064A3E">
              <w:rPr>
                <w:color w:val="000000"/>
                <w:sz w:val="20"/>
                <w:szCs w:val="20"/>
              </w:rPr>
              <w:t xml:space="preserve">brown coal </w:t>
            </w:r>
          </w:p>
        </w:tc>
        <w:tc>
          <w:tcPr>
            <w:tcW w:w="1134" w:type="dxa"/>
            <w:tcBorders>
              <w:top w:val="nil"/>
              <w:left w:val="nil"/>
              <w:bottom w:val="single" w:sz="4" w:space="0" w:color="auto"/>
              <w:right w:val="single" w:sz="4" w:space="0" w:color="auto"/>
            </w:tcBorders>
            <w:shd w:val="clear" w:color="auto" w:fill="auto"/>
            <w:noWrap/>
            <w:vAlign w:val="bottom"/>
            <w:hideMark/>
          </w:tcPr>
          <w:p w:rsidR="00F76FDC" w:rsidRPr="00064A3E" w:rsidRDefault="00F76FDC" w:rsidP="00FF599D">
            <w:pPr>
              <w:jc w:val="center"/>
              <w:rPr>
                <w:color w:val="000000"/>
                <w:sz w:val="20"/>
                <w:szCs w:val="20"/>
              </w:rPr>
            </w:pPr>
            <w:r w:rsidRPr="00064A3E">
              <w:rPr>
                <w:color w:val="000000"/>
                <w:sz w:val="20"/>
                <w:szCs w:val="20"/>
              </w:rPr>
              <w:t>-</w:t>
            </w:r>
          </w:p>
        </w:tc>
        <w:tc>
          <w:tcPr>
            <w:tcW w:w="709" w:type="dxa"/>
            <w:tcBorders>
              <w:top w:val="nil"/>
              <w:left w:val="nil"/>
              <w:bottom w:val="single" w:sz="4" w:space="0" w:color="auto"/>
              <w:right w:val="single" w:sz="4" w:space="0" w:color="auto"/>
            </w:tcBorders>
            <w:shd w:val="clear" w:color="auto" w:fill="auto"/>
            <w:noWrap/>
            <w:vAlign w:val="bottom"/>
            <w:hideMark/>
          </w:tcPr>
          <w:p w:rsidR="00F76FDC" w:rsidRPr="00064A3E" w:rsidRDefault="00F76FDC" w:rsidP="00FF599D">
            <w:pPr>
              <w:jc w:val="center"/>
              <w:rPr>
                <w:color w:val="000000"/>
                <w:sz w:val="20"/>
                <w:szCs w:val="20"/>
              </w:rPr>
            </w:pPr>
            <w:r w:rsidRPr="00064A3E">
              <w:rPr>
                <w:color w:val="000000"/>
                <w:sz w:val="20"/>
                <w:szCs w:val="20"/>
              </w:rPr>
              <w:t>-</w:t>
            </w:r>
          </w:p>
        </w:tc>
        <w:tc>
          <w:tcPr>
            <w:tcW w:w="1134" w:type="dxa"/>
            <w:tcBorders>
              <w:top w:val="nil"/>
              <w:left w:val="nil"/>
              <w:bottom w:val="single" w:sz="4" w:space="0" w:color="auto"/>
              <w:right w:val="single" w:sz="4" w:space="0" w:color="auto"/>
            </w:tcBorders>
            <w:shd w:val="clear" w:color="auto" w:fill="auto"/>
            <w:noWrap/>
            <w:vAlign w:val="bottom"/>
            <w:hideMark/>
          </w:tcPr>
          <w:p w:rsidR="00F76FDC" w:rsidRPr="00064A3E" w:rsidRDefault="00F76FDC" w:rsidP="00FF599D">
            <w:pPr>
              <w:jc w:val="center"/>
              <w:rPr>
                <w:color w:val="000000"/>
                <w:sz w:val="20"/>
                <w:szCs w:val="20"/>
              </w:rPr>
            </w:pPr>
            <w:r w:rsidRPr="00064A3E">
              <w:rPr>
                <w:color w:val="000000"/>
                <w:sz w:val="20"/>
                <w:szCs w:val="20"/>
              </w:rPr>
              <w:t>-</w:t>
            </w:r>
          </w:p>
        </w:tc>
        <w:tc>
          <w:tcPr>
            <w:tcW w:w="709" w:type="dxa"/>
            <w:tcBorders>
              <w:top w:val="nil"/>
              <w:left w:val="nil"/>
              <w:bottom w:val="single" w:sz="4" w:space="0" w:color="auto"/>
              <w:right w:val="single" w:sz="4" w:space="0" w:color="auto"/>
            </w:tcBorders>
            <w:shd w:val="clear" w:color="auto" w:fill="auto"/>
            <w:noWrap/>
            <w:vAlign w:val="bottom"/>
            <w:hideMark/>
          </w:tcPr>
          <w:p w:rsidR="00F76FDC" w:rsidRPr="00064A3E" w:rsidRDefault="00F76FDC" w:rsidP="00FF599D">
            <w:pPr>
              <w:jc w:val="center"/>
              <w:rPr>
                <w:color w:val="000000"/>
                <w:sz w:val="20"/>
                <w:szCs w:val="20"/>
              </w:rPr>
            </w:pPr>
            <w:r w:rsidRPr="00064A3E">
              <w:rPr>
                <w:color w:val="000000"/>
                <w:sz w:val="20"/>
                <w:szCs w:val="20"/>
              </w:rPr>
              <w:t>-</w:t>
            </w:r>
          </w:p>
        </w:tc>
        <w:tc>
          <w:tcPr>
            <w:tcW w:w="1134" w:type="dxa"/>
            <w:tcBorders>
              <w:top w:val="nil"/>
              <w:left w:val="nil"/>
              <w:bottom w:val="single" w:sz="4" w:space="0" w:color="auto"/>
              <w:right w:val="single" w:sz="4" w:space="0" w:color="auto"/>
            </w:tcBorders>
            <w:shd w:val="clear" w:color="auto" w:fill="auto"/>
            <w:noWrap/>
            <w:vAlign w:val="bottom"/>
            <w:hideMark/>
          </w:tcPr>
          <w:p w:rsidR="00F76FDC" w:rsidRPr="00064A3E" w:rsidRDefault="00F76FDC" w:rsidP="00FF599D">
            <w:pPr>
              <w:jc w:val="center"/>
              <w:rPr>
                <w:color w:val="000000"/>
                <w:sz w:val="20"/>
                <w:szCs w:val="20"/>
              </w:rPr>
            </w:pPr>
            <w:r w:rsidRPr="00064A3E">
              <w:rPr>
                <w:color w:val="000000"/>
                <w:sz w:val="20"/>
                <w:szCs w:val="20"/>
              </w:rPr>
              <w:t>4 550</w:t>
            </w:r>
          </w:p>
        </w:tc>
        <w:tc>
          <w:tcPr>
            <w:tcW w:w="704" w:type="dxa"/>
            <w:tcBorders>
              <w:top w:val="nil"/>
              <w:left w:val="nil"/>
              <w:bottom w:val="single" w:sz="4" w:space="0" w:color="auto"/>
              <w:right w:val="single" w:sz="4" w:space="0" w:color="auto"/>
            </w:tcBorders>
            <w:shd w:val="clear" w:color="auto" w:fill="auto"/>
            <w:noWrap/>
            <w:vAlign w:val="bottom"/>
            <w:hideMark/>
          </w:tcPr>
          <w:p w:rsidR="00F76FDC" w:rsidRPr="00064A3E" w:rsidRDefault="00F76FDC" w:rsidP="00FF599D">
            <w:pPr>
              <w:jc w:val="center"/>
              <w:rPr>
                <w:color w:val="000000"/>
                <w:sz w:val="20"/>
                <w:szCs w:val="20"/>
              </w:rPr>
            </w:pPr>
            <w:r w:rsidRPr="00064A3E">
              <w:rPr>
                <w:color w:val="000000"/>
                <w:sz w:val="20"/>
                <w:szCs w:val="20"/>
              </w:rPr>
              <w:t>77%</w:t>
            </w:r>
          </w:p>
        </w:tc>
      </w:tr>
      <w:tr w:rsidR="00F76FDC" w:rsidRPr="00064A3E" w:rsidTr="00FF599D">
        <w:trPr>
          <w:jc w:val="center"/>
        </w:trPr>
        <w:tc>
          <w:tcPr>
            <w:tcW w:w="1701" w:type="dxa"/>
            <w:tcBorders>
              <w:top w:val="nil"/>
              <w:left w:val="single" w:sz="4" w:space="0" w:color="auto"/>
              <w:bottom w:val="single" w:sz="4" w:space="0" w:color="auto"/>
              <w:right w:val="single" w:sz="4" w:space="0" w:color="auto"/>
            </w:tcBorders>
            <w:shd w:val="clear" w:color="auto" w:fill="auto"/>
            <w:noWrap/>
            <w:vAlign w:val="bottom"/>
            <w:hideMark/>
          </w:tcPr>
          <w:p w:rsidR="00F76FDC" w:rsidRPr="00064A3E" w:rsidRDefault="00F76FDC" w:rsidP="00FF599D">
            <w:pPr>
              <w:rPr>
                <w:color w:val="000000"/>
                <w:sz w:val="20"/>
                <w:szCs w:val="20"/>
              </w:rPr>
            </w:pPr>
            <w:r w:rsidRPr="00064A3E">
              <w:rPr>
                <w:color w:val="000000"/>
                <w:sz w:val="20"/>
                <w:szCs w:val="20"/>
              </w:rPr>
              <w:t xml:space="preserve">wood chips </w:t>
            </w:r>
          </w:p>
        </w:tc>
        <w:tc>
          <w:tcPr>
            <w:tcW w:w="1134" w:type="dxa"/>
            <w:tcBorders>
              <w:top w:val="nil"/>
              <w:left w:val="nil"/>
              <w:bottom w:val="single" w:sz="4" w:space="0" w:color="auto"/>
              <w:right w:val="single" w:sz="4" w:space="0" w:color="auto"/>
            </w:tcBorders>
            <w:shd w:val="clear" w:color="auto" w:fill="auto"/>
            <w:noWrap/>
            <w:vAlign w:val="bottom"/>
            <w:hideMark/>
          </w:tcPr>
          <w:p w:rsidR="00F76FDC" w:rsidRPr="00064A3E" w:rsidRDefault="00F76FDC" w:rsidP="00FF599D">
            <w:pPr>
              <w:jc w:val="center"/>
              <w:rPr>
                <w:color w:val="000000"/>
                <w:sz w:val="20"/>
                <w:szCs w:val="20"/>
              </w:rPr>
            </w:pPr>
            <w:r w:rsidRPr="00064A3E">
              <w:rPr>
                <w:color w:val="000000"/>
                <w:sz w:val="20"/>
                <w:szCs w:val="20"/>
              </w:rPr>
              <w:t>850</w:t>
            </w:r>
          </w:p>
        </w:tc>
        <w:tc>
          <w:tcPr>
            <w:tcW w:w="709" w:type="dxa"/>
            <w:tcBorders>
              <w:top w:val="nil"/>
              <w:left w:val="nil"/>
              <w:bottom w:val="single" w:sz="4" w:space="0" w:color="auto"/>
              <w:right w:val="single" w:sz="4" w:space="0" w:color="auto"/>
            </w:tcBorders>
            <w:shd w:val="clear" w:color="auto" w:fill="auto"/>
            <w:noWrap/>
            <w:vAlign w:val="bottom"/>
            <w:hideMark/>
          </w:tcPr>
          <w:p w:rsidR="00F76FDC" w:rsidRPr="00064A3E" w:rsidRDefault="00F76FDC" w:rsidP="00FF599D">
            <w:pPr>
              <w:jc w:val="center"/>
              <w:rPr>
                <w:color w:val="000000"/>
                <w:sz w:val="20"/>
                <w:szCs w:val="20"/>
              </w:rPr>
            </w:pPr>
            <w:r w:rsidRPr="00064A3E">
              <w:rPr>
                <w:color w:val="000000"/>
                <w:sz w:val="20"/>
                <w:szCs w:val="20"/>
              </w:rPr>
              <w:t>44%</w:t>
            </w:r>
          </w:p>
        </w:tc>
        <w:tc>
          <w:tcPr>
            <w:tcW w:w="1134" w:type="dxa"/>
            <w:tcBorders>
              <w:top w:val="nil"/>
              <w:left w:val="nil"/>
              <w:bottom w:val="single" w:sz="4" w:space="0" w:color="auto"/>
              <w:right w:val="single" w:sz="4" w:space="0" w:color="auto"/>
            </w:tcBorders>
            <w:shd w:val="clear" w:color="auto" w:fill="auto"/>
            <w:noWrap/>
            <w:vAlign w:val="bottom"/>
            <w:hideMark/>
          </w:tcPr>
          <w:p w:rsidR="00F76FDC" w:rsidRPr="00064A3E" w:rsidRDefault="00F76FDC" w:rsidP="00FF599D">
            <w:pPr>
              <w:jc w:val="center"/>
              <w:rPr>
                <w:color w:val="000000"/>
                <w:sz w:val="20"/>
                <w:szCs w:val="20"/>
              </w:rPr>
            </w:pPr>
            <w:r w:rsidRPr="00064A3E">
              <w:rPr>
                <w:color w:val="000000"/>
                <w:sz w:val="20"/>
                <w:szCs w:val="20"/>
              </w:rPr>
              <w:t>215</w:t>
            </w:r>
          </w:p>
        </w:tc>
        <w:tc>
          <w:tcPr>
            <w:tcW w:w="709" w:type="dxa"/>
            <w:tcBorders>
              <w:top w:val="nil"/>
              <w:left w:val="nil"/>
              <w:bottom w:val="single" w:sz="4" w:space="0" w:color="auto"/>
              <w:right w:val="single" w:sz="4" w:space="0" w:color="auto"/>
            </w:tcBorders>
            <w:shd w:val="clear" w:color="auto" w:fill="auto"/>
            <w:noWrap/>
            <w:vAlign w:val="bottom"/>
            <w:hideMark/>
          </w:tcPr>
          <w:p w:rsidR="00F76FDC" w:rsidRPr="00064A3E" w:rsidRDefault="00F76FDC" w:rsidP="00FF599D">
            <w:pPr>
              <w:jc w:val="center"/>
              <w:rPr>
                <w:color w:val="000000"/>
                <w:sz w:val="20"/>
                <w:szCs w:val="20"/>
              </w:rPr>
            </w:pPr>
            <w:r w:rsidRPr="00064A3E">
              <w:rPr>
                <w:color w:val="000000"/>
                <w:sz w:val="20"/>
                <w:szCs w:val="20"/>
              </w:rPr>
              <w:t>68%</w:t>
            </w:r>
          </w:p>
        </w:tc>
        <w:tc>
          <w:tcPr>
            <w:tcW w:w="1134" w:type="dxa"/>
            <w:tcBorders>
              <w:top w:val="nil"/>
              <w:left w:val="nil"/>
              <w:bottom w:val="single" w:sz="4" w:space="0" w:color="auto"/>
              <w:right w:val="single" w:sz="4" w:space="0" w:color="auto"/>
            </w:tcBorders>
            <w:shd w:val="clear" w:color="auto" w:fill="auto"/>
            <w:noWrap/>
            <w:vAlign w:val="bottom"/>
            <w:hideMark/>
          </w:tcPr>
          <w:p w:rsidR="00F76FDC" w:rsidRPr="00064A3E" w:rsidRDefault="00F76FDC" w:rsidP="00FF599D">
            <w:pPr>
              <w:jc w:val="center"/>
              <w:rPr>
                <w:color w:val="000000"/>
                <w:sz w:val="20"/>
                <w:szCs w:val="20"/>
              </w:rPr>
            </w:pPr>
            <w:r w:rsidRPr="00064A3E">
              <w:rPr>
                <w:color w:val="000000"/>
                <w:sz w:val="20"/>
                <w:szCs w:val="20"/>
              </w:rPr>
              <w:t>525</w:t>
            </w:r>
          </w:p>
        </w:tc>
        <w:tc>
          <w:tcPr>
            <w:tcW w:w="704" w:type="dxa"/>
            <w:tcBorders>
              <w:top w:val="nil"/>
              <w:left w:val="nil"/>
              <w:bottom w:val="single" w:sz="4" w:space="0" w:color="auto"/>
              <w:right w:val="single" w:sz="4" w:space="0" w:color="auto"/>
            </w:tcBorders>
            <w:shd w:val="clear" w:color="auto" w:fill="auto"/>
            <w:noWrap/>
            <w:vAlign w:val="bottom"/>
            <w:hideMark/>
          </w:tcPr>
          <w:p w:rsidR="00F76FDC" w:rsidRPr="00064A3E" w:rsidRDefault="00F76FDC" w:rsidP="00FF599D">
            <w:pPr>
              <w:jc w:val="center"/>
              <w:rPr>
                <w:color w:val="000000"/>
                <w:sz w:val="20"/>
                <w:szCs w:val="20"/>
              </w:rPr>
            </w:pPr>
            <w:r w:rsidRPr="00064A3E">
              <w:rPr>
                <w:color w:val="000000"/>
                <w:sz w:val="20"/>
                <w:szCs w:val="20"/>
              </w:rPr>
              <w:t>9%</w:t>
            </w:r>
          </w:p>
        </w:tc>
      </w:tr>
      <w:tr w:rsidR="00F76FDC" w:rsidRPr="00064A3E" w:rsidTr="00FF599D">
        <w:trPr>
          <w:jc w:val="center"/>
        </w:trPr>
        <w:tc>
          <w:tcPr>
            <w:tcW w:w="1701" w:type="dxa"/>
            <w:tcBorders>
              <w:top w:val="nil"/>
              <w:left w:val="single" w:sz="4" w:space="0" w:color="auto"/>
              <w:bottom w:val="single" w:sz="4" w:space="0" w:color="auto"/>
              <w:right w:val="single" w:sz="4" w:space="0" w:color="auto"/>
            </w:tcBorders>
            <w:shd w:val="clear" w:color="auto" w:fill="auto"/>
            <w:noWrap/>
            <w:vAlign w:val="bottom"/>
            <w:hideMark/>
          </w:tcPr>
          <w:p w:rsidR="00F76FDC" w:rsidRPr="00064A3E" w:rsidRDefault="00F76FDC" w:rsidP="00FF599D">
            <w:pPr>
              <w:rPr>
                <w:color w:val="000000"/>
                <w:sz w:val="20"/>
                <w:szCs w:val="20"/>
              </w:rPr>
            </w:pPr>
            <w:r w:rsidRPr="00064A3E">
              <w:rPr>
                <w:color w:val="000000"/>
                <w:sz w:val="20"/>
                <w:szCs w:val="20"/>
              </w:rPr>
              <w:t xml:space="preserve">coke and hard coal </w:t>
            </w:r>
          </w:p>
        </w:tc>
        <w:tc>
          <w:tcPr>
            <w:tcW w:w="1134" w:type="dxa"/>
            <w:tcBorders>
              <w:top w:val="nil"/>
              <w:left w:val="nil"/>
              <w:bottom w:val="single" w:sz="4" w:space="0" w:color="auto"/>
              <w:right w:val="single" w:sz="4" w:space="0" w:color="auto"/>
            </w:tcBorders>
            <w:shd w:val="clear" w:color="auto" w:fill="auto"/>
            <w:noWrap/>
            <w:vAlign w:val="bottom"/>
            <w:hideMark/>
          </w:tcPr>
          <w:p w:rsidR="00F76FDC" w:rsidRPr="00064A3E" w:rsidRDefault="00F76FDC" w:rsidP="00FF599D">
            <w:pPr>
              <w:jc w:val="center"/>
              <w:rPr>
                <w:color w:val="000000"/>
                <w:sz w:val="20"/>
                <w:szCs w:val="20"/>
              </w:rPr>
            </w:pPr>
            <w:r w:rsidRPr="00064A3E">
              <w:rPr>
                <w:color w:val="000000"/>
                <w:sz w:val="20"/>
                <w:szCs w:val="20"/>
              </w:rPr>
              <w:t>800</w:t>
            </w:r>
          </w:p>
        </w:tc>
        <w:tc>
          <w:tcPr>
            <w:tcW w:w="709" w:type="dxa"/>
            <w:tcBorders>
              <w:top w:val="nil"/>
              <w:left w:val="nil"/>
              <w:bottom w:val="single" w:sz="4" w:space="0" w:color="auto"/>
              <w:right w:val="single" w:sz="4" w:space="0" w:color="auto"/>
            </w:tcBorders>
            <w:shd w:val="clear" w:color="auto" w:fill="auto"/>
            <w:noWrap/>
            <w:vAlign w:val="bottom"/>
            <w:hideMark/>
          </w:tcPr>
          <w:p w:rsidR="00F76FDC" w:rsidRPr="00064A3E" w:rsidRDefault="00F76FDC" w:rsidP="00FF599D">
            <w:pPr>
              <w:jc w:val="center"/>
              <w:rPr>
                <w:color w:val="000000"/>
                <w:sz w:val="20"/>
                <w:szCs w:val="20"/>
              </w:rPr>
            </w:pPr>
            <w:r w:rsidRPr="00064A3E">
              <w:rPr>
                <w:color w:val="000000"/>
                <w:sz w:val="20"/>
                <w:szCs w:val="20"/>
              </w:rPr>
              <w:t>42%</w:t>
            </w:r>
          </w:p>
        </w:tc>
        <w:tc>
          <w:tcPr>
            <w:tcW w:w="1134" w:type="dxa"/>
            <w:tcBorders>
              <w:top w:val="nil"/>
              <w:left w:val="nil"/>
              <w:bottom w:val="single" w:sz="4" w:space="0" w:color="auto"/>
              <w:right w:val="single" w:sz="4" w:space="0" w:color="auto"/>
            </w:tcBorders>
            <w:shd w:val="clear" w:color="auto" w:fill="auto"/>
            <w:noWrap/>
            <w:vAlign w:val="bottom"/>
            <w:hideMark/>
          </w:tcPr>
          <w:p w:rsidR="00F76FDC" w:rsidRPr="00064A3E" w:rsidRDefault="00F76FDC" w:rsidP="00FF599D">
            <w:pPr>
              <w:jc w:val="center"/>
              <w:rPr>
                <w:color w:val="000000"/>
                <w:sz w:val="20"/>
                <w:szCs w:val="20"/>
              </w:rPr>
            </w:pPr>
            <w:r w:rsidRPr="00064A3E">
              <w:rPr>
                <w:color w:val="000000"/>
                <w:sz w:val="20"/>
                <w:szCs w:val="20"/>
              </w:rPr>
              <w:t>-</w:t>
            </w:r>
          </w:p>
        </w:tc>
        <w:tc>
          <w:tcPr>
            <w:tcW w:w="709" w:type="dxa"/>
            <w:tcBorders>
              <w:top w:val="nil"/>
              <w:left w:val="nil"/>
              <w:bottom w:val="single" w:sz="4" w:space="0" w:color="auto"/>
              <w:right w:val="single" w:sz="4" w:space="0" w:color="auto"/>
            </w:tcBorders>
            <w:shd w:val="clear" w:color="auto" w:fill="auto"/>
            <w:noWrap/>
            <w:vAlign w:val="bottom"/>
            <w:hideMark/>
          </w:tcPr>
          <w:p w:rsidR="00F76FDC" w:rsidRPr="00064A3E" w:rsidRDefault="00F76FDC" w:rsidP="00FF599D">
            <w:pPr>
              <w:jc w:val="center"/>
              <w:rPr>
                <w:color w:val="000000"/>
                <w:sz w:val="20"/>
                <w:szCs w:val="20"/>
              </w:rPr>
            </w:pPr>
            <w:r w:rsidRPr="00064A3E">
              <w:rPr>
                <w:color w:val="000000"/>
                <w:sz w:val="20"/>
                <w:szCs w:val="20"/>
              </w:rPr>
              <w:t>-</w:t>
            </w:r>
          </w:p>
        </w:tc>
        <w:tc>
          <w:tcPr>
            <w:tcW w:w="1134" w:type="dxa"/>
            <w:tcBorders>
              <w:top w:val="nil"/>
              <w:left w:val="nil"/>
              <w:bottom w:val="single" w:sz="4" w:space="0" w:color="auto"/>
              <w:right w:val="single" w:sz="4" w:space="0" w:color="auto"/>
            </w:tcBorders>
            <w:shd w:val="clear" w:color="auto" w:fill="auto"/>
            <w:noWrap/>
            <w:vAlign w:val="bottom"/>
            <w:hideMark/>
          </w:tcPr>
          <w:p w:rsidR="00F76FDC" w:rsidRPr="00064A3E" w:rsidRDefault="00F76FDC" w:rsidP="00FF599D">
            <w:pPr>
              <w:jc w:val="center"/>
              <w:rPr>
                <w:color w:val="000000"/>
                <w:sz w:val="20"/>
                <w:szCs w:val="20"/>
              </w:rPr>
            </w:pPr>
            <w:r w:rsidRPr="00064A3E">
              <w:rPr>
                <w:color w:val="000000"/>
                <w:sz w:val="20"/>
                <w:szCs w:val="20"/>
              </w:rPr>
              <w:t>700</w:t>
            </w:r>
          </w:p>
        </w:tc>
        <w:tc>
          <w:tcPr>
            <w:tcW w:w="704" w:type="dxa"/>
            <w:tcBorders>
              <w:top w:val="nil"/>
              <w:left w:val="nil"/>
              <w:bottom w:val="single" w:sz="4" w:space="0" w:color="auto"/>
              <w:right w:val="single" w:sz="4" w:space="0" w:color="auto"/>
            </w:tcBorders>
            <w:shd w:val="clear" w:color="auto" w:fill="auto"/>
            <w:noWrap/>
            <w:vAlign w:val="bottom"/>
            <w:hideMark/>
          </w:tcPr>
          <w:p w:rsidR="00F76FDC" w:rsidRPr="00064A3E" w:rsidRDefault="00F76FDC" w:rsidP="00FF599D">
            <w:pPr>
              <w:jc w:val="center"/>
              <w:rPr>
                <w:color w:val="000000"/>
                <w:sz w:val="20"/>
                <w:szCs w:val="20"/>
              </w:rPr>
            </w:pPr>
            <w:r w:rsidRPr="00064A3E">
              <w:rPr>
                <w:color w:val="000000"/>
                <w:sz w:val="20"/>
                <w:szCs w:val="20"/>
              </w:rPr>
              <w:t>12%</w:t>
            </w:r>
          </w:p>
        </w:tc>
      </w:tr>
      <w:tr w:rsidR="00F76FDC" w:rsidRPr="00064A3E" w:rsidTr="00FF599D">
        <w:trPr>
          <w:jc w:val="center"/>
        </w:trPr>
        <w:tc>
          <w:tcPr>
            <w:tcW w:w="1701" w:type="dxa"/>
            <w:tcBorders>
              <w:top w:val="nil"/>
              <w:left w:val="single" w:sz="4" w:space="0" w:color="auto"/>
              <w:bottom w:val="single" w:sz="4" w:space="0" w:color="auto"/>
              <w:right w:val="single" w:sz="4" w:space="0" w:color="auto"/>
            </w:tcBorders>
            <w:shd w:val="clear" w:color="auto" w:fill="auto"/>
            <w:noWrap/>
            <w:vAlign w:val="bottom"/>
            <w:hideMark/>
          </w:tcPr>
          <w:p w:rsidR="00F76FDC" w:rsidRPr="00064A3E" w:rsidRDefault="00F76FDC" w:rsidP="00FF599D">
            <w:pPr>
              <w:rPr>
                <w:color w:val="000000"/>
                <w:sz w:val="20"/>
                <w:szCs w:val="20"/>
              </w:rPr>
            </w:pPr>
            <w:r w:rsidRPr="00064A3E">
              <w:rPr>
                <w:color w:val="000000"/>
                <w:sz w:val="20"/>
                <w:szCs w:val="20"/>
              </w:rPr>
              <w:t>sugar beet</w:t>
            </w:r>
          </w:p>
        </w:tc>
        <w:tc>
          <w:tcPr>
            <w:tcW w:w="1134" w:type="dxa"/>
            <w:tcBorders>
              <w:top w:val="nil"/>
              <w:left w:val="nil"/>
              <w:bottom w:val="single" w:sz="4" w:space="0" w:color="auto"/>
              <w:right w:val="single" w:sz="4" w:space="0" w:color="auto"/>
            </w:tcBorders>
            <w:shd w:val="clear" w:color="auto" w:fill="auto"/>
            <w:noWrap/>
            <w:vAlign w:val="bottom"/>
            <w:hideMark/>
          </w:tcPr>
          <w:p w:rsidR="00F76FDC" w:rsidRPr="00064A3E" w:rsidRDefault="00F76FDC" w:rsidP="00FF599D">
            <w:pPr>
              <w:jc w:val="center"/>
              <w:rPr>
                <w:color w:val="000000"/>
                <w:sz w:val="20"/>
                <w:szCs w:val="20"/>
              </w:rPr>
            </w:pPr>
            <w:r w:rsidRPr="00064A3E">
              <w:rPr>
                <w:color w:val="000000"/>
                <w:sz w:val="20"/>
                <w:szCs w:val="20"/>
              </w:rPr>
              <w:t>-</w:t>
            </w:r>
          </w:p>
        </w:tc>
        <w:tc>
          <w:tcPr>
            <w:tcW w:w="709" w:type="dxa"/>
            <w:tcBorders>
              <w:top w:val="nil"/>
              <w:left w:val="nil"/>
              <w:bottom w:val="single" w:sz="4" w:space="0" w:color="auto"/>
              <w:right w:val="single" w:sz="4" w:space="0" w:color="auto"/>
            </w:tcBorders>
            <w:shd w:val="clear" w:color="auto" w:fill="auto"/>
            <w:noWrap/>
            <w:vAlign w:val="bottom"/>
            <w:hideMark/>
          </w:tcPr>
          <w:p w:rsidR="00F76FDC" w:rsidRPr="00064A3E" w:rsidRDefault="00F76FDC" w:rsidP="00FF599D">
            <w:pPr>
              <w:jc w:val="center"/>
              <w:rPr>
                <w:color w:val="000000"/>
                <w:sz w:val="20"/>
                <w:szCs w:val="20"/>
              </w:rPr>
            </w:pPr>
            <w:r w:rsidRPr="00064A3E">
              <w:rPr>
                <w:color w:val="000000"/>
                <w:sz w:val="20"/>
                <w:szCs w:val="20"/>
              </w:rPr>
              <w:t>-</w:t>
            </w:r>
          </w:p>
        </w:tc>
        <w:tc>
          <w:tcPr>
            <w:tcW w:w="1134" w:type="dxa"/>
            <w:tcBorders>
              <w:top w:val="nil"/>
              <w:left w:val="nil"/>
              <w:bottom w:val="single" w:sz="4" w:space="0" w:color="auto"/>
              <w:right w:val="single" w:sz="4" w:space="0" w:color="auto"/>
            </w:tcBorders>
            <w:shd w:val="clear" w:color="auto" w:fill="auto"/>
            <w:noWrap/>
            <w:vAlign w:val="bottom"/>
            <w:hideMark/>
          </w:tcPr>
          <w:p w:rsidR="00F76FDC" w:rsidRPr="00064A3E" w:rsidRDefault="00F76FDC" w:rsidP="00FF599D">
            <w:pPr>
              <w:jc w:val="center"/>
              <w:rPr>
                <w:color w:val="000000"/>
                <w:sz w:val="20"/>
                <w:szCs w:val="20"/>
              </w:rPr>
            </w:pPr>
            <w:r w:rsidRPr="00064A3E">
              <w:rPr>
                <w:color w:val="000000"/>
                <w:sz w:val="20"/>
                <w:szCs w:val="20"/>
              </w:rPr>
              <w:t>41</w:t>
            </w:r>
          </w:p>
        </w:tc>
        <w:tc>
          <w:tcPr>
            <w:tcW w:w="709" w:type="dxa"/>
            <w:tcBorders>
              <w:top w:val="nil"/>
              <w:left w:val="nil"/>
              <w:bottom w:val="single" w:sz="4" w:space="0" w:color="auto"/>
              <w:right w:val="single" w:sz="4" w:space="0" w:color="auto"/>
            </w:tcBorders>
            <w:shd w:val="clear" w:color="auto" w:fill="auto"/>
            <w:noWrap/>
            <w:vAlign w:val="bottom"/>
            <w:hideMark/>
          </w:tcPr>
          <w:p w:rsidR="00F76FDC" w:rsidRPr="00064A3E" w:rsidRDefault="00F76FDC" w:rsidP="00FF599D">
            <w:pPr>
              <w:jc w:val="center"/>
              <w:rPr>
                <w:color w:val="000000"/>
                <w:sz w:val="20"/>
                <w:szCs w:val="20"/>
              </w:rPr>
            </w:pPr>
            <w:r w:rsidRPr="00064A3E">
              <w:rPr>
                <w:color w:val="000000"/>
                <w:sz w:val="20"/>
                <w:szCs w:val="20"/>
              </w:rPr>
              <w:t>13%</w:t>
            </w:r>
          </w:p>
        </w:tc>
        <w:tc>
          <w:tcPr>
            <w:tcW w:w="1134" w:type="dxa"/>
            <w:tcBorders>
              <w:top w:val="nil"/>
              <w:left w:val="nil"/>
              <w:bottom w:val="single" w:sz="4" w:space="0" w:color="auto"/>
              <w:right w:val="single" w:sz="4" w:space="0" w:color="auto"/>
            </w:tcBorders>
            <w:shd w:val="clear" w:color="auto" w:fill="auto"/>
            <w:noWrap/>
            <w:vAlign w:val="bottom"/>
            <w:hideMark/>
          </w:tcPr>
          <w:p w:rsidR="00F76FDC" w:rsidRPr="00064A3E" w:rsidRDefault="00F76FDC" w:rsidP="00FF599D">
            <w:pPr>
              <w:jc w:val="center"/>
              <w:rPr>
                <w:color w:val="000000"/>
                <w:sz w:val="20"/>
                <w:szCs w:val="20"/>
              </w:rPr>
            </w:pPr>
            <w:r w:rsidRPr="00064A3E">
              <w:rPr>
                <w:color w:val="000000"/>
                <w:sz w:val="20"/>
                <w:szCs w:val="20"/>
              </w:rPr>
              <w:t>-</w:t>
            </w:r>
          </w:p>
        </w:tc>
        <w:tc>
          <w:tcPr>
            <w:tcW w:w="704" w:type="dxa"/>
            <w:tcBorders>
              <w:top w:val="nil"/>
              <w:left w:val="nil"/>
              <w:bottom w:val="single" w:sz="4" w:space="0" w:color="auto"/>
              <w:right w:val="single" w:sz="4" w:space="0" w:color="auto"/>
            </w:tcBorders>
            <w:shd w:val="clear" w:color="auto" w:fill="auto"/>
            <w:noWrap/>
            <w:vAlign w:val="bottom"/>
            <w:hideMark/>
          </w:tcPr>
          <w:p w:rsidR="00F76FDC" w:rsidRPr="00064A3E" w:rsidRDefault="00F76FDC" w:rsidP="00FF599D">
            <w:pPr>
              <w:jc w:val="center"/>
              <w:rPr>
                <w:color w:val="000000"/>
                <w:sz w:val="20"/>
                <w:szCs w:val="20"/>
              </w:rPr>
            </w:pPr>
            <w:r w:rsidRPr="00064A3E">
              <w:rPr>
                <w:color w:val="000000"/>
                <w:sz w:val="20"/>
                <w:szCs w:val="20"/>
              </w:rPr>
              <w:t>-</w:t>
            </w:r>
          </w:p>
        </w:tc>
      </w:tr>
      <w:tr w:rsidR="00F76FDC" w:rsidRPr="00064A3E" w:rsidTr="00FF599D">
        <w:trPr>
          <w:jc w:val="center"/>
        </w:trPr>
        <w:tc>
          <w:tcPr>
            <w:tcW w:w="1701" w:type="dxa"/>
            <w:tcBorders>
              <w:top w:val="nil"/>
              <w:left w:val="single" w:sz="4" w:space="0" w:color="auto"/>
              <w:bottom w:val="single" w:sz="4" w:space="0" w:color="auto"/>
              <w:right w:val="single" w:sz="4" w:space="0" w:color="auto"/>
            </w:tcBorders>
            <w:shd w:val="clear" w:color="auto" w:fill="auto"/>
            <w:vAlign w:val="center"/>
            <w:hideMark/>
          </w:tcPr>
          <w:p w:rsidR="00F76FDC" w:rsidRPr="00064A3E" w:rsidRDefault="00F76FDC" w:rsidP="00FF599D">
            <w:pPr>
              <w:rPr>
                <w:color w:val="000000"/>
                <w:sz w:val="20"/>
                <w:szCs w:val="20"/>
              </w:rPr>
            </w:pPr>
            <w:r w:rsidRPr="00064A3E">
              <w:rPr>
                <w:color w:val="000000"/>
                <w:sz w:val="20"/>
                <w:szCs w:val="20"/>
                <w:lang w:val="en-GB"/>
              </w:rPr>
              <w:t>energy gypsum</w:t>
            </w:r>
          </w:p>
        </w:tc>
        <w:tc>
          <w:tcPr>
            <w:tcW w:w="1134" w:type="dxa"/>
            <w:tcBorders>
              <w:top w:val="nil"/>
              <w:left w:val="nil"/>
              <w:bottom w:val="single" w:sz="4" w:space="0" w:color="auto"/>
              <w:right w:val="single" w:sz="4" w:space="0" w:color="auto"/>
            </w:tcBorders>
            <w:shd w:val="clear" w:color="auto" w:fill="auto"/>
            <w:noWrap/>
            <w:vAlign w:val="bottom"/>
            <w:hideMark/>
          </w:tcPr>
          <w:p w:rsidR="00F76FDC" w:rsidRPr="00064A3E" w:rsidRDefault="00F76FDC" w:rsidP="00FF599D">
            <w:pPr>
              <w:jc w:val="center"/>
              <w:rPr>
                <w:color w:val="000000"/>
                <w:sz w:val="20"/>
                <w:szCs w:val="20"/>
              </w:rPr>
            </w:pPr>
            <w:r w:rsidRPr="00064A3E">
              <w:rPr>
                <w:color w:val="000000"/>
                <w:sz w:val="20"/>
                <w:szCs w:val="20"/>
              </w:rPr>
              <w:t>260</w:t>
            </w:r>
          </w:p>
        </w:tc>
        <w:tc>
          <w:tcPr>
            <w:tcW w:w="709" w:type="dxa"/>
            <w:tcBorders>
              <w:top w:val="nil"/>
              <w:left w:val="nil"/>
              <w:bottom w:val="single" w:sz="4" w:space="0" w:color="auto"/>
              <w:right w:val="single" w:sz="4" w:space="0" w:color="auto"/>
            </w:tcBorders>
            <w:shd w:val="clear" w:color="auto" w:fill="auto"/>
            <w:noWrap/>
            <w:vAlign w:val="bottom"/>
            <w:hideMark/>
          </w:tcPr>
          <w:p w:rsidR="00F76FDC" w:rsidRPr="00064A3E" w:rsidRDefault="00F76FDC" w:rsidP="00FF599D">
            <w:pPr>
              <w:jc w:val="center"/>
              <w:rPr>
                <w:color w:val="000000"/>
                <w:sz w:val="20"/>
                <w:szCs w:val="20"/>
              </w:rPr>
            </w:pPr>
            <w:r w:rsidRPr="00064A3E">
              <w:rPr>
                <w:color w:val="000000"/>
                <w:sz w:val="20"/>
                <w:szCs w:val="20"/>
              </w:rPr>
              <w:t>14%</w:t>
            </w:r>
          </w:p>
        </w:tc>
        <w:tc>
          <w:tcPr>
            <w:tcW w:w="1134" w:type="dxa"/>
            <w:tcBorders>
              <w:top w:val="nil"/>
              <w:left w:val="nil"/>
              <w:bottom w:val="single" w:sz="4" w:space="0" w:color="auto"/>
              <w:right w:val="single" w:sz="4" w:space="0" w:color="auto"/>
            </w:tcBorders>
            <w:shd w:val="clear" w:color="auto" w:fill="auto"/>
            <w:noWrap/>
            <w:vAlign w:val="bottom"/>
            <w:hideMark/>
          </w:tcPr>
          <w:p w:rsidR="00F76FDC" w:rsidRPr="00064A3E" w:rsidRDefault="00F76FDC" w:rsidP="00FF599D">
            <w:pPr>
              <w:jc w:val="center"/>
              <w:rPr>
                <w:color w:val="000000"/>
                <w:sz w:val="20"/>
                <w:szCs w:val="20"/>
              </w:rPr>
            </w:pPr>
            <w:r w:rsidRPr="00064A3E">
              <w:rPr>
                <w:color w:val="000000"/>
                <w:sz w:val="20"/>
                <w:szCs w:val="20"/>
              </w:rPr>
              <w:t>60</w:t>
            </w:r>
          </w:p>
        </w:tc>
        <w:tc>
          <w:tcPr>
            <w:tcW w:w="709" w:type="dxa"/>
            <w:tcBorders>
              <w:top w:val="nil"/>
              <w:left w:val="nil"/>
              <w:bottom w:val="single" w:sz="4" w:space="0" w:color="auto"/>
              <w:right w:val="single" w:sz="4" w:space="0" w:color="auto"/>
            </w:tcBorders>
            <w:shd w:val="clear" w:color="auto" w:fill="auto"/>
            <w:noWrap/>
            <w:vAlign w:val="bottom"/>
            <w:hideMark/>
          </w:tcPr>
          <w:p w:rsidR="00F76FDC" w:rsidRPr="00064A3E" w:rsidRDefault="00F76FDC" w:rsidP="00FF599D">
            <w:pPr>
              <w:jc w:val="center"/>
              <w:rPr>
                <w:color w:val="000000"/>
                <w:sz w:val="20"/>
                <w:szCs w:val="20"/>
              </w:rPr>
            </w:pPr>
            <w:r w:rsidRPr="00064A3E">
              <w:rPr>
                <w:color w:val="000000"/>
                <w:sz w:val="20"/>
                <w:szCs w:val="20"/>
              </w:rPr>
              <w:t>19%</w:t>
            </w:r>
          </w:p>
        </w:tc>
        <w:tc>
          <w:tcPr>
            <w:tcW w:w="1134" w:type="dxa"/>
            <w:tcBorders>
              <w:top w:val="nil"/>
              <w:left w:val="nil"/>
              <w:bottom w:val="single" w:sz="4" w:space="0" w:color="auto"/>
              <w:right w:val="single" w:sz="4" w:space="0" w:color="auto"/>
            </w:tcBorders>
            <w:shd w:val="clear" w:color="auto" w:fill="auto"/>
            <w:noWrap/>
            <w:vAlign w:val="bottom"/>
            <w:hideMark/>
          </w:tcPr>
          <w:p w:rsidR="00F76FDC" w:rsidRPr="00064A3E" w:rsidRDefault="00F76FDC" w:rsidP="00FF599D">
            <w:pPr>
              <w:jc w:val="center"/>
              <w:rPr>
                <w:color w:val="000000"/>
                <w:sz w:val="20"/>
                <w:szCs w:val="20"/>
              </w:rPr>
            </w:pPr>
            <w:r w:rsidRPr="00064A3E">
              <w:rPr>
                <w:color w:val="000000"/>
                <w:sz w:val="20"/>
                <w:szCs w:val="20"/>
              </w:rPr>
              <w:t>-</w:t>
            </w:r>
          </w:p>
        </w:tc>
        <w:tc>
          <w:tcPr>
            <w:tcW w:w="704" w:type="dxa"/>
            <w:tcBorders>
              <w:top w:val="nil"/>
              <w:left w:val="nil"/>
              <w:bottom w:val="single" w:sz="4" w:space="0" w:color="auto"/>
              <w:right w:val="single" w:sz="4" w:space="0" w:color="auto"/>
            </w:tcBorders>
            <w:shd w:val="clear" w:color="auto" w:fill="auto"/>
            <w:noWrap/>
            <w:vAlign w:val="bottom"/>
            <w:hideMark/>
          </w:tcPr>
          <w:p w:rsidR="00F76FDC" w:rsidRPr="00064A3E" w:rsidRDefault="00F76FDC" w:rsidP="00FF599D">
            <w:pPr>
              <w:jc w:val="center"/>
              <w:rPr>
                <w:color w:val="000000"/>
                <w:sz w:val="20"/>
                <w:szCs w:val="20"/>
              </w:rPr>
            </w:pPr>
            <w:r w:rsidRPr="00064A3E">
              <w:rPr>
                <w:color w:val="000000"/>
                <w:sz w:val="20"/>
                <w:szCs w:val="20"/>
              </w:rPr>
              <w:t>-</w:t>
            </w:r>
          </w:p>
        </w:tc>
      </w:tr>
      <w:tr w:rsidR="00F76FDC" w:rsidRPr="00064A3E" w:rsidTr="00FF599D">
        <w:trPr>
          <w:jc w:val="center"/>
        </w:trPr>
        <w:tc>
          <w:tcPr>
            <w:tcW w:w="1701" w:type="dxa"/>
            <w:tcBorders>
              <w:top w:val="nil"/>
              <w:left w:val="single" w:sz="4" w:space="0" w:color="auto"/>
              <w:bottom w:val="single" w:sz="4" w:space="0" w:color="auto"/>
              <w:right w:val="single" w:sz="4" w:space="0" w:color="auto"/>
            </w:tcBorders>
            <w:shd w:val="clear" w:color="auto" w:fill="auto"/>
            <w:noWrap/>
            <w:vAlign w:val="bottom"/>
            <w:hideMark/>
          </w:tcPr>
          <w:p w:rsidR="00F76FDC" w:rsidRPr="00064A3E" w:rsidRDefault="00F76FDC" w:rsidP="00FF599D">
            <w:pPr>
              <w:rPr>
                <w:color w:val="000000"/>
                <w:sz w:val="20"/>
                <w:szCs w:val="20"/>
              </w:rPr>
            </w:pPr>
            <w:r w:rsidRPr="00064A3E">
              <w:rPr>
                <w:color w:val="000000"/>
                <w:sz w:val="20"/>
                <w:szCs w:val="20"/>
              </w:rPr>
              <w:t>others</w:t>
            </w:r>
          </w:p>
        </w:tc>
        <w:tc>
          <w:tcPr>
            <w:tcW w:w="1134" w:type="dxa"/>
            <w:tcBorders>
              <w:top w:val="nil"/>
              <w:left w:val="nil"/>
              <w:bottom w:val="single" w:sz="4" w:space="0" w:color="auto"/>
              <w:right w:val="single" w:sz="4" w:space="0" w:color="auto"/>
            </w:tcBorders>
            <w:shd w:val="clear" w:color="auto" w:fill="auto"/>
            <w:noWrap/>
            <w:vAlign w:val="bottom"/>
            <w:hideMark/>
          </w:tcPr>
          <w:p w:rsidR="00F76FDC" w:rsidRPr="00064A3E" w:rsidRDefault="00F76FDC" w:rsidP="00FF599D">
            <w:pPr>
              <w:jc w:val="center"/>
              <w:rPr>
                <w:color w:val="000000"/>
                <w:sz w:val="20"/>
                <w:szCs w:val="20"/>
              </w:rPr>
            </w:pPr>
            <w:r w:rsidRPr="00064A3E">
              <w:rPr>
                <w:color w:val="000000"/>
                <w:sz w:val="20"/>
                <w:szCs w:val="20"/>
              </w:rPr>
              <w:t>-</w:t>
            </w:r>
          </w:p>
        </w:tc>
        <w:tc>
          <w:tcPr>
            <w:tcW w:w="709" w:type="dxa"/>
            <w:tcBorders>
              <w:top w:val="nil"/>
              <w:left w:val="nil"/>
              <w:bottom w:val="single" w:sz="4" w:space="0" w:color="auto"/>
              <w:right w:val="single" w:sz="4" w:space="0" w:color="auto"/>
            </w:tcBorders>
            <w:shd w:val="clear" w:color="auto" w:fill="auto"/>
            <w:noWrap/>
            <w:vAlign w:val="bottom"/>
            <w:hideMark/>
          </w:tcPr>
          <w:p w:rsidR="00F76FDC" w:rsidRPr="00064A3E" w:rsidRDefault="00F76FDC" w:rsidP="00FF599D">
            <w:pPr>
              <w:jc w:val="center"/>
              <w:rPr>
                <w:color w:val="000000"/>
                <w:sz w:val="20"/>
                <w:szCs w:val="20"/>
              </w:rPr>
            </w:pPr>
            <w:r w:rsidRPr="00064A3E">
              <w:rPr>
                <w:color w:val="000000"/>
                <w:sz w:val="20"/>
                <w:szCs w:val="20"/>
              </w:rPr>
              <w:t>-</w:t>
            </w:r>
          </w:p>
        </w:tc>
        <w:tc>
          <w:tcPr>
            <w:tcW w:w="1134" w:type="dxa"/>
            <w:tcBorders>
              <w:top w:val="nil"/>
              <w:left w:val="nil"/>
              <w:bottom w:val="single" w:sz="4" w:space="0" w:color="auto"/>
              <w:right w:val="single" w:sz="4" w:space="0" w:color="auto"/>
            </w:tcBorders>
            <w:shd w:val="clear" w:color="auto" w:fill="auto"/>
            <w:noWrap/>
            <w:vAlign w:val="bottom"/>
            <w:hideMark/>
          </w:tcPr>
          <w:p w:rsidR="00F76FDC" w:rsidRPr="00064A3E" w:rsidRDefault="00F76FDC" w:rsidP="00FF599D">
            <w:pPr>
              <w:jc w:val="center"/>
              <w:rPr>
                <w:color w:val="000000"/>
                <w:sz w:val="20"/>
                <w:szCs w:val="20"/>
              </w:rPr>
            </w:pPr>
            <w:r w:rsidRPr="00064A3E">
              <w:rPr>
                <w:color w:val="000000"/>
                <w:sz w:val="20"/>
                <w:szCs w:val="20"/>
              </w:rPr>
              <w:t>-</w:t>
            </w:r>
          </w:p>
        </w:tc>
        <w:tc>
          <w:tcPr>
            <w:tcW w:w="709" w:type="dxa"/>
            <w:tcBorders>
              <w:top w:val="nil"/>
              <w:left w:val="nil"/>
              <w:bottom w:val="single" w:sz="4" w:space="0" w:color="auto"/>
              <w:right w:val="single" w:sz="4" w:space="0" w:color="auto"/>
            </w:tcBorders>
            <w:shd w:val="clear" w:color="auto" w:fill="auto"/>
            <w:noWrap/>
            <w:vAlign w:val="bottom"/>
            <w:hideMark/>
          </w:tcPr>
          <w:p w:rsidR="00F76FDC" w:rsidRPr="00064A3E" w:rsidRDefault="00F76FDC" w:rsidP="00FF599D">
            <w:pPr>
              <w:jc w:val="center"/>
              <w:rPr>
                <w:color w:val="000000"/>
                <w:sz w:val="20"/>
                <w:szCs w:val="20"/>
              </w:rPr>
            </w:pPr>
            <w:r w:rsidRPr="00064A3E">
              <w:rPr>
                <w:color w:val="000000"/>
                <w:sz w:val="20"/>
                <w:szCs w:val="20"/>
              </w:rPr>
              <w:t>-</w:t>
            </w:r>
          </w:p>
        </w:tc>
        <w:tc>
          <w:tcPr>
            <w:tcW w:w="1134" w:type="dxa"/>
            <w:tcBorders>
              <w:top w:val="nil"/>
              <w:left w:val="nil"/>
              <w:bottom w:val="single" w:sz="4" w:space="0" w:color="auto"/>
              <w:right w:val="single" w:sz="4" w:space="0" w:color="auto"/>
            </w:tcBorders>
            <w:shd w:val="clear" w:color="auto" w:fill="auto"/>
            <w:noWrap/>
            <w:vAlign w:val="bottom"/>
            <w:hideMark/>
          </w:tcPr>
          <w:p w:rsidR="00F76FDC" w:rsidRPr="00064A3E" w:rsidRDefault="00F76FDC" w:rsidP="00FF599D">
            <w:pPr>
              <w:jc w:val="center"/>
              <w:rPr>
                <w:color w:val="000000"/>
                <w:sz w:val="20"/>
                <w:szCs w:val="20"/>
              </w:rPr>
            </w:pPr>
            <w:r w:rsidRPr="00064A3E">
              <w:rPr>
                <w:color w:val="000000"/>
                <w:sz w:val="20"/>
                <w:szCs w:val="20"/>
              </w:rPr>
              <w:t>131</w:t>
            </w:r>
          </w:p>
        </w:tc>
        <w:tc>
          <w:tcPr>
            <w:tcW w:w="704" w:type="dxa"/>
            <w:tcBorders>
              <w:top w:val="nil"/>
              <w:left w:val="nil"/>
              <w:bottom w:val="single" w:sz="4" w:space="0" w:color="auto"/>
              <w:right w:val="single" w:sz="4" w:space="0" w:color="auto"/>
            </w:tcBorders>
            <w:shd w:val="clear" w:color="auto" w:fill="auto"/>
            <w:noWrap/>
            <w:vAlign w:val="bottom"/>
            <w:hideMark/>
          </w:tcPr>
          <w:p w:rsidR="00F76FDC" w:rsidRPr="00064A3E" w:rsidRDefault="00F76FDC" w:rsidP="00FF599D">
            <w:pPr>
              <w:jc w:val="center"/>
              <w:rPr>
                <w:color w:val="000000"/>
                <w:sz w:val="20"/>
                <w:szCs w:val="20"/>
              </w:rPr>
            </w:pPr>
            <w:r w:rsidRPr="00064A3E">
              <w:rPr>
                <w:color w:val="000000"/>
                <w:sz w:val="20"/>
                <w:szCs w:val="20"/>
              </w:rPr>
              <w:t>2%</w:t>
            </w:r>
          </w:p>
        </w:tc>
      </w:tr>
      <w:tr w:rsidR="00F76FDC" w:rsidRPr="00064A3E" w:rsidTr="00FF599D">
        <w:trPr>
          <w:jc w:val="center"/>
        </w:trPr>
        <w:tc>
          <w:tcPr>
            <w:tcW w:w="1701" w:type="dxa"/>
            <w:tcBorders>
              <w:top w:val="nil"/>
              <w:left w:val="single" w:sz="4" w:space="0" w:color="auto"/>
              <w:bottom w:val="single" w:sz="4" w:space="0" w:color="auto"/>
              <w:right w:val="single" w:sz="4" w:space="0" w:color="auto"/>
            </w:tcBorders>
            <w:shd w:val="clear" w:color="auto" w:fill="auto"/>
            <w:noWrap/>
            <w:vAlign w:val="bottom"/>
            <w:hideMark/>
          </w:tcPr>
          <w:p w:rsidR="00F76FDC" w:rsidRPr="00064A3E" w:rsidRDefault="00F76FDC" w:rsidP="00FF599D">
            <w:pPr>
              <w:rPr>
                <w:color w:val="000000"/>
                <w:sz w:val="20"/>
                <w:szCs w:val="20"/>
              </w:rPr>
            </w:pPr>
            <w:r>
              <w:rPr>
                <w:color w:val="000000"/>
                <w:sz w:val="20"/>
                <w:szCs w:val="20"/>
              </w:rPr>
              <w:t>Total</w:t>
            </w:r>
          </w:p>
        </w:tc>
        <w:tc>
          <w:tcPr>
            <w:tcW w:w="1134" w:type="dxa"/>
            <w:tcBorders>
              <w:top w:val="nil"/>
              <w:left w:val="nil"/>
              <w:bottom w:val="single" w:sz="4" w:space="0" w:color="auto"/>
              <w:right w:val="single" w:sz="4" w:space="0" w:color="auto"/>
            </w:tcBorders>
            <w:shd w:val="clear" w:color="auto" w:fill="auto"/>
            <w:noWrap/>
            <w:vAlign w:val="bottom"/>
            <w:hideMark/>
          </w:tcPr>
          <w:p w:rsidR="00F76FDC" w:rsidRPr="00064A3E" w:rsidRDefault="00F76FDC" w:rsidP="00FF599D">
            <w:pPr>
              <w:jc w:val="center"/>
              <w:rPr>
                <w:color w:val="000000"/>
                <w:sz w:val="20"/>
                <w:szCs w:val="20"/>
              </w:rPr>
            </w:pPr>
            <w:r>
              <w:rPr>
                <w:color w:val="000000"/>
                <w:sz w:val="20"/>
                <w:szCs w:val="20"/>
              </w:rPr>
              <w:t>1 910</w:t>
            </w:r>
          </w:p>
        </w:tc>
        <w:tc>
          <w:tcPr>
            <w:tcW w:w="709" w:type="dxa"/>
            <w:tcBorders>
              <w:top w:val="nil"/>
              <w:left w:val="nil"/>
              <w:bottom w:val="single" w:sz="4" w:space="0" w:color="auto"/>
              <w:right w:val="single" w:sz="4" w:space="0" w:color="auto"/>
            </w:tcBorders>
            <w:shd w:val="clear" w:color="auto" w:fill="auto"/>
            <w:noWrap/>
            <w:vAlign w:val="bottom"/>
            <w:hideMark/>
          </w:tcPr>
          <w:p w:rsidR="00F76FDC" w:rsidRPr="00064A3E" w:rsidRDefault="00F76FDC" w:rsidP="00FF599D">
            <w:pPr>
              <w:jc w:val="center"/>
              <w:rPr>
                <w:color w:val="000000"/>
                <w:sz w:val="20"/>
                <w:szCs w:val="20"/>
              </w:rPr>
            </w:pPr>
            <w:r>
              <w:rPr>
                <w:color w:val="000000"/>
                <w:sz w:val="20"/>
                <w:szCs w:val="20"/>
              </w:rPr>
              <w:t>100%</w:t>
            </w:r>
          </w:p>
        </w:tc>
        <w:tc>
          <w:tcPr>
            <w:tcW w:w="1134" w:type="dxa"/>
            <w:tcBorders>
              <w:top w:val="nil"/>
              <w:left w:val="nil"/>
              <w:bottom w:val="single" w:sz="4" w:space="0" w:color="auto"/>
              <w:right w:val="single" w:sz="4" w:space="0" w:color="auto"/>
            </w:tcBorders>
            <w:shd w:val="clear" w:color="auto" w:fill="auto"/>
            <w:noWrap/>
            <w:vAlign w:val="bottom"/>
            <w:hideMark/>
          </w:tcPr>
          <w:p w:rsidR="00F76FDC" w:rsidRPr="00064A3E" w:rsidRDefault="00F76FDC" w:rsidP="00FF599D">
            <w:pPr>
              <w:jc w:val="center"/>
              <w:rPr>
                <w:color w:val="000000"/>
                <w:sz w:val="20"/>
                <w:szCs w:val="20"/>
              </w:rPr>
            </w:pPr>
            <w:r>
              <w:rPr>
                <w:color w:val="000000"/>
                <w:sz w:val="20"/>
                <w:szCs w:val="20"/>
              </w:rPr>
              <w:t>316</w:t>
            </w:r>
          </w:p>
        </w:tc>
        <w:tc>
          <w:tcPr>
            <w:tcW w:w="709" w:type="dxa"/>
            <w:tcBorders>
              <w:top w:val="nil"/>
              <w:left w:val="nil"/>
              <w:bottom w:val="single" w:sz="4" w:space="0" w:color="auto"/>
              <w:right w:val="single" w:sz="4" w:space="0" w:color="auto"/>
            </w:tcBorders>
            <w:shd w:val="clear" w:color="auto" w:fill="auto"/>
            <w:noWrap/>
            <w:vAlign w:val="bottom"/>
            <w:hideMark/>
          </w:tcPr>
          <w:p w:rsidR="00F76FDC" w:rsidRPr="00064A3E" w:rsidRDefault="00F76FDC" w:rsidP="00FF599D">
            <w:pPr>
              <w:jc w:val="center"/>
              <w:rPr>
                <w:color w:val="000000"/>
                <w:sz w:val="20"/>
                <w:szCs w:val="20"/>
              </w:rPr>
            </w:pPr>
            <w:r>
              <w:rPr>
                <w:color w:val="000000"/>
                <w:sz w:val="20"/>
                <w:szCs w:val="20"/>
              </w:rPr>
              <w:t>100%</w:t>
            </w:r>
          </w:p>
        </w:tc>
        <w:tc>
          <w:tcPr>
            <w:tcW w:w="1134" w:type="dxa"/>
            <w:tcBorders>
              <w:top w:val="nil"/>
              <w:left w:val="nil"/>
              <w:bottom w:val="single" w:sz="4" w:space="0" w:color="auto"/>
              <w:right w:val="single" w:sz="4" w:space="0" w:color="auto"/>
            </w:tcBorders>
            <w:shd w:val="clear" w:color="auto" w:fill="auto"/>
            <w:noWrap/>
            <w:vAlign w:val="bottom"/>
            <w:hideMark/>
          </w:tcPr>
          <w:p w:rsidR="00F76FDC" w:rsidRPr="00064A3E" w:rsidRDefault="00F76FDC" w:rsidP="00FF599D">
            <w:pPr>
              <w:jc w:val="center"/>
              <w:rPr>
                <w:color w:val="000000"/>
                <w:sz w:val="20"/>
                <w:szCs w:val="20"/>
              </w:rPr>
            </w:pPr>
            <w:r>
              <w:rPr>
                <w:color w:val="000000"/>
                <w:sz w:val="20"/>
                <w:szCs w:val="20"/>
              </w:rPr>
              <w:t>5 906</w:t>
            </w:r>
          </w:p>
        </w:tc>
        <w:tc>
          <w:tcPr>
            <w:tcW w:w="704" w:type="dxa"/>
            <w:tcBorders>
              <w:top w:val="nil"/>
              <w:left w:val="nil"/>
              <w:bottom w:val="single" w:sz="4" w:space="0" w:color="auto"/>
              <w:right w:val="single" w:sz="4" w:space="0" w:color="auto"/>
            </w:tcBorders>
            <w:shd w:val="clear" w:color="auto" w:fill="auto"/>
            <w:noWrap/>
            <w:vAlign w:val="bottom"/>
            <w:hideMark/>
          </w:tcPr>
          <w:p w:rsidR="00F76FDC" w:rsidRPr="00064A3E" w:rsidRDefault="00F76FDC" w:rsidP="00FF599D">
            <w:pPr>
              <w:jc w:val="center"/>
              <w:rPr>
                <w:color w:val="000000"/>
                <w:sz w:val="20"/>
                <w:szCs w:val="20"/>
              </w:rPr>
            </w:pPr>
            <w:r>
              <w:rPr>
                <w:color w:val="000000"/>
                <w:sz w:val="20"/>
                <w:szCs w:val="20"/>
              </w:rPr>
              <w:t>100</w:t>
            </w:r>
            <w:r w:rsidRPr="00064A3E">
              <w:rPr>
                <w:color w:val="000000"/>
                <w:sz w:val="20"/>
                <w:szCs w:val="20"/>
              </w:rPr>
              <w:t>%</w:t>
            </w:r>
          </w:p>
        </w:tc>
      </w:tr>
    </w:tbl>
    <w:p w:rsidR="00305E98" w:rsidRPr="00AF4278" w:rsidRDefault="00305E98" w:rsidP="00305E98">
      <w:pPr>
        <w:autoSpaceDE w:val="0"/>
        <w:autoSpaceDN w:val="0"/>
        <w:adjustRightInd w:val="0"/>
        <w:jc w:val="right"/>
        <w:rPr>
          <w:rFonts w:cstheme="minorHAnsi"/>
          <w:sz w:val="20"/>
          <w:szCs w:val="20"/>
          <w:lang w:val="cs-CZ"/>
        </w:rPr>
      </w:pPr>
      <w:r w:rsidRPr="00AF4278">
        <w:rPr>
          <w:rFonts w:cstheme="minorHAnsi"/>
          <w:sz w:val="20"/>
          <w:szCs w:val="20"/>
        </w:rPr>
        <w:t>Source</w:t>
      </w:r>
      <w:r w:rsidRPr="00AF4278">
        <w:rPr>
          <w:rFonts w:cstheme="minorHAnsi"/>
          <w:sz w:val="20"/>
          <w:szCs w:val="20"/>
          <w:lang w:val="cs-CZ"/>
        </w:rPr>
        <w:t xml:space="preserve">: </w:t>
      </w:r>
      <w:r w:rsidRPr="00AF4278">
        <w:rPr>
          <w:sz w:val="20"/>
          <w:szCs w:val="20"/>
        </w:rPr>
        <w:t xml:space="preserve">authors based on </w:t>
      </w:r>
      <w:r w:rsidRPr="00AF4278">
        <w:rPr>
          <w:rFonts w:cstheme="minorHAnsi"/>
          <w:sz w:val="20"/>
          <w:szCs w:val="20"/>
        </w:rPr>
        <w:t xml:space="preserve">[3, </w:t>
      </w:r>
      <w:r>
        <w:rPr>
          <w:rFonts w:cstheme="minorHAnsi"/>
          <w:sz w:val="20"/>
          <w:szCs w:val="20"/>
        </w:rPr>
        <w:t>8, 9</w:t>
      </w:r>
      <w:r w:rsidRPr="00AF4278">
        <w:rPr>
          <w:rFonts w:cstheme="minorHAnsi"/>
          <w:sz w:val="20"/>
          <w:szCs w:val="20"/>
        </w:rPr>
        <w:t>]</w:t>
      </w:r>
    </w:p>
    <w:p w:rsidR="00F76FDC" w:rsidRPr="00A963E8" w:rsidRDefault="00F76FDC" w:rsidP="00A963E8">
      <w:pPr>
        <w:widowControl w:val="0"/>
        <w:ind w:firstLine="567"/>
        <w:jc w:val="both"/>
        <w:rPr>
          <w:sz w:val="20"/>
          <w:szCs w:val="20"/>
        </w:rPr>
      </w:pPr>
    </w:p>
    <w:p w:rsidR="00F76FDC" w:rsidRPr="00A963E8" w:rsidRDefault="00F76FDC" w:rsidP="00F76FDC">
      <w:pPr>
        <w:pStyle w:val="Odstavecseseznamem"/>
        <w:widowControl w:val="0"/>
        <w:numPr>
          <w:ilvl w:val="0"/>
          <w:numId w:val="6"/>
        </w:numPr>
        <w:spacing w:after="0" w:line="240" w:lineRule="auto"/>
        <w:jc w:val="both"/>
        <w:rPr>
          <w:rFonts w:ascii="Times New Roman" w:hAnsi="Times New Roman"/>
          <w:sz w:val="20"/>
          <w:szCs w:val="20"/>
        </w:rPr>
      </w:pPr>
      <w:r w:rsidRPr="00A963E8">
        <w:rPr>
          <w:rFonts w:ascii="Times New Roman" w:hAnsi="Times New Roman"/>
          <w:sz w:val="20"/>
          <w:szCs w:val="20"/>
        </w:rPr>
        <w:t xml:space="preserve">Volume of goods transported in IFs per one kilometre of railway line in the given country. </w:t>
      </w:r>
    </w:p>
    <w:p w:rsidR="00A963E8" w:rsidRPr="00A963E8" w:rsidRDefault="00A963E8" w:rsidP="00A963E8">
      <w:pPr>
        <w:widowControl w:val="0"/>
        <w:ind w:firstLine="567"/>
        <w:jc w:val="both"/>
        <w:rPr>
          <w:sz w:val="20"/>
          <w:szCs w:val="20"/>
        </w:rPr>
      </w:pPr>
      <w:r w:rsidRPr="00A963E8">
        <w:rPr>
          <w:sz w:val="20"/>
          <w:szCs w:val="20"/>
        </w:rPr>
        <w:t>The comparison of the countries analysed in terms of the volume of goods transported in IFs per one kilometre of railway line and per total length of the railway network is shown in Fig</w:t>
      </w:r>
      <w:r w:rsidR="00226BAE">
        <w:rPr>
          <w:sz w:val="20"/>
          <w:szCs w:val="20"/>
        </w:rPr>
        <w:t>.</w:t>
      </w:r>
      <w:r w:rsidRPr="00A963E8">
        <w:rPr>
          <w:sz w:val="20"/>
          <w:szCs w:val="20"/>
        </w:rPr>
        <w:t xml:space="preserve"> </w:t>
      </w:r>
      <w:r w:rsidR="00226BAE">
        <w:rPr>
          <w:sz w:val="20"/>
          <w:szCs w:val="20"/>
        </w:rPr>
        <w:t>1</w:t>
      </w:r>
      <w:r w:rsidRPr="00A963E8">
        <w:rPr>
          <w:sz w:val="20"/>
          <w:szCs w:val="20"/>
        </w:rPr>
        <w:t xml:space="preserve">. The comparison shows that the Czech Republic has the most extensive railway network with a total length exceeding 9,500 km. Taking into account the area of the </w:t>
      </w:r>
      <w:r w:rsidRPr="00A963E8">
        <w:rPr>
          <w:sz w:val="20"/>
          <w:szCs w:val="20"/>
        </w:rPr>
        <w:lastRenderedPageBreak/>
        <w:t>country as well, it is to be noted that the Czech railway network is the densest as well (121.3 m/km</w:t>
      </w:r>
      <w:r w:rsidRPr="00F76FDC">
        <w:rPr>
          <w:sz w:val="20"/>
          <w:szCs w:val="20"/>
          <w:vertAlign w:val="superscript"/>
        </w:rPr>
        <w:t>2</w:t>
      </w:r>
      <w:r w:rsidRPr="00A963E8">
        <w:rPr>
          <w:sz w:val="20"/>
          <w:szCs w:val="20"/>
        </w:rPr>
        <w:t>). In Austria, the network length is 5,500 km and density 65.9 m/km</w:t>
      </w:r>
      <w:r w:rsidRPr="00F76FDC">
        <w:rPr>
          <w:sz w:val="20"/>
          <w:szCs w:val="20"/>
          <w:vertAlign w:val="superscript"/>
        </w:rPr>
        <w:t>2</w:t>
      </w:r>
      <w:r w:rsidRPr="00A963E8">
        <w:rPr>
          <w:sz w:val="20"/>
          <w:szCs w:val="20"/>
        </w:rPr>
        <w:t>. With its approximately 3,600 km, Slovakia's railway network is denser than the Austrian one, with 74 m/km</w:t>
      </w:r>
      <w:r w:rsidRPr="00F76FDC">
        <w:rPr>
          <w:sz w:val="20"/>
          <w:szCs w:val="20"/>
          <w:vertAlign w:val="superscript"/>
        </w:rPr>
        <w:t>2</w:t>
      </w:r>
      <w:r w:rsidR="00305E98">
        <w:rPr>
          <w:sz w:val="20"/>
          <w:szCs w:val="20"/>
        </w:rPr>
        <w:t xml:space="preserve"> [3, 9]</w:t>
      </w:r>
      <w:r w:rsidRPr="00A963E8">
        <w:rPr>
          <w:sz w:val="20"/>
          <w:szCs w:val="20"/>
        </w:rPr>
        <w:t>.</w:t>
      </w:r>
    </w:p>
    <w:p w:rsidR="00A963E8" w:rsidRDefault="00A963E8" w:rsidP="00A963E8">
      <w:pPr>
        <w:widowControl w:val="0"/>
        <w:ind w:firstLine="567"/>
        <w:jc w:val="both"/>
        <w:rPr>
          <w:sz w:val="20"/>
          <w:szCs w:val="20"/>
        </w:rPr>
      </w:pPr>
      <w:r w:rsidRPr="00A963E8">
        <w:rPr>
          <w:sz w:val="20"/>
          <w:szCs w:val="20"/>
        </w:rPr>
        <w:t>The order of countries remains the same even for the volume of goods transported in IFs per one kilometre of railway line every year. The resulting amount is 617 tonnes for the Czech Republic, followed by Austria with 346 tonnes per year and Slovakia with 87 tonnes of goods transported per one kilometre of railway line every year</w:t>
      </w:r>
      <w:r w:rsidR="00305E98">
        <w:rPr>
          <w:sz w:val="20"/>
          <w:szCs w:val="20"/>
        </w:rPr>
        <w:t xml:space="preserve"> [3, 9]</w:t>
      </w:r>
      <w:r w:rsidRPr="00A963E8">
        <w:rPr>
          <w:sz w:val="20"/>
          <w:szCs w:val="20"/>
        </w:rPr>
        <w:t>.</w:t>
      </w:r>
    </w:p>
    <w:p w:rsidR="00226BAE" w:rsidRDefault="00226BAE" w:rsidP="00226BAE">
      <w:pPr>
        <w:widowControl w:val="0"/>
        <w:jc w:val="both"/>
        <w:rPr>
          <w:sz w:val="20"/>
          <w:szCs w:val="20"/>
        </w:rPr>
      </w:pPr>
      <w:r>
        <w:rPr>
          <w:noProof/>
          <w:sz w:val="20"/>
          <w:szCs w:val="20"/>
          <w:lang w:val="cs-CZ" w:eastAsia="cs-CZ"/>
        </w:rPr>
        <w:drawing>
          <wp:inline distT="0" distB="0" distL="0" distR="0">
            <wp:extent cx="6056250" cy="3076575"/>
            <wp:effectExtent l="0" t="0" r="1905" b="0"/>
            <wp:docPr id="9" name="Obrázek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podily na km.png"/>
                    <pic:cNvPicPr/>
                  </pic:nvPicPr>
                  <pic:blipFill>
                    <a:blip r:embed="rId8">
                      <a:extLst>
                        <a:ext uri="{28A0092B-C50C-407E-A947-70E740481C1C}">
                          <a14:useLocalDpi xmlns:a14="http://schemas.microsoft.com/office/drawing/2010/main" val="0"/>
                        </a:ext>
                      </a:extLst>
                    </a:blip>
                    <a:stretch>
                      <a:fillRect/>
                    </a:stretch>
                  </pic:blipFill>
                  <pic:spPr>
                    <a:xfrm>
                      <a:off x="0" y="0"/>
                      <a:ext cx="6075719" cy="3086465"/>
                    </a:xfrm>
                    <a:prstGeom prst="rect">
                      <a:avLst/>
                    </a:prstGeom>
                  </pic:spPr>
                </pic:pic>
              </a:graphicData>
            </a:graphic>
          </wp:inline>
        </w:drawing>
      </w:r>
    </w:p>
    <w:p w:rsidR="00226BAE" w:rsidRDefault="00226BAE" w:rsidP="00A963E8">
      <w:pPr>
        <w:widowControl w:val="0"/>
        <w:ind w:firstLine="567"/>
        <w:jc w:val="both"/>
        <w:rPr>
          <w:sz w:val="20"/>
          <w:szCs w:val="20"/>
        </w:rPr>
      </w:pPr>
    </w:p>
    <w:p w:rsidR="00305E98" w:rsidRPr="00AF4278" w:rsidRDefault="00305E98" w:rsidP="00305E98">
      <w:pPr>
        <w:autoSpaceDE w:val="0"/>
        <w:autoSpaceDN w:val="0"/>
        <w:adjustRightInd w:val="0"/>
        <w:jc w:val="right"/>
        <w:rPr>
          <w:rFonts w:cstheme="minorHAnsi"/>
          <w:sz w:val="20"/>
          <w:szCs w:val="20"/>
          <w:lang w:val="cs-CZ"/>
        </w:rPr>
      </w:pPr>
      <w:r w:rsidRPr="00AF4278">
        <w:rPr>
          <w:rFonts w:cstheme="minorHAnsi"/>
          <w:sz w:val="20"/>
          <w:szCs w:val="20"/>
        </w:rPr>
        <w:t>Source</w:t>
      </w:r>
      <w:r w:rsidRPr="00AF4278">
        <w:rPr>
          <w:rFonts w:cstheme="minorHAnsi"/>
          <w:sz w:val="20"/>
          <w:szCs w:val="20"/>
          <w:lang w:val="cs-CZ"/>
        </w:rPr>
        <w:t xml:space="preserve">: </w:t>
      </w:r>
      <w:r w:rsidRPr="00AF4278">
        <w:rPr>
          <w:sz w:val="20"/>
          <w:szCs w:val="20"/>
        </w:rPr>
        <w:t xml:space="preserve">authors based on </w:t>
      </w:r>
      <w:r w:rsidRPr="00AF4278">
        <w:rPr>
          <w:rFonts w:cstheme="minorHAnsi"/>
          <w:sz w:val="20"/>
          <w:szCs w:val="20"/>
        </w:rPr>
        <w:t xml:space="preserve">[3, </w:t>
      </w:r>
      <w:r>
        <w:rPr>
          <w:rFonts w:cstheme="minorHAnsi"/>
          <w:sz w:val="20"/>
          <w:szCs w:val="20"/>
        </w:rPr>
        <w:t>8, 9</w:t>
      </w:r>
      <w:r w:rsidRPr="00AF4278">
        <w:rPr>
          <w:rFonts w:cstheme="minorHAnsi"/>
          <w:sz w:val="20"/>
          <w:szCs w:val="20"/>
        </w:rPr>
        <w:t>]</w:t>
      </w:r>
    </w:p>
    <w:p w:rsidR="00226BAE" w:rsidRPr="00226BAE" w:rsidRDefault="00226BAE" w:rsidP="00A963E8">
      <w:pPr>
        <w:widowControl w:val="0"/>
        <w:ind w:firstLine="567"/>
        <w:jc w:val="both"/>
        <w:rPr>
          <w:sz w:val="20"/>
          <w:szCs w:val="20"/>
        </w:rPr>
      </w:pPr>
      <w:r w:rsidRPr="00226BAE">
        <w:rPr>
          <w:sz w:val="20"/>
          <w:szCs w:val="20"/>
          <w:lang w:val="en-GB"/>
        </w:rPr>
        <w:t xml:space="preserve">Fig. 1 </w:t>
      </w:r>
      <w:r w:rsidRPr="00226BAE">
        <w:rPr>
          <w:sz w:val="20"/>
          <w:szCs w:val="20"/>
        </w:rPr>
        <w:t>Volume of goods transported in IFs per one kilometre of railway line in the given country</w:t>
      </w:r>
    </w:p>
    <w:p w:rsidR="00F76FDC" w:rsidRDefault="00F76FDC" w:rsidP="00F76FDC">
      <w:pPr>
        <w:widowControl w:val="0"/>
        <w:spacing w:before="200" w:after="200"/>
        <w:contextualSpacing/>
        <w:jc w:val="both"/>
        <w:rPr>
          <w:b/>
          <w:sz w:val="20"/>
        </w:rPr>
      </w:pPr>
    </w:p>
    <w:p w:rsidR="00226BAE" w:rsidRDefault="00226BAE" w:rsidP="00F76FDC">
      <w:pPr>
        <w:widowControl w:val="0"/>
        <w:spacing w:before="200" w:after="200"/>
        <w:contextualSpacing/>
        <w:jc w:val="both"/>
        <w:rPr>
          <w:b/>
          <w:sz w:val="20"/>
        </w:rPr>
      </w:pPr>
    </w:p>
    <w:p w:rsidR="00A963E8" w:rsidRPr="00F76FDC" w:rsidRDefault="00F76FDC" w:rsidP="00F76FDC">
      <w:pPr>
        <w:widowControl w:val="0"/>
        <w:spacing w:before="200" w:after="200"/>
        <w:contextualSpacing/>
        <w:jc w:val="both"/>
        <w:rPr>
          <w:b/>
          <w:sz w:val="20"/>
        </w:rPr>
      </w:pPr>
      <w:r>
        <w:rPr>
          <w:b/>
          <w:sz w:val="20"/>
        </w:rPr>
        <w:t xml:space="preserve">3. </w:t>
      </w:r>
      <w:r w:rsidRPr="00F76FDC">
        <w:rPr>
          <w:b/>
          <w:sz w:val="20"/>
        </w:rPr>
        <w:t>Technical and technological aspects of the Innofreight system</w:t>
      </w:r>
    </w:p>
    <w:p w:rsidR="00A963E8" w:rsidRDefault="00A963E8" w:rsidP="00A963E8">
      <w:pPr>
        <w:widowControl w:val="0"/>
        <w:ind w:firstLine="567"/>
        <w:jc w:val="both"/>
        <w:rPr>
          <w:sz w:val="20"/>
          <w:szCs w:val="20"/>
        </w:rPr>
      </w:pPr>
    </w:p>
    <w:p w:rsidR="00F76FDC" w:rsidRPr="00226BAE" w:rsidRDefault="00F76FDC" w:rsidP="00226BAE">
      <w:pPr>
        <w:widowControl w:val="0"/>
        <w:ind w:firstLine="567"/>
        <w:jc w:val="both"/>
        <w:rPr>
          <w:sz w:val="20"/>
          <w:szCs w:val="20"/>
        </w:rPr>
      </w:pPr>
      <w:r w:rsidRPr="00226BAE">
        <w:rPr>
          <w:sz w:val="20"/>
          <w:szCs w:val="20"/>
        </w:rPr>
        <w:t>This section evaluates individual technical and technological indicators of transport using a standard method (Falls railway wagons) versus Innofreight wagons for supplying coal to the Opatovice power plant (EOP). Considering the sensitive nature of the data of Czech Railways Cargo (ČD Cargo, a.s.), the only economic indicator assessed in greater detail is the price for the use of railway infrastructure through train rides. What is relevant here is mainly the total train mass and the discount for the use of combined transport.</w:t>
      </w:r>
    </w:p>
    <w:p w:rsidR="00F76FDC" w:rsidRPr="00226BAE" w:rsidRDefault="00F76FDC" w:rsidP="00226BAE">
      <w:pPr>
        <w:widowControl w:val="0"/>
        <w:ind w:firstLine="567"/>
        <w:jc w:val="both"/>
        <w:rPr>
          <w:sz w:val="20"/>
          <w:szCs w:val="20"/>
        </w:rPr>
      </w:pPr>
      <w:r w:rsidRPr="00226BAE">
        <w:rPr>
          <w:sz w:val="20"/>
          <w:szCs w:val="20"/>
        </w:rPr>
        <w:t xml:space="preserve">One of the main advantages of container trains is the usable width of the containers used. Trains with Innofreight wagons have a greater pay-mass (see Table </w:t>
      </w:r>
      <w:r w:rsidR="00226BAE">
        <w:rPr>
          <w:sz w:val="20"/>
          <w:szCs w:val="20"/>
        </w:rPr>
        <w:t>5</w:t>
      </w:r>
      <w:r w:rsidRPr="00226BAE">
        <w:rPr>
          <w:sz w:val="20"/>
          <w:szCs w:val="20"/>
        </w:rPr>
        <w:t xml:space="preserve">). The number of incoming wagons and the amount of coal transported to EOP were compared for September 2016 and September 2019 (see Table </w:t>
      </w:r>
      <w:r w:rsidR="00226BAE">
        <w:rPr>
          <w:sz w:val="20"/>
          <w:szCs w:val="20"/>
        </w:rPr>
        <w:t>6</w:t>
      </w:r>
      <w:r w:rsidRPr="00226BAE">
        <w:rPr>
          <w:sz w:val="20"/>
          <w:szCs w:val="20"/>
        </w:rPr>
        <w:t>)</w:t>
      </w:r>
      <w:r w:rsidR="0095718D">
        <w:rPr>
          <w:sz w:val="20"/>
          <w:szCs w:val="20"/>
        </w:rPr>
        <w:t xml:space="preserve"> [12]</w:t>
      </w:r>
      <w:r w:rsidRPr="00226BAE">
        <w:rPr>
          <w:sz w:val="20"/>
          <w:szCs w:val="20"/>
        </w:rPr>
        <w:t>.</w:t>
      </w:r>
    </w:p>
    <w:p w:rsidR="00226BAE" w:rsidRDefault="00226BAE" w:rsidP="00226BAE">
      <w:pPr>
        <w:widowControl w:val="0"/>
        <w:ind w:right="1984" w:firstLine="720"/>
        <w:jc w:val="right"/>
        <w:rPr>
          <w:sz w:val="20"/>
        </w:rPr>
      </w:pPr>
      <w:bookmarkStart w:id="1" w:name="_Toc33165839"/>
      <w:r>
        <w:rPr>
          <w:sz w:val="20"/>
        </w:rPr>
        <w:t>Table 5</w:t>
      </w:r>
    </w:p>
    <w:p w:rsidR="00F76FDC" w:rsidRPr="00226BAE" w:rsidRDefault="00F76FDC" w:rsidP="00226BAE">
      <w:pPr>
        <w:widowControl w:val="0"/>
        <w:jc w:val="center"/>
        <w:rPr>
          <w:sz w:val="20"/>
          <w:szCs w:val="20"/>
        </w:rPr>
      </w:pPr>
      <w:r w:rsidRPr="00226BAE">
        <w:rPr>
          <w:sz w:val="20"/>
          <w:szCs w:val="20"/>
        </w:rPr>
        <w:t>Comparison of train unit parameters</w:t>
      </w:r>
      <w:bookmarkEnd w:id="1"/>
    </w:p>
    <w:tbl>
      <w:tblPr>
        <w:tblStyle w:val="Mkatabulky"/>
        <w:tblW w:w="9062" w:type="dxa"/>
        <w:jc w:val="center"/>
        <w:tblLook w:val="04A0" w:firstRow="1" w:lastRow="0" w:firstColumn="1" w:lastColumn="0" w:noHBand="0" w:noVBand="1"/>
      </w:tblPr>
      <w:tblGrid>
        <w:gridCol w:w="5150"/>
        <w:gridCol w:w="2070"/>
        <w:gridCol w:w="1842"/>
      </w:tblGrid>
      <w:tr w:rsidR="00F76FDC" w:rsidRPr="00226BAE" w:rsidTr="0095718D">
        <w:trPr>
          <w:jc w:val="center"/>
        </w:trPr>
        <w:tc>
          <w:tcPr>
            <w:tcW w:w="5150" w:type="dxa"/>
            <w:noWrap/>
            <w:hideMark/>
          </w:tcPr>
          <w:p w:rsidR="00F76FDC" w:rsidRPr="00226BAE" w:rsidRDefault="00F76FDC" w:rsidP="00FF599D">
            <w:pPr>
              <w:rPr>
                <w:rFonts w:ascii="Times New Roman" w:eastAsia="Times New Roman" w:hAnsi="Times New Roman" w:cs="Times New Roman"/>
                <w:color w:val="000000"/>
                <w:sz w:val="20"/>
                <w:szCs w:val="20"/>
              </w:rPr>
            </w:pPr>
            <w:r w:rsidRPr="00226BAE">
              <w:rPr>
                <w:rFonts w:ascii="Times New Roman" w:hAnsi="Times New Roman" w:cs="Times New Roman"/>
                <w:color w:val="000000"/>
                <w:sz w:val="20"/>
                <w:szCs w:val="20"/>
              </w:rPr>
              <w:t> </w:t>
            </w:r>
          </w:p>
        </w:tc>
        <w:tc>
          <w:tcPr>
            <w:tcW w:w="2070" w:type="dxa"/>
            <w:noWrap/>
            <w:hideMark/>
          </w:tcPr>
          <w:p w:rsidR="00F76FDC" w:rsidRPr="00226BAE" w:rsidRDefault="00F76FDC" w:rsidP="00FF599D">
            <w:pPr>
              <w:jc w:val="center"/>
              <w:rPr>
                <w:rFonts w:ascii="Times New Roman" w:eastAsia="Times New Roman" w:hAnsi="Times New Roman" w:cs="Times New Roman"/>
                <w:color w:val="000000"/>
                <w:sz w:val="20"/>
                <w:szCs w:val="20"/>
              </w:rPr>
            </w:pPr>
            <w:r w:rsidRPr="00226BAE">
              <w:rPr>
                <w:rFonts w:ascii="Times New Roman" w:hAnsi="Times New Roman" w:cs="Times New Roman"/>
                <w:color w:val="000000"/>
                <w:sz w:val="20"/>
                <w:szCs w:val="20"/>
              </w:rPr>
              <w:t>Falls wagons</w:t>
            </w:r>
          </w:p>
        </w:tc>
        <w:tc>
          <w:tcPr>
            <w:tcW w:w="1842" w:type="dxa"/>
            <w:noWrap/>
            <w:hideMark/>
          </w:tcPr>
          <w:p w:rsidR="00F76FDC" w:rsidRPr="00226BAE" w:rsidRDefault="00F76FDC" w:rsidP="00FF599D">
            <w:pPr>
              <w:jc w:val="center"/>
              <w:rPr>
                <w:rFonts w:ascii="Times New Roman" w:eastAsia="Times New Roman" w:hAnsi="Times New Roman" w:cs="Times New Roman"/>
                <w:color w:val="000000"/>
                <w:sz w:val="20"/>
                <w:szCs w:val="20"/>
              </w:rPr>
            </w:pPr>
            <w:r w:rsidRPr="00226BAE">
              <w:rPr>
                <w:rFonts w:ascii="Times New Roman" w:hAnsi="Times New Roman" w:cs="Times New Roman"/>
                <w:color w:val="000000"/>
                <w:sz w:val="20"/>
                <w:szCs w:val="20"/>
              </w:rPr>
              <w:t>Innofreight wagons</w:t>
            </w:r>
          </w:p>
        </w:tc>
      </w:tr>
      <w:tr w:rsidR="00F76FDC" w:rsidRPr="00226BAE" w:rsidTr="0095718D">
        <w:trPr>
          <w:jc w:val="center"/>
        </w:trPr>
        <w:tc>
          <w:tcPr>
            <w:tcW w:w="5150" w:type="dxa"/>
            <w:noWrap/>
            <w:hideMark/>
          </w:tcPr>
          <w:p w:rsidR="00F76FDC" w:rsidRPr="00226BAE" w:rsidRDefault="00F76FDC" w:rsidP="00FF599D">
            <w:pPr>
              <w:rPr>
                <w:rFonts w:ascii="Times New Roman" w:eastAsia="Times New Roman" w:hAnsi="Times New Roman" w:cs="Times New Roman"/>
                <w:color w:val="000000"/>
                <w:sz w:val="20"/>
                <w:szCs w:val="20"/>
              </w:rPr>
            </w:pPr>
            <w:r w:rsidRPr="00226BAE">
              <w:rPr>
                <w:rFonts w:ascii="Times New Roman" w:hAnsi="Times New Roman" w:cs="Times New Roman"/>
                <w:color w:val="000000"/>
                <w:sz w:val="20"/>
                <w:szCs w:val="20"/>
              </w:rPr>
              <w:t>Usual number of wagons per train [number]</w:t>
            </w:r>
          </w:p>
        </w:tc>
        <w:tc>
          <w:tcPr>
            <w:tcW w:w="2070" w:type="dxa"/>
            <w:noWrap/>
            <w:hideMark/>
          </w:tcPr>
          <w:p w:rsidR="00F76FDC" w:rsidRPr="00226BAE" w:rsidRDefault="00F76FDC" w:rsidP="00FF599D">
            <w:pPr>
              <w:jc w:val="center"/>
              <w:rPr>
                <w:rFonts w:ascii="Times New Roman" w:eastAsia="Times New Roman" w:hAnsi="Times New Roman" w:cs="Times New Roman"/>
                <w:color w:val="000000"/>
                <w:sz w:val="20"/>
                <w:szCs w:val="20"/>
              </w:rPr>
            </w:pPr>
            <w:r w:rsidRPr="00226BAE">
              <w:rPr>
                <w:rFonts w:ascii="Times New Roman" w:hAnsi="Times New Roman" w:cs="Times New Roman"/>
                <w:color w:val="000000"/>
                <w:sz w:val="20"/>
                <w:szCs w:val="20"/>
              </w:rPr>
              <w:t>32</w:t>
            </w:r>
          </w:p>
        </w:tc>
        <w:tc>
          <w:tcPr>
            <w:tcW w:w="1842" w:type="dxa"/>
            <w:noWrap/>
            <w:hideMark/>
          </w:tcPr>
          <w:p w:rsidR="00F76FDC" w:rsidRPr="00226BAE" w:rsidRDefault="00F76FDC" w:rsidP="00FF599D">
            <w:pPr>
              <w:jc w:val="center"/>
              <w:rPr>
                <w:rFonts w:ascii="Times New Roman" w:eastAsia="Times New Roman" w:hAnsi="Times New Roman" w:cs="Times New Roman"/>
                <w:color w:val="000000"/>
                <w:sz w:val="20"/>
                <w:szCs w:val="20"/>
              </w:rPr>
            </w:pPr>
            <w:r w:rsidRPr="00226BAE">
              <w:rPr>
                <w:rFonts w:ascii="Times New Roman" w:hAnsi="Times New Roman" w:cs="Times New Roman"/>
                <w:color w:val="000000"/>
                <w:sz w:val="20"/>
                <w:szCs w:val="20"/>
              </w:rPr>
              <w:t>15</w:t>
            </w:r>
          </w:p>
        </w:tc>
      </w:tr>
      <w:tr w:rsidR="00F76FDC" w:rsidRPr="00226BAE" w:rsidTr="0095718D">
        <w:trPr>
          <w:jc w:val="center"/>
        </w:trPr>
        <w:tc>
          <w:tcPr>
            <w:tcW w:w="5150" w:type="dxa"/>
            <w:noWrap/>
            <w:hideMark/>
          </w:tcPr>
          <w:p w:rsidR="00F76FDC" w:rsidRPr="00226BAE" w:rsidRDefault="00F76FDC" w:rsidP="00FF599D">
            <w:pPr>
              <w:rPr>
                <w:rFonts w:ascii="Times New Roman" w:eastAsia="Times New Roman" w:hAnsi="Times New Roman" w:cs="Times New Roman"/>
                <w:color w:val="000000"/>
                <w:sz w:val="20"/>
                <w:szCs w:val="20"/>
              </w:rPr>
            </w:pPr>
            <w:r w:rsidRPr="00226BAE">
              <w:rPr>
                <w:rFonts w:ascii="Times New Roman" w:hAnsi="Times New Roman" w:cs="Times New Roman"/>
                <w:color w:val="000000"/>
                <w:sz w:val="20"/>
                <w:szCs w:val="20"/>
              </w:rPr>
              <w:t>Wagon length [m]</w:t>
            </w:r>
          </w:p>
        </w:tc>
        <w:tc>
          <w:tcPr>
            <w:tcW w:w="2070" w:type="dxa"/>
            <w:noWrap/>
            <w:hideMark/>
          </w:tcPr>
          <w:p w:rsidR="00F76FDC" w:rsidRPr="00226BAE" w:rsidRDefault="00F76FDC" w:rsidP="00FF599D">
            <w:pPr>
              <w:jc w:val="center"/>
              <w:rPr>
                <w:rFonts w:ascii="Times New Roman" w:eastAsia="Times New Roman" w:hAnsi="Times New Roman" w:cs="Times New Roman"/>
                <w:color w:val="000000"/>
                <w:sz w:val="20"/>
                <w:szCs w:val="20"/>
              </w:rPr>
            </w:pPr>
            <w:r w:rsidRPr="00226BAE">
              <w:rPr>
                <w:rFonts w:ascii="Times New Roman" w:hAnsi="Times New Roman" w:cs="Times New Roman"/>
                <w:color w:val="000000"/>
                <w:sz w:val="20"/>
                <w:szCs w:val="20"/>
              </w:rPr>
              <w:t>13.5</w:t>
            </w:r>
          </w:p>
        </w:tc>
        <w:tc>
          <w:tcPr>
            <w:tcW w:w="1842" w:type="dxa"/>
            <w:noWrap/>
            <w:hideMark/>
          </w:tcPr>
          <w:p w:rsidR="00F76FDC" w:rsidRPr="00226BAE" w:rsidRDefault="00F76FDC" w:rsidP="00FF599D">
            <w:pPr>
              <w:jc w:val="center"/>
              <w:rPr>
                <w:rFonts w:ascii="Times New Roman" w:eastAsia="Times New Roman" w:hAnsi="Times New Roman" w:cs="Times New Roman"/>
                <w:color w:val="000000"/>
                <w:sz w:val="20"/>
                <w:szCs w:val="20"/>
              </w:rPr>
            </w:pPr>
            <w:r w:rsidRPr="00226BAE">
              <w:rPr>
                <w:rFonts w:ascii="Times New Roman" w:hAnsi="Times New Roman" w:cs="Times New Roman"/>
                <w:color w:val="000000"/>
                <w:sz w:val="20"/>
                <w:szCs w:val="20"/>
              </w:rPr>
              <w:t>26.7</w:t>
            </w:r>
          </w:p>
        </w:tc>
      </w:tr>
      <w:tr w:rsidR="00F76FDC" w:rsidRPr="00226BAE" w:rsidTr="0095718D">
        <w:trPr>
          <w:jc w:val="center"/>
        </w:trPr>
        <w:tc>
          <w:tcPr>
            <w:tcW w:w="5150" w:type="dxa"/>
            <w:noWrap/>
            <w:hideMark/>
          </w:tcPr>
          <w:p w:rsidR="00F76FDC" w:rsidRPr="00226BAE" w:rsidRDefault="00F76FDC" w:rsidP="00FF599D">
            <w:pPr>
              <w:rPr>
                <w:rFonts w:ascii="Times New Roman" w:eastAsia="Times New Roman" w:hAnsi="Times New Roman" w:cs="Times New Roman"/>
                <w:color w:val="000000"/>
                <w:sz w:val="20"/>
                <w:szCs w:val="20"/>
              </w:rPr>
            </w:pPr>
            <w:r w:rsidRPr="00226BAE">
              <w:rPr>
                <w:rFonts w:ascii="Times New Roman" w:hAnsi="Times New Roman" w:cs="Times New Roman"/>
                <w:color w:val="000000"/>
                <w:sz w:val="20"/>
                <w:szCs w:val="20"/>
              </w:rPr>
              <w:t>Train pay-mass with usual loading [t</w:t>
            </w:r>
            <w:r w:rsidR="00226BAE">
              <w:rPr>
                <w:rFonts w:ascii="Times New Roman" w:hAnsi="Times New Roman" w:cs="Times New Roman"/>
                <w:color w:val="000000"/>
                <w:sz w:val="20"/>
                <w:szCs w:val="20"/>
              </w:rPr>
              <w:t>onns</w:t>
            </w:r>
            <w:r w:rsidRPr="00226BAE">
              <w:rPr>
                <w:rFonts w:ascii="Times New Roman" w:hAnsi="Times New Roman" w:cs="Times New Roman"/>
                <w:color w:val="000000"/>
                <w:sz w:val="20"/>
                <w:szCs w:val="20"/>
              </w:rPr>
              <w:t>]</w:t>
            </w:r>
          </w:p>
        </w:tc>
        <w:tc>
          <w:tcPr>
            <w:tcW w:w="2070" w:type="dxa"/>
            <w:noWrap/>
            <w:hideMark/>
          </w:tcPr>
          <w:p w:rsidR="00F76FDC" w:rsidRPr="00226BAE" w:rsidRDefault="00F76FDC" w:rsidP="00FF599D">
            <w:pPr>
              <w:jc w:val="center"/>
              <w:rPr>
                <w:rFonts w:ascii="Times New Roman" w:eastAsia="Times New Roman" w:hAnsi="Times New Roman" w:cs="Times New Roman"/>
                <w:color w:val="000000"/>
                <w:sz w:val="20"/>
                <w:szCs w:val="20"/>
              </w:rPr>
            </w:pPr>
            <w:r w:rsidRPr="00226BAE">
              <w:rPr>
                <w:rFonts w:ascii="Times New Roman" w:hAnsi="Times New Roman" w:cs="Times New Roman"/>
                <w:color w:val="000000"/>
                <w:sz w:val="20"/>
                <w:szCs w:val="20"/>
              </w:rPr>
              <w:t>1,600</w:t>
            </w:r>
          </w:p>
        </w:tc>
        <w:tc>
          <w:tcPr>
            <w:tcW w:w="1842" w:type="dxa"/>
            <w:noWrap/>
            <w:hideMark/>
          </w:tcPr>
          <w:p w:rsidR="00F76FDC" w:rsidRPr="00226BAE" w:rsidRDefault="00F76FDC" w:rsidP="00FF599D">
            <w:pPr>
              <w:jc w:val="center"/>
              <w:rPr>
                <w:rFonts w:ascii="Times New Roman" w:eastAsia="Times New Roman" w:hAnsi="Times New Roman" w:cs="Times New Roman"/>
                <w:color w:val="000000"/>
                <w:sz w:val="20"/>
                <w:szCs w:val="20"/>
              </w:rPr>
            </w:pPr>
            <w:r w:rsidRPr="00226BAE">
              <w:rPr>
                <w:rFonts w:ascii="Times New Roman" w:hAnsi="Times New Roman" w:cs="Times New Roman"/>
                <w:color w:val="000000"/>
                <w:sz w:val="20"/>
                <w:szCs w:val="20"/>
              </w:rPr>
              <w:t>1,800</w:t>
            </w:r>
          </w:p>
        </w:tc>
      </w:tr>
      <w:tr w:rsidR="00F76FDC" w:rsidRPr="00226BAE" w:rsidTr="0095718D">
        <w:trPr>
          <w:jc w:val="center"/>
        </w:trPr>
        <w:tc>
          <w:tcPr>
            <w:tcW w:w="5150" w:type="dxa"/>
            <w:noWrap/>
            <w:hideMark/>
          </w:tcPr>
          <w:p w:rsidR="00F76FDC" w:rsidRPr="00226BAE" w:rsidRDefault="00F76FDC" w:rsidP="00FF599D">
            <w:pPr>
              <w:rPr>
                <w:rFonts w:ascii="Times New Roman" w:eastAsia="Times New Roman" w:hAnsi="Times New Roman" w:cs="Times New Roman"/>
                <w:color w:val="000000"/>
                <w:sz w:val="20"/>
                <w:szCs w:val="20"/>
              </w:rPr>
            </w:pPr>
            <w:r w:rsidRPr="00226BAE">
              <w:rPr>
                <w:rFonts w:ascii="Times New Roman" w:hAnsi="Times New Roman" w:cs="Times New Roman"/>
                <w:color w:val="000000"/>
                <w:sz w:val="20"/>
                <w:szCs w:val="20"/>
              </w:rPr>
              <w:t>Usual train length excluding locomotive [m]</w:t>
            </w:r>
          </w:p>
        </w:tc>
        <w:tc>
          <w:tcPr>
            <w:tcW w:w="2070" w:type="dxa"/>
            <w:noWrap/>
            <w:hideMark/>
          </w:tcPr>
          <w:p w:rsidR="00F76FDC" w:rsidRPr="00226BAE" w:rsidRDefault="00F76FDC" w:rsidP="00FF599D">
            <w:pPr>
              <w:jc w:val="center"/>
              <w:rPr>
                <w:rFonts w:ascii="Times New Roman" w:eastAsia="Times New Roman" w:hAnsi="Times New Roman" w:cs="Times New Roman"/>
                <w:b/>
                <w:bCs/>
                <w:color w:val="000000"/>
                <w:sz w:val="20"/>
                <w:szCs w:val="20"/>
              </w:rPr>
            </w:pPr>
            <w:r w:rsidRPr="00226BAE">
              <w:rPr>
                <w:rFonts w:ascii="Times New Roman" w:hAnsi="Times New Roman" w:cs="Times New Roman"/>
                <w:b/>
                <w:color w:val="000000"/>
                <w:sz w:val="20"/>
                <w:szCs w:val="20"/>
              </w:rPr>
              <w:t>432</w:t>
            </w:r>
          </w:p>
        </w:tc>
        <w:tc>
          <w:tcPr>
            <w:tcW w:w="1842" w:type="dxa"/>
            <w:noWrap/>
            <w:hideMark/>
          </w:tcPr>
          <w:p w:rsidR="00F76FDC" w:rsidRPr="00226BAE" w:rsidRDefault="00F76FDC" w:rsidP="00FF599D">
            <w:pPr>
              <w:jc w:val="center"/>
              <w:rPr>
                <w:rFonts w:ascii="Times New Roman" w:eastAsia="Times New Roman" w:hAnsi="Times New Roman" w:cs="Times New Roman"/>
                <w:b/>
                <w:bCs/>
                <w:color w:val="000000"/>
                <w:sz w:val="20"/>
                <w:szCs w:val="20"/>
              </w:rPr>
            </w:pPr>
            <w:r w:rsidRPr="00226BAE">
              <w:rPr>
                <w:rFonts w:ascii="Times New Roman" w:hAnsi="Times New Roman" w:cs="Times New Roman"/>
                <w:b/>
                <w:color w:val="000000"/>
                <w:sz w:val="20"/>
                <w:szCs w:val="20"/>
              </w:rPr>
              <w:t>400.5</w:t>
            </w:r>
          </w:p>
        </w:tc>
      </w:tr>
    </w:tbl>
    <w:p w:rsidR="00F76FDC" w:rsidRPr="00ED5FBC" w:rsidRDefault="00F76FDC" w:rsidP="00F76FDC">
      <w:pPr>
        <w:pStyle w:val="Zkladntext"/>
        <w:jc w:val="right"/>
      </w:pPr>
      <w:bookmarkStart w:id="2" w:name="_Hlk26012528"/>
      <w:r w:rsidRPr="00ED5FBC">
        <w:t>Source: author</w:t>
      </w:r>
      <w:r w:rsidR="00226BAE">
        <w:t>s</w:t>
      </w:r>
      <w:r w:rsidRPr="00ED5FBC">
        <w:t xml:space="preserve"> based on </w:t>
      </w:r>
      <w:r w:rsidR="0095718D">
        <w:t>[12]</w:t>
      </w:r>
    </w:p>
    <w:p w:rsidR="000B2B7A" w:rsidRDefault="000B2B7A" w:rsidP="00226BAE">
      <w:pPr>
        <w:widowControl w:val="0"/>
        <w:ind w:right="1984" w:firstLine="720"/>
        <w:jc w:val="right"/>
        <w:rPr>
          <w:sz w:val="20"/>
        </w:rPr>
      </w:pPr>
      <w:bookmarkStart w:id="3" w:name="_Toc33165840"/>
      <w:bookmarkEnd w:id="2"/>
    </w:p>
    <w:p w:rsidR="00226BAE" w:rsidRDefault="00226BAE" w:rsidP="00226BAE">
      <w:pPr>
        <w:widowControl w:val="0"/>
        <w:ind w:right="1984" w:firstLine="720"/>
        <w:jc w:val="right"/>
        <w:rPr>
          <w:sz w:val="20"/>
        </w:rPr>
      </w:pPr>
      <w:r>
        <w:rPr>
          <w:sz w:val="20"/>
        </w:rPr>
        <w:t>Table 6</w:t>
      </w:r>
    </w:p>
    <w:p w:rsidR="00F76FDC" w:rsidRPr="00226BAE" w:rsidRDefault="00F76FDC" w:rsidP="00F76FDC">
      <w:pPr>
        <w:jc w:val="center"/>
        <w:rPr>
          <w:sz w:val="20"/>
          <w:szCs w:val="20"/>
        </w:rPr>
      </w:pPr>
      <w:r w:rsidRPr="00226BAE">
        <w:rPr>
          <w:sz w:val="20"/>
          <w:szCs w:val="20"/>
        </w:rPr>
        <w:t>Amount of coal transported to EOP per month of operation</w:t>
      </w:r>
      <w:bookmarkEnd w:id="3"/>
      <w:r w:rsidRPr="00226BAE">
        <w:rPr>
          <w:sz w:val="20"/>
          <w:szCs w:val="20"/>
        </w:rPr>
        <w:t xml:space="preserve"> (30 days)</w:t>
      </w:r>
    </w:p>
    <w:tbl>
      <w:tblPr>
        <w:tblStyle w:val="Mkatabulky"/>
        <w:tblW w:w="9062" w:type="dxa"/>
        <w:jc w:val="center"/>
        <w:tblLook w:val="04A0" w:firstRow="1" w:lastRow="0" w:firstColumn="1" w:lastColumn="0" w:noHBand="0" w:noVBand="1"/>
      </w:tblPr>
      <w:tblGrid>
        <w:gridCol w:w="5093"/>
        <w:gridCol w:w="2127"/>
        <w:gridCol w:w="1842"/>
      </w:tblGrid>
      <w:tr w:rsidR="00F76FDC" w:rsidRPr="00226BAE" w:rsidTr="0095718D">
        <w:trPr>
          <w:jc w:val="center"/>
        </w:trPr>
        <w:tc>
          <w:tcPr>
            <w:tcW w:w="5093" w:type="dxa"/>
            <w:noWrap/>
            <w:hideMark/>
          </w:tcPr>
          <w:p w:rsidR="00F76FDC" w:rsidRPr="00226BAE" w:rsidRDefault="00F76FDC" w:rsidP="00FF599D">
            <w:pPr>
              <w:rPr>
                <w:rFonts w:ascii="Times New Roman" w:eastAsia="Times New Roman" w:hAnsi="Times New Roman" w:cs="Times New Roman"/>
                <w:color w:val="000000"/>
                <w:sz w:val="20"/>
                <w:szCs w:val="20"/>
              </w:rPr>
            </w:pPr>
            <w:r w:rsidRPr="00226BAE">
              <w:rPr>
                <w:rFonts w:ascii="Times New Roman" w:hAnsi="Times New Roman" w:cs="Times New Roman"/>
                <w:color w:val="000000"/>
                <w:sz w:val="20"/>
                <w:szCs w:val="20"/>
              </w:rPr>
              <w:t> </w:t>
            </w:r>
          </w:p>
        </w:tc>
        <w:tc>
          <w:tcPr>
            <w:tcW w:w="2127" w:type="dxa"/>
            <w:noWrap/>
            <w:hideMark/>
          </w:tcPr>
          <w:p w:rsidR="00F76FDC" w:rsidRPr="00226BAE" w:rsidRDefault="00F76FDC" w:rsidP="00FF599D">
            <w:pPr>
              <w:jc w:val="center"/>
              <w:rPr>
                <w:rFonts w:ascii="Times New Roman" w:eastAsia="Times New Roman" w:hAnsi="Times New Roman" w:cs="Times New Roman"/>
                <w:color w:val="000000"/>
                <w:sz w:val="20"/>
                <w:szCs w:val="20"/>
              </w:rPr>
            </w:pPr>
            <w:r w:rsidRPr="00226BAE">
              <w:rPr>
                <w:rFonts w:ascii="Times New Roman" w:hAnsi="Times New Roman" w:cs="Times New Roman"/>
                <w:color w:val="000000"/>
                <w:sz w:val="20"/>
                <w:szCs w:val="20"/>
              </w:rPr>
              <w:t>Falls wagons</w:t>
            </w:r>
          </w:p>
        </w:tc>
        <w:tc>
          <w:tcPr>
            <w:tcW w:w="1842" w:type="dxa"/>
            <w:noWrap/>
            <w:hideMark/>
          </w:tcPr>
          <w:p w:rsidR="00F76FDC" w:rsidRPr="00226BAE" w:rsidRDefault="00F76FDC" w:rsidP="00FF599D">
            <w:pPr>
              <w:jc w:val="center"/>
              <w:rPr>
                <w:rFonts w:ascii="Times New Roman" w:eastAsia="Times New Roman" w:hAnsi="Times New Roman" w:cs="Times New Roman"/>
                <w:color w:val="000000"/>
                <w:sz w:val="20"/>
                <w:szCs w:val="20"/>
              </w:rPr>
            </w:pPr>
            <w:r w:rsidRPr="00226BAE">
              <w:rPr>
                <w:rFonts w:ascii="Times New Roman" w:hAnsi="Times New Roman" w:cs="Times New Roman"/>
                <w:color w:val="000000"/>
                <w:sz w:val="20"/>
                <w:szCs w:val="20"/>
              </w:rPr>
              <w:t>Innofreight wagons</w:t>
            </w:r>
          </w:p>
        </w:tc>
      </w:tr>
      <w:tr w:rsidR="00F76FDC" w:rsidRPr="00226BAE" w:rsidTr="0095718D">
        <w:trPr>
          <w:jc w:val="center"/>
        </w:trPr>
        <w:tc>
          <w:tcPr>
            <w:tcW w:w="5093" w:type="dxa"/>
            <w:noWrap/>
            <w:hideMark/>
          </w:tcPr>
          <w:p w:rsidR="00F76FDC" w:rsidRPr="00226BAE" w:rsidRDefault="00F76FDC" w:rsidP="00FF599D">
            <w:pPr>
              <w:rPr>
                <w:rFonts w:ascii="Times New Roman" w:eastAsia="Times New Roman" w:hAnsi="Times New Roman" w:cs="Times New Roman"/>
                <w:color w:val="000000"/>
                <w:sz w:val="20"/>
                <w:szCs w:val="20"/>
              </w:rPr>
            </w:pPr>
            <w:r w:rsidRPr="00226BAE">
              <w:rPr>
                <w:rFonts w:ascii="Times New Roman" w:hAnsi="Times New Roman" w:cs="Times New Roman"/>
                <w:color w:val="000000"/>
                <w:sz w:val="20"/>
                <w:szCs w:val="20"/>
              </w:rPr>
              <w:t>Number of incoming trains per month [number]</w:t>
            </w:r>
          </w:p>
        </w:tc>
        <w:tc>
          <w:tcPr>
            <w:tcW w:w="2127" w:type="dxa"/>
            <w:noWrap/>
            <w:hideMark/>
          </w:tcPr>
          <w:p w:rsidR="00F76FDC" w:rsidRPr="00226BAE" w:rsidRDefault="00F76FDC" w:rsidP="00FF599D">
            <w:pPr>
              <w:jc w:val="center"/>
              <w:rPr>
                <w:rFonts w:ascii="Times New Roman" w:eastAsia="Times New Roman" w:hAnsi="Times New Roman" w:cs="Times New Roman"/>
                <w:color w:val="000000"/>
                <w:sz w:val="20"/>
                <w:szCs w:val="20"/>
              </w:rPr>
            </w:pPr>
            <w:r w:rsidRPr="00226BAE">
              <w:rPr>
                <w:rFonts w:ascii="Times New Roman" w:hAnsi="Times New Roman" w:cs="Times New Roman"/>
                <w:color w:val="000000"/>
                <w:sz w:val="20"/>
                <w:szCs w:val="20"/>
              </w:rPr>
              <w:t>82</w:t>
            </w:r>
          </w:p>
        </w:tc>
        <w:tc>
          <w:tcPr>
            <w:tcW w:w="1842" w:type="dxa"/>
            <w:noWrap/>
            <w:hideMark/>
          </w:tcPr>
          <w:p w:rsidR="00F76FDC" w:rsidRPr="00226BAE" w:rsidRDefault="00F76FDC" w:rsidP="00FF599D">
            <w:pPr>
              <w:jc w:val="center"/>
              <w:rPr>
                <w:rFonts w:ascii="Times New Roman" w:eastAsia="Times New Roman" w:hAnsi="Times New Roman" w:cs="Times New Roman"/>
                <w:color w:val="000000"/>
                <w:sz w:val="20"/>
                <w:szCs w:val="20"/>
              </w:rPr>
            </w:pPr>
            <w:r w:rsidRPr="00226BAE">
              <w:rPr>
                <w:rFonts w:ascii="Times New Roman" w:hAnsi="Times New Roman" w:cs="Times New Roman"/>
                <w:color w:val="000000"/>
                <w:sz w:val="20"/>
                <w:szCs w:val="20"/>
              </w:rPr>
              <w:t>83</w:t>
            </w:r>
          </w:p>
        </w:tc>
      </w:tr>
      <w:tr w:rsidR="00F76FDC" w:rsidRPr="00226BAE" w:rsidTr="0095718D">
        <w:trPr>
          <w:jc w:val="center"/>
        </w:trPr>
        <w:tc>
          <w:tcPr>
            <w:tcW w:w="5093" w:type="dxa"/>
            <w:noWrap/>
            <w:hideMark/>
          </w:tcPr>
          <w:p w:rsidR="00F76FDC" w:rsidRPr="00226BAE" w:rsidRDefault="00F76FDC" w:rsidP="00FF599D">
            <w:pPr>
              <w:rPr>
                <w:rFonts w:ascii="Times New Roman" w:eastAsia="Times New Roman" w:hAnsi="Times New Roman" w:cs="Times New Roman"/>
                <w:color w:val="000000"/>
                <w:sz w:val="20"/>
                <w:szCs w:val="20"/>
              </w:rPr>
            </w:pPr>
            <w:r w:rsidRPr="00226BAE">
              <w:rPr>
                <w:rFonts w:ascii="Times New Roman" w:hAnsi="Times New Roman" w:cs="Times New Roman"/>
                <w:color w:val="000000"/>
                <w:sz w:val="20"/>
                <w:szCs w:val="20"/>
              </w:rPr>
              <w:t>Number of incoming wagons per month [number]</w:t>
            </w:r>
          </w:p>
        </w:tc>
        <w:tc>
          <w:tcPr>
            <w:tcW w:w="2127" w:type="dxa"/>
            <w:noWrap/>
            <w:hideMark/>
          </w:tcPr>
          <w:p w:rsidR="00F76FDC" w:rsidRPr="00226BAE" w:rsidRDefault="00F76FDC" w:rsidP="00FF599D">
            <w:pPr>
              <w:jc w:val="center"/>
              <w:rPr>
                <w:rFonts w:ascii="Times New Roman" w:eastAsia="Times New Roman" w:hAnsi="Times New Roman" w:cs="Times New Roman"/>
                <w:color w:val="000000"/>
                <w:sz w:val="20"/>
                <w:szCs w:val="20"/>
              </w:rPr>
            </w:pPr>
            <w:r w:rsidRPr="00226BAE">
              <w:rPr>
                <w:rFonts w:ascii="Times New Roman" w:hAnsi="Times New Roman" w:cs="Times New Roman"/>
                <w:color w:val="000000"/>
                <w:sz w:val="20"/>
                <w:szCs w:val="20"/>
              </w:rPr>
              <w:t>2,621</w:t>
            </w:r>
          </w:p>
        </w:tc>
        <w:tc>
          <w:tcPr>
            <w:tcW w:w="1842" w:type="dxa"/>
            <w:noWrap/>
            <w:hideMark/>
          </w:tcPr>
          <w:p w:rsidR="00F76FDC" w:rsidRPr="00226BAE" w:rsidRDefault="00F76FDC" w:rsidP="00FF599D">
            <w:pPr>
              <w:jc w:val="center"/>
              <w:rPr>
                <w:rFonts w:ascii="Times New Roman" w:eastAsia="Times New Roman" w:hAnsi="Times New Roman" w:cs="Times New Roman"/>
                <w:color w:val="000000"/>
                <w:sz w:val="20"/>
                <w:szCs w:val="20"/>
              </w:rPr>
            </w:pPr>
            <w:r w:rsidRPr="00226BAE">
              <w:rPr>
                <w:rFonts w:ascii="Times New Roman" w:hAnsi="Times New Roman" w:cs="Times New Roman"/>
                <w:color w:val="000000"/>
                <w:sz w:val="20"/>
                <w:szCs w:val="20"/>
              </w:rPr>
              <w:t>1,221</w:t>
            </w:r>
          </w:p>
        </w:tc>
      </w:tr>
      <w:tr w:rsidR="00F76FDC" w:rsidRPr="00226BAE" w:rsidTr="0095718D">
        <w:trPr>
          <w:jc w:val="center"/>
        </w:trPr>
        <w:tc>
          <w:tcPr>
            <w:tcW w:w="5093" w:type="dxa"/>
            <w:noWrap/>
            <w:hideMark/>
          </w:tcPr>
          <w:p w:rsidR="00F76FDC" w:rsidRPr="00226BAE" w:rsidRDefault="00F76FDC" w:rsidP="00FF599D">
            <w:pPr>
              <w:rPr>
                <w:rFonts w:ascii="Times New Roman" w:eastAsia="Times New Roman" w:hAnsi="Times New Roman" w:cs="Times New Roman"/>
                <w:color w:val="000000"/>
                <w:sz w:val="20"/>
                <w:szCs w:val="20"/>
              </w:rPr>
            </w:pPr>
            <w:r w:rsidRPr="00226BAE">
              <w:rPr>
                <w:rFonts w:ascii="Times New Roman" w:hAnsi="Times New Roman" w:cs="Times New Roman"/>
                <w:color w:val="000000"/>
                <w:sz w:val="20"/>
                <w:szCs w:val="20"/>
              </w:rPr>
              <w:t>Load weight transported in one wagon [t</w:t>
            </w:r>
            <w:r w:rsidR="00226BAE">
              <w:rPr>
                <w:rFonts w:ascii="Times New Roman" w:hAnsi="Times New Roman" w:cs="Times New Roman"/>
                <w:color w:val="000000"/>
                <w:sz w:val="20"/>
                <w:szCs w:val="20"/>
              </w:rPr>
              <w:t>onns</w:t>
            </w:r>
            <w:r w:rsidRPr="00226BAE">
              <w:rPr>
                <w:rFonts w:ascii="Times New Roman" w:hAnsi="Times New Roman" w:cs="Times New Roman"/>
                <w:color w:val="000000"/>
                <w:sz w:val="20"/>
                <w:szCs w:val="20"/>
              </w:rPr>
              <w:t>]</w:t>
            </w:r>
          </w:p>
        </w:tc>
        <w:tc>
          <w:tcPr>
            <w:tcW w:w="2127" w:type="dxa"/>
            <w:noWrap/>
            <w:hideMark/>
          </w:tcPr>
          <w:p w:rsidR="00F76FDC" w:rsidRPr="00226BAE" w:rsidRDefault="00F76FDC" w:rsidP="00FF599D">
            <w:pPr>
              <w:jc w:val="center"/>
              <w:rPr>
                <w:rFonts w:ascii="Times New Roman" w:eastAsia="Times New Roman" w:hAnsi="Times New Roman" w:cs="Times New Roman"/>
                <w:color w:val="000000"/>
                <w:sz w:val="20"/>
                <w:szCs w:val="20"/>
              </w:rPr>
            </w:pPr>
            <w:r w:rsidRPr="00226BAE">
              <w:rPr>
                <w:rFonts w:ascii="Times New Roman" w:hAnsi="Times New Roman" w:cs="Times New Roman"/>
                <w:color w:val="000000"/>
                <w:sz w:val="20"/>
                <w:szCs w:val="20"/>
              </w:rPr>
              <w:t>50</w:t>
            </w:r>
          </w:p>
        </w:tc>
        <w:tc>
          <w:tcPr>
            <w:tcW w:w="1842" w:type="dxa"/>
            <w:noWrap/>
            <w:hideMark/>
          </w:tcPr>
          <w:p w:rsidR="00F76FDC" w:rsidRPr="00226BAE" w:rsidRDefault="00F76FDC" w:rsidP="00FF599D">
            <w:pPr>
              <w:jc w:val="center"/>
              <w:rPr>
                <w:rFonts w:ascii="Times New Roman" w:eastAsia="Times New Roman" w:hAnsi="Times New Roman" w:cs="Times New Roman"/>
                <w:color w:val="000000"/>
                <w:sz w:val="20"/>
                <w:szCs w:val="20"/>
              </w:rPr>
            </w:pPr>
            <w:r w:rsidRPr="00226BAE">
              <w:rPr>
                <w:rFonts w:ascii="Times New Roman" w:hAnsi="Times New Roman" w:cs="Times New Roman"/>
                <w:color w:val="000000"/>
                <w:sz w:val="20"/>
                <w:szCs w:val="20"/>
              </w:rPr>
              <w:t>120</w:t>
            </w:r>
          </w:p>
        </w:tc>
      </w:tr>
      <w:tr w:rsidR="00F76FDC" w:rsidRPr="00226BAE" w:rsidTr="0095718D">
        <w:trPr>
          <w:jc w:val="center"/>
        </w:trPr>
        <w:tc>
          <w:tcPr>
            <w:tcW w:w="5093" w:type="dxa"/>
            <w:noWrap/>
            <w:hideMark/>
          </w:tcPr>
          <w:p w:rsidR="00F76FDC" w:rsidRPr="00226BAE" w:rsidRDefault="00F76FDC" w:rsidP="00FF599D">
            <w:pPr>
              <w:rPr>
                <w:rFonts w:ascii="Times New Roman" w:eastAsia="Times New Roman" w:hAnsi="Times New Roman" w:cs="Times New Roman"/>
                <w:color w:val="000000"/>
                <w:sz w:val="20"/>
                <w:szCs w:val="20"/>
              </w:rPr>
            </w:pPr>
            <w:r w:rsidRPr="00226BAE">
              <w:rPr>
                <w:rFonts w:ascii="Times New Roman" w:hAnsi="Times New Roman" w:cs="Times New Roman"/>
                <w:color w:val="000000"/>
                <w:sz w:val="20"/>
                <w:szCs w:val="20"/>
              </w:rPr>
              <w:t>Total amount of coal transported per month [t</w:t>
            </w:r>
            <w:r w:rsidR="00226BAE">
              <w:rPr>
                <w:rFonts w:ascii="Times New Roman" w:hAnsi="Times New Roman" w:cs="Times New Roman"/>
                <w:color w:val="000000"/>
                <w:sz w:val="20"/>
                <w:szCs w:val="20"/>
              </w:rPr>
              <w:t>onns</w:t>
            </w:r>
            <w:r w:rsidRPr="00226BAE">
              <w:rPr>
                <w:rFonts w:ascii="Times New Roman" w:hAnsi="Times New Roman" w:cs="Times New Roman"/>
                <w:color w:val="000000"/>
                <w:sz w:val="20"/>
                <w:szCs w:val="20"/>
              </w:rPr>
              <w:t>]</w:t>
            </w:r>
          </w:p>
        </w:tc>
        <w:tc>
          <w:tcPr>
            <w:tcW w:w="2127" w:type="dxa"/>
            <w:noWrap/>
            <w:hideMark/>
          </w:tcPr>
          <w:p w:rsidR="00F76FDC" w:rsidRPr="00226BAE" w:rsidRDefault="00F76FDC" w:rsidP="00FF599D">
            <w:pPr>
              <w:jc w:val="center"/>
              <w:rPr>
                <w:rFonts w:ascii="Times New Roman" w:eastAsia="Times New Roman" w:hAnsi="Times New Roman" w:cs="Times New Roman"/>
                <w:b/>
                <w:bCs/>
                <w:color w:val="000000"/>
                <w:sz w:val="20"/>
                <w:szCs w:val="20"/>
              </w:rPr>
            </w:pPr>
            <w:r w:rsidRPr="00226BAE">
              <w:rPr>
                <w:rFonts w:ascii="Times New Roman" w:hAnsi="Times New Roman" w:cs="Times New Roman"/>
                <w:b/>
                <w:color w:val="000000"/>
                <w:sz w:val="20"/>
                <w:szCs w:val="20"/>
              </w:rPr>
              <w:t>131,050</w:t>
            </w:r>
          </w:p>
        </w:tc>
        <w:tc>
          <w:tcPr>
            <w:tcW w:w="1842" w:type="dxa"/>
            <w:noWrap/>
            <w:hideMark/>
          </w:tcPr>
          <w:p w:rsidR="00F76FDC" w:rsidRPr="00226BAE" w:rsidRDefault="00F76FDC" w:rsidP="00FF599D">
            <w:pPr>
              <w:jc w:val="center"/>
              <w:rPr>
                <w:rFonts w:ascii="Times New Roman" w:eastAsia="Times New Roman" w:hAnsi="Times New Roman" w:cs="Times New Roman"/>
                <w:b/>
                <w:bCs/>
                <w:color w:val="000000"/>
                <w:sz w:val="20"/>
                <w:szCs w:val="20"/>
              </w:rPr>
            </w:pPr>
            <w:r w:rsidRPr="00226BAE">
              <w:rPr>
                <w:rFonts w:ascii="Times New Roman" w:hAnsi="Times New Roman" w:cs="Times New Roman"/>
                <w:b/>
                <w:color w:val="000000"/>
                <w:sz w:val="20"/>
                <w:szCs w:val="20"/>
              </w:rPr>
              <w:t>146,520</w:t>
            </w:r>
          </w:p>
        </w:tc>
      </w:tr>
    </w:tbl>
    <w:p w:rsidR="0095718D" w:rsidRPr="00ED5FBC" w:rsidRDefault="0095718D" w:rsidP="0095718D">
      <w:pPr>
        <w:pStyle w:val="Zkladntext"/>
        <w:jc w:val="right"/>
      </w:pPr>
      <w:r w:rsidRPr="00ED5FBC">
        <w:t>Source: author</w:t>
      </w:r>
      <w:r>
        <w:t>s</w:t>
      </w:r>
      <w:r w:rsidRPr="00ED5FBC">
        <w:t xml:space="preserve"> based on </w:t>
      </w:r>
      <w:r>
        <w:t>[12]</w:t>
      </w:r>
    </w:p>
    <w:p w:rsidR="00F76FDC" w:rsidRPr="00ED5FBC" w:rsidRDefault="00F76FDC" w:rsidP="00F76FDC">
      <w:pPr>
        <w:jc w:val="both"/>
      </w:pPr>
    </w:p>
    <w:p w:rsidR="00F76FDC" w:rsidRPr="00226BAE" w:rsidRDefault="00F76FDC" w:rsidP="00226BAE">
      <w:pPr>
        <w:widowControl w:val="0"/>
        <w:ind w:firstLine="567"/>
        <w:jc w:val="both"/>
        <w:rPr>
          <w:sz w:val="20"/>
          <w:szCs w:val="20"/>
        </w:rPr>
      </w:pPr>
      <w:r w:rsidRPr="00226BAE">
        <w:rPr>
          <w:sz w:val="20"/>
          <w:szCs w:val="20"/>
        </w:rPr>
        <w:t xml:space="preserve">The average turnaround time on the EOP siding in one month (September 2019) was calculated based on real data pertaining to incoming trains in EOP. As turnaround time is considered the time between the arrival at the siding and the </w:t>
      </w:r>
      <w:r w:rsidRPr="00226BAE">
        <w:rPr>
          <w:sz w:val="20"/>
          <w:szCs w:val="20"/>
        </w:rPr>
        <w:lastRenderedPageBreak/>
        <w:t>wheeltapper's announcement about the completion of the technical inspection before the train departure. The information about the actual departure was not available. Anyway, the the time of departure is not relevant for the length of technological processes involved in the unloading</w:t>
      </w:r>
      <w:r w:rsidR="0095718D">
        <w:rPr>
          <w:sz w:val="20"/>
          <w:szCs w:val="20"/>
        </w:rPr>
        <w:t xml:space="preserve"> [7, 12]</w:t>
      </w:r>
      <w:r w:rsidRPr="00226BAE">
        <w:rPr>
          <w:sz w:val="20"/>
          <w:szCs w:val="20"/>
        </w:rPr>
        <w:t>.</w:t>
      </w:r>
    </w:p>
    <w:p w:rsidR="00F76FDC" w:rsidRPr="00226BAE" w:rsidRDefault="00F76FDC" w:rsidP="00226BAE">
      <w:pPr>
        <w:widowControl w:val="0"/>
        <w:ind w:firstLine="567"/>
        <w:jc w:val="both"/>
        <w:rPr>
          <w:sz w:val="20"/>
          <w:szCs w:val="20"/>
        </w:rPr>
      </w:pPr>
      <w:r w:rsidRPr="00226BAE">
        <w:rPr>
          <w:sz w:val="20"/>
          <w:szCs w:val="20"/>
        </w:rPr>
        <w:t xml:space="preserve">The calculation shows that the unloading of Falls wagons is significantly faster under standard conditions; the average train turnaround time in September 2016 was 5 hours 38 minutes. The situation during winter months was different. The average train turnaround time with Innofreight wagons on the EOP siding in September 2019 was 6 hours 43 minutes. According to train traffic diagram 2019, the shortest slot planned for the turnaround time on the EOP siding is 7 hours 31 minutes. After deducting the calculated average time from the planned turnaround time, there is still a certain reserve time so as to anticipate potential delays. In September 2019, the arrival times of loaded trains were more in line with the train traffic diagram. However, consideration must be given to the fact that there were different stations of origin (in 2016, they were in different countries as well). In September 2019, some incoming trains were irregular, i.e. not according to the annual train traffic diagram. In Table </w:t>
      </w:r>
      <w:r w:rsidR="00226BAE">
        <w:rPr>
          <w:sz w:val="20"/>
          <w:szCs w:val="20"/>
        </w:rPr>
        <w:t>7</w:t>
      </w:r>
      <w:r w:rsidRPr="00226BAE">
        <w:rPr>
          <w:sz w:val="20"/>
          <w:szCs w:val="20"/>
        </w:rPr>
        <w:t>, the number of trains is broken down by different stations of origin.</w:t>
      </w:r>
    </w:p>
    <w:p w:rsidR="00226BAE" w:rsidRDefault="00226BAE" w:rsidP="00226BAE">
      <w:pPr>
        <w:widowControl w:val="0"/>
        <w:ind w:right="1984" w:firstLine="720"/>
        <w:jc w:val="right"/>
        <w:rPr>
          <w:sz w:val="20"/>
        </w:rPr>
      </w:pPr>
      <w:r>
        <w:rPr>
          <w:sz w:val="20"/>
        </w:rPr>
        <w:t>Table 7</w:t>
      </w:r>
    </w:p>
    <w:p w:rsidR="00F76FDC" w:rsidRPr="00226BAE" w:rsidRDefault="00F76FDC" w:rsidP="00F76FDC">
      <w:pPr>
        <w:jc w:val="center"/>
        <w:rPr>
          <w:iCs/>
          <w:sz w:val="20"/>
          <w:szCs w:val="20"/>
        </w:rPr>
      </w:pPr>
      <w:r w:rsidRPr="00226BAE">
        <w:rPr>
          <w:sz w:val="20"/>
          <w:szCs w:val="20"/>
        </w:rPr>
        <w:t>Number of incoming trains in EOP in September</w:t>
      </w:r>
      <w:r w:rsidR="00226BAE">
        <w:rPr>
          <w:sz w:val="20"/>
          <w:szCs w:val="20"/>
        </w:rPr>
        <w:t xml:space="preserve"> 2016 and 2019</w:t>
      </w:r>
      <w:r w:rsidRPr="00226BAE">
        <w:rPr>
          <w:sz w:val="20"/>
          <w:szCs w:val="20"/>
        </w:rPr>
        <w:fldChar w:fldCharType="begin"/>
      </w:r>
      <w:r w:rsidRPr="00226BAE">
        <w:rPr>
          <w:sz w:val="20"/>
          <w:szCs w:val="20"/>
        </w:rPr>
        <w:instrText xml:space="preserve"> LINK Excel.Sheet.12 "C:\\Users\\Lenovo\\Documents\\David\\DFJP UPCE\\3. ročník\\Bakalářka\\2. Oběhy souprav Falls -09_2016 a INNO 09_2019.xlsx" "Tabulky!R1C24:R3C29" \a \f 4 \h  \* MERGEFORMAT </w:instrText>
      </w:r>
      <w:r w:rsidRPr="00226BAE">
        <w:rPr>
          <w:sz w:val="20"/>
          <w:szCs w:val="20"/>
        </w:rPr>
        <w:fldChar w:fldCharType="end"/>
      </w:r>
    </w:p>
    <w:tbl>
      <w:tblPr>
        <w:tblStyle w:val="Mkatabulky"/>
        <w:tblW w:w="8937" w:type="dxa"/>
        <w:jc w:val="center"/>
        <w:tblLayout w:type="fixed"/>
        <w:tblLook w:val="04A0" w:firstRow="1" w:lastRow="0" w:firstColumn="1" w:lastColumn="0" w:noHBand="0" w:noVBand="1"/>
      </w:tblPr>
      <w:tblGrid>
        <w:gridCol w:w="1489"/>
        <w:gridCol w:w="1490"/>
        <w:gridCol w:w="1489"/>
        <w:gridCol w:w="1490"/>
        <w:gridCol w:w="1489"/>
        <w:gridCol w:w="1490"/>
      </w:tblGrid>
      <w:tr w:rsidR="00F76FDC" w:rsidRPr="00226BAE" w:rsidTr="00D22DE3">
        <w:trPr>
          <w:jc w:val="center"/>
        </w:trPr>
        <w:tc>
          <w:tcPr>
            <w:tcW w:w="4468" w:type="dxa"/>
            <w:gridSpan w:val="3"/>
            <w:noWrap/>
            <w:hideMark/>
          </w:tcPr>
          <w:p w:rsidR="00F76FDC" w:rsidRPr="00226BAE" w:rsidRDefault="00F76FDC" w:rsidP="00FF599D">
            <w:pPr>
              <w:jc w:val="center"/>
              <w:rPr>
                <w:rFonts w:ascii="Times New Roman" w:eastAsia="Times New Roman" w:hAnsi="Times New Roman" w:cs="Times New Roman"/>
                <w:bCs/>
                <w:color w:val="000000"/>
                <w:sz w:val="20"/>
                <w:szCs w:val="20"/>
              </w:rPr>
            </w:pPr>
            <w:r w:rsidRPr="00226BAE">
              <w:rPr>
                <w:sz w:val="20"/>
                <w:szCs w:val="20"/>
              </w:rPr>
              <w:fldChar w:fldCharType="begin"/>
            </w:r>
            <w:r w:rsidRPr="00226BAE">
              <w:rPr>
                <w:rFonts w:ascii="Times New Roman" w:hAnsi="Times New Roman" w:cs="Times New Roman"/>
                <w:sz w:val="20"/>
                <w:szCs w:val="20"/>
              </w:rPr>
              <w:instrText xml:space="preserve"> LINK Excel.Sheet.12 "C:\\Users\\Lenovo\\Documents\\David\\DFJP UPCE\\3. ročník\\Bakalářka\\2. Oběhy souprav Falls -09_2016 a INNO 09_2019.xlsx" "Tabulky!R1C24:R3C29" \a \f 4 \h  \* MERGEFORMAT </w:instrText>
            </w:r>
            <w:r w:rsidRPr="00226BAE">
              <w:rPr>
                <w:sz w:val="20"/>
                <w:szCs w:val="20"/>
              </w:rPr>
              <w:fldChar w:fldCharType="separate"/>
            </w:r>
            <w:r w:rsidRPr="00226BAE">
              <w:rPr>
                <w:rFonts w:ascii="Times New Roman" w:eastAsia="Times New Roman" w:hAnsi="Times New Roman" w:cs="Times New Roman"/>
                <w:bCs/>
                <w:color w:val="000000"/>
                <w:sz w:val="20"/>
                <w:szCs w:val="20"/>
              </w:rPr>
              <w:t>09/2016</w:t>
            </w:r>
            <w:r w:rsidRPr="00226BAE">
              <w:rPr>
                <w:sz w:val="20"/>
                <w:szCs w:val="20"/>
              </w:rPr>
              <w:fldChar w:fldCharType="end"/>
            </w:r>
          </w:p>
        </w:tc>
        <w:tc>
          <w:tcPr>
            <w:tcW w:w="4469" w:type="dxa"/>
            <w:gridSpan w:val="3"/>
            <w:noWrap/>
            <w:hideMark/>
          </w:tcPr>
          <w:p w:rsidR="00F76FDC" w:rsidRPr="00226BAE" w:rsidRDefault="00F76FDC" w:rsidP="00FF599D">
            <w:pPr>
              <w:jc w:val="center"/>
              <w:rPr>
                <w:rFonts w:ascii="Times New Roman" w:eastAsia="Times New Roman" w:hAnsi="Times New Roman" w:cs="Times New Roman"/>
                <w:bCs/>
                <w:color w:val="000000"/>
                <w:sz w:val="20"/>
                <w:szCs w:val="20"/>
              </w:rPr>
            </w:pPr>
            <w:r w:rsidRPr="00226BAE">
              <w:rPr>
                <w:sz w:val="20"/>
                <w:szCs w:val="20"/>
              </w:rPr>
              <w:fldChar w:fldCharType="begin"/>
            </w:r>
            <w:r w:rsidRPr="00226BAE">
              <w:rPr>
                <w:rFonts w:ascii="Times New Roman" w:hAnsi="Times New Roman" w:cs="Times New Roman"/>
                <w:sz w:val="20"/>
                <w:szCs w:val="20"/>
              </w:rPr>
              <w:instrText xml:space="preserve"> LINK Excel.Sheet.12 "C:\\Users\\Lenovo\\Documents\\David\\DFJP UPCE\\3. ročník\\Bakalářka\\2. Oběhy souprav Falls -09_2016 a INNO 09_2019.xlsx" "Tabulky!R1C24:R3C29" \a \f 4 \h  \* MERGEFORMAT </w:instrText>
            </w:r>
            <w:r w:rsidRPr="00226BAE">
              <w:rPr>
                <w:sz w:val="20"/>
                <w:szCs w:val="20"/>
              </w:rPr>
              <w:fldChar w:fldCharType="separate"/>
            </w:r>
            <w:r w:rsidRPr="00226BAE">
              <w:rPr>
                <w:rFonts w:ascii="Times New Roman" w:eastAsia="Times New Roman" w:hAnsi="Times New Roman" w:cs="Times New Roman"/>
                <w:bCs/>
                <w:color w:val="000000"/>
                <w:sz w:val="20"/>
                <w:szCs w:val="20"/>
              </w:rPr>
              <w:t>09/2019</w:t>
            </w:r>
            <w:r w:rsidRPr="00226BAE">
              <w:rPr>
                <w:sz w:val="20"/>
                <w:szCs w:val="20"/>
              </w:rPr>
              <w:fldChar w:fldCharType="end"/>
            </w:r>
          </w:p>
        </w:tc>
      </w:tr>
      <w:tr w:rsidR="00F76FDC" w:rsidRPr="00226BAE" w:rsidTr="00D22DE3">
        <w:trPr>
          <w:jc w:val="center"/>
        </w:trPr>
        <w:tc>
          <w:tcPr>
            <w:tcW w:w="1489" w:type="dxa"/>
            <w:noWrap/>
            <w:hideMark/>
          </w:tcPr>
          <w:p w:rsidR="00F76FDC" w:rsidRPr="00226BAE" w:rsidRDefault="00F76FDC" w:rsidP="00FF599D">
            <w:pPr>
              <w:jc w:val="center"/>
              <w:rPr>
                <w:rFonts w:ascii="Times New Roman" w:eastAsia="Times New Roman" w:hAnsi="Times New Roman" w:cs="Times New Roman"/>
                <w:color w:val="000000"/>
                <w:sz w:val="20"/>
                <w:szCs w:val="20"/>
              </w:rPr>
            </w:pPr>
            <w:r w:rsidRPr="00226BAE">
              <w:rPr>
                <w:sz w:val="20"/>
                <w:szCs w:val="20"/>
              </w:rPr>
              <w:fldChar w:fldCharType="begin"/>
            </w:r>
            <w:r w:rsidRPr="00226BAE">
              <w:rPr>
                <w:rFonts w:ascii="Times New Roman" w:hAnsi="Times New Roman" w:cs="Times New Roman"/>
                <w:sz w:val="20"/>
                <w:szCs w:val="20"/>
              </w:rPr>
              <w:instrText xml:space="preserve"> LINK Excel.Sheet.12 "C:\\Users\\Lenovo\\Documents\\David\\DFJP UPCE\\3. ročník\\Bakalářka\\2. Oběhy souprav Falls -09_2016 a INNO 09_2019.xlsx" "Tabulky!R1C24:R3C29" \a \f 4 \h  \* MERGEFORMAT </w:instrText>
            </w:r>
            <w:r w:rsidRPr="00226BAE">
              <w:rPr>
                <w:sz w:val="20"/>
                <w:szCs w:val="20"/>
              </w:rPr>
              <w:fldChar w:fldCharType="separate"/>
            </w:r>
            <w:r w:rsidRPr="00226BAE">
              <w:rPr>
                <w:rFonts w:ascii="Times New Roman" w:eastAsia="Times New Roman" w:hAnsi="Times New Roman" w:cs="Times New Roman"/>
                <w:color w:val="000000"/>
                <w:sz w:val="20"/>
                <w:szCs w:val="20"/>
              </w:rPr>
              <w:t>Březno u Chomutova</w:t>
            </w:r>
            <w:r w:rsidRPr="00226BAE">
              <w:rPr>
                <w:sz w:val="20"/>
                <w:szCs w:val="20"/>
              </w:rPr>
              <w:fldChar w:fldCharType="end"/>
            </w:r>
          </w:p>
        </w:tc>
        <w:tc>
          <w:tcPr>
            <w:tcW w:w="1490" w:type="dxa"/>
            <w:noWrap/>
            <w:hideMark/>
          </w:tcPr>
          <w:p w:rsidR="00F76FDC" w:rsidRPr="00226BAE" w:rsidRDefault="00F76FDC" w:rsidP="00FF599D">
            <w:pPr>
              <w:jc w:val="center"/>
              <w:rPr>
                <w:rFonts w:ascii="Times New Roman" w:eastAsia="Times New Roman" w:hAnsi="Times New Roman" w:cs="Times New Roman"/>
                <w:color w:val="000000"/>
                <w:sz w:val="20"/>
                <w:szCs w:val="20"/>
              </w:rPr>
            </w:pPr>
            <w:r w:rsidRPr="00226BAE">
              <w:rPr>
                <w:sz w:val="20"/>
                <w:szCs w:val="20"/>
              </w:rPr>
              <w:fldChar w:fldCharType="begin"/>
            </w:r>
            <w:r w:rsidRPr="00226BAE">
              <w:rPr>
                <w:rFonts w:ascii="Times New Roman" w:hAnsi="Times New Roman" w:cs="Times New Roman"/>
                <w:sz w:val="20"/>
                <w:szCs w:val="20"/>
              </w:rPr>
              <w:instrText xml:space="preserve"> LINK Excel.Sheet.12 "C:\\Users\\Lenovo\\Documents\\David\\DFJP UPCE\\3. ročník\\Bakalářka\\2. Oběhy souprav Falls -09_2016 a INNO 09_2019.xlsx" "Tabulky!R1C24:R3C29" \a \f 4 \h  \* MERGEFORMAT </w:instrText>
            </w:r>
            <w:r w:rsidRPr="00226BAE">
              <w:rPr>
                <w:sz w:val="20"/>
                <w:szCs w:val="20"/>
              </w:rPr>
              <w:fldChar w:fldCharType="separate"/>
            </w:r>
            <w:r w:rsidRPr="00226BAE">
              <w:rPr>
                <w:rFonts w:ascii="Times New Roman" w:eastAsia="Times New Roman" w:hAnsi="Times New Roman" w:cs="Times New Roman"/>
                <w:color w:val="000000"/>
                <w:sz w:val="20"/>
                <w:szCs w:val="20"/>
              </w:rPr>
              <w:t>Děčín hl.n. nákladové n.</w:t>
            </w:r>
            <w:r w:rsidRPr="00226BAE">
              <w:rPr>
                <w:sz w:val="20"/>
                <w:szCs w:val="20"/>
              </w:rPr>
              <w:fldChar w:fldCharType="end"/>
            </w:r>
          </w:p>
        </w:tc>
        <w:tc>
          <w:tcPr>
            <w:tcW w:w="1489" w:type="dxa"/>
            <w:noWrap/>
            <w:hideMark/>
          </w:tcPr>
          <w:p w:rsidR="00F76FDC" w:rsidRPr="00226BAE" w:rsidRDefault="00F76FDC" w:rsidP="00FF599D">
            <w:pPr>
              <w:jc w:val="center"/>
              <w:rPr>
                <w:rFonts w:ascii="Times New Roman" w:eastAsia="Times New Roman" w:hAnsi="Times New Roman" w:cs="Times New Roman"/>
                <w:color w:val="000000"/>
                <w:sz w:val="20"/>
                <w:szCs w:val="20"/>
              </w:rPr>
            </w:pPr>
            <w:r w:rsidRPr="00226BAE">
              <w:rPr>
                <w:sz w:val="20"/>
                <w:szCs w:val="20"/>
              </w:rPr>
              <w:fldChar w:fldCharType="begin"/>
            </w:r>
            <w:r w:rsidRPr="00226BAE">
              <w:rPr>
                <w:rFonts w:ascii="Times New Roman" w:hAnsi="Times New Roman" w:cs="Times New Roman"/>
                <w:sz w:val="20"/>
                <w:szCs w:val="20"/>
              </w:rPr>
              <w:instrText xml:space="preserve"> LINK Excel.Sheet.12 "C:\\Users\\Lenovo\\Documents\\David\\DFJP UPCE\\3. ročník\\Bakalářka\\2. Oběhy souprav Falls -09_2016 a INNO 09_2019.xlsx" "Tabulky!R1C24:R3C29" \a \f 4 \h  \* MERGEFORMAT </w:instrText>
            </w:r>
            <w:r w:rsidRPr="00226BAE">
              <w:rPr>
                <w:sz w:val="20"/>
                <w:szCs w:val="20"/>
              </w:rPr>
              <w:fldChar w:fldCharType="separate"/>
            </w:r>
            <w:r w:rsidRPr="00226BAE">
              <w:rPr>
                <w:rFonts w:ascii="Times New Roman" w:eastAsia="Times New Roman" w:hAnsi="Times New Roman" w:cs="Times New Roman"/>
                <w:color w:val="000000"/>
                <w:sz w:val="20"/>
                <w:szCs w:val="20"/>
              </w:rPr>
              <w:t>Petrovice u Karviné</w:t>
            </w:r>
            <w:r w:rsidRPr="00226BAE">
              <w:rPr>
                <w:sz w:val="20"/>
                <w:szCs w:val="20"/>
              </w:rPr>
              <w:fldChar w:fldCharType="end"/>
            </w:r>
          </w:p>
        </w:tc>
        <w:tc>
          <w:tcPr>
            <w:tcW w:w="1490" w:type="dxa"/>
            <w:noWrap/>
            <w:hideMark/>
          </w:tcPr>
          <w:p w:rsidR="00F76FDC" w:rsidRPr="00226BAE" w:rsidRDefault="00F76FDC" w:rsidP="00FF599D">
            <w:pPr>
              <w:jc w:val="center"/>
              <w:rPr>
                <w:rFonts w:ascii="Times New Roman" w:eastAsia="Times New Roman" w:hAnsi="Times New Roman" w:cs="Times New Roman"/>
                <w:color w:val="000000"/>
                <w:sz w:val="20"/>
                <w:szCs w:val="20"/>
              </w:rPr>
            </w:pPr>
            <w:r w:rsidRPr="00226BAE">
              <w:rPr>
                <w:sz w:val="20"/>
                <w:szCs w:val="20"/>
              </w:rPr>
              <w:fldChar w:fldCharType="begin"/>
            </w:r>
            <w:r w:rsidRPr="00226BAE">
              <w:rPr>
                <w:rFonts w:ascii="Times New Roman" w:hAnsi="Times New Roman" w:cs="Times New Roman"/>
                <w:sz w:val="20"/>
                <w:szCs w:val="20"/>
              </w:rPr>
              <w:instrText xml:space="preserve"> LINK Excel.Sheet.12 "C:\\Users\\Lenovo\\Documents\\David\\DFJP UPCE\\3. ročník\\Bakalářka\\2. Oběhy souprav Falls -09_2016 a INNO 09_2019.xlsx" "Tabulky!R1C24:R3C29" \a \f 4 \h  \* MERGEFORMAT </w:instrText>
            </w:r>
            <w:r w:rsidRPr="00226BAE">
              <w:rPr>
                <w:sz w:val="20"/>
                <w:szCs w:val="20"/>
              </w:rPr>
              <w:fldChar w:fldCharType="separate"/>
            </w:r>
            <w:r w:rsidRPr="00226BAE">
              <w:rPr>
                <w:rFonts w:ascii="Times New Roman" w:eastAsia="Times New Roman" w:hAnsi="Times New Roman" w:cs="Times New Roman"/>
                <w:color w:val="000000"/>
                <w:sz w:val="20"/>
                <w:szCs w:val="20"/>
              </w:rPr>
              <w:t>Březno u Chomutova</w:t>
            </w:r>
            <w:r w:rsidRPr="00226BAE">
              <w:rPr>
                <w:sz w:val="20"/>
                <w:szCs w:val="20"/>
              </w:rPr>
              <w:fldChar w:fldCharType="end"/>
            </w:r>
          </w:p>
        </w:tc>
        <w:tc>
          <w:tcPr>
            <w:tcW w:w="1489" w:type="dxa"/>
            <w:noWrap/>
            <w:hideMark/>
          </w:tcPr>
          <w:p w:rsidR="00F76FDC" w:rsidRPr="00226BAE" w:rsidRDefault="00F76FDC" w:rsidP="00FF599D">
            <w:pPr>
              <w:jc w:val="center"/>
              <w:rPr>
                <w:rFonts w:ascii="Times New Roman" w:eastAsia="Times New Roman" w:hAnsi="Times New Roman" w:cs="Times New Roman"/>
                <w:color w:val="000000"/>
                <w:sz w:val="20"/>
                <w:szCs w:val="20"/>
              </w:rPr>
            </w:pPr>
            <w:r w:rsidRPr="00226BAE">
              <w:rPr>
                <w:sz w:val="20"/>
                <w:szCs w:val="20"/>
              </w:rPr>
              <w:fldChar w:fldCharType="begin"/>
            </w:r>
            <w:r w:rsidRPr="00226BAE">
              <w:rPr>
                <w:rFonts w:ascii="Times New Roman" w:hAnsi="Times New Roman" w:cs="Times New Roman"/>
                <w:sz w:val="20"/>
                <w:szCs w:val="20"/>
              </w:rPr>
              <w:instrText xml:space="preserve"> LINK Excel.Sheet.12 "C:\\Users\\Lenovo\\Documents\\David\\DFJP UPCE\\3. ročník\\Bakalářka\\2. Oběhy souprav Falls -09_2016 a INNO 09_2019.xlsx" "Tabulky!R1C24:R3C29" \a \f 4 \h  \* MERGEFORMAT </w:instrText>
            </w:r>
            <w:r w:rsidRPr="00226BAE">
              <w:rPr>
                <w:sz w:val="20"/>
                <w:szCs w:val="20"/>
              </w:rPr>
              <w:fldChar w:fldCharType="separate"/>
            </w:r>
            <w:r w:rsidRPr="00226BAE">
              <w:rPr>
                <w:rFonts w:ascii="Times New Roman" w:eastAsia="Times New Roman" w:hAnsi="Times New Roman" w:cs="Times New Roman"/>
                <w:color w:val="000000"/>
                <w:sz w:val="20"/>
                <w:szCs w:val="20"/>
              </w:rPr>
              <w:t>Počerady</w:t>
            </w:r>
            <w:r w:rsidRPr="00226BAE">
              <w:rPr>
                <w:sz w:val="20"/>
                <w:szCs w:val="20"/>
              </w:rPr>
              <w:fldChar w:fldCharType="end"/>
            </w:r>
          </w:p>
        </w:tc>
        <w:tc>
          <w:tcPr>
            <w:tcW w:w="1490" w:type="dxa"/>
            <w:noWrap/>
            <w:hideMark/>
          </w:tcPr>
          <w:p w:rsidR="00F76FDC" w:rsidRPr="00226BAE" w:rsidRDefault="00F76FDC" w:rsidP="00FF599D">
            <w:pPr>
              <w:jc w:val="center"/>
              <w:rPr>
                <w:rFonts w:ascii="Times New Roman" w:eastAsia="Times New Roman" w:hAnsi="Times New Roman" w:cs="Times New Roman"/>
                <w:color w:val="000000"/>
                <w:sz w:val="20"/>
                <w:szCs w:val="20"/>
              </w:rPr>
            </w:pPr>
            <w:r w:rsidRPr="00226BAE">
              <w:rPr>
                <w:sz w:val="20"/>
                <w:szCs w:val="20"/>
              </w:rPr>
              <w:fldChar w:fldCharType="begin"/>
            </w:r>
            <w:r w:rsidRPr="00226BAE">
              <w:rPr>
                <w:rFonts w:ascii="Times New Roman" w:hAnsi="Times New Roman" w:cs="Times New Roman"/>
                <w:sz w:val="20"/>
                <w:szCs w:val="20"/>
              </w:rPr>
              <w:instrText xml:space="preserve"> LINK Excel.Sheet.12 "C:\\Users\\Lenovo\\Documents\\David\\DFJP UPCE\\3. ročník\\Bakalářka\\2. Oběhy souprav Falls -09_2016 a INNO 09_2019.xlsx" "Tabulky!R1C24:R3C29" \a \f 4 \h  \* MERGEFORMAT </w:instrText>
            </w:r>
            <w:r w:rsidRPr="00226BAE">
              <w:rPr>
                <w:sz w:val="20"/>
                <w:szCs w:val="20"/>
              </w:rPr>
              <w:fldChar w:fldCharType="separate"/>
            </w:r>
            <w:r w:rsidRPr="00226BAE">
              <w:rPr>
                <w:rFonts w:ascii="Times New Roman" w:eastAsia="Times New Roman" w:hAnsi="Times New Roman" w:cs="Times New Roman"/>
                <w:color w:val="000000"/>
                <w:sz w:val="20"/>
                <w:szCs w:val="20"/>
              </w:rPr>
              <w:t>Světec</w:t>
            </w:r>
            <w:r w:rsidRPr="00226BAE">
              <w:rPr>
                <w:sz w:val="20"/>
                <w:szCs w:val="20"/>
              </w:rPr>
              <w:fldChar w:fldCharType="end"/>
            </w:r>
          </w:p>
        </w:tc>
      </w:tr>
      <w:tr w:rsidR="00F76FDC" w:rsidRPr="00226BAE" w:rsidTr="00D22DE3">
        <w:trPr>
          <w:jc w:val="center"/>
        </w:trPr>
        <w:tc>
          <w:tcPr>
            <w:tcW w:w="1489" w:type="dxa"/>
            <w:noWrap/>
            <w:hideMark/>
          </w:tcPr>
          <w:p w:rsidR="00F76FDC" w:rsidRPr="00226BAE" w:rsidRDefault="00F76FDC" w:rsidP="00FF599D">
            <w:pPr>
              <w:jc w:val="center"/>
              <w:rPr>
                <w:rFonts w:ascii="Times New Roman" w:eastAsia="Times New Roman" w:hAnsi="Times New Roman" w:cs="Times New Roman"/>
                <w:color w:val="000000"/>
                <w:sz w:val="20"/>
                <w:szCs w:val="20"/>
              </w:rPr>
            </w:pPr>
            <w:r w:rsidRPr="00226BAE">
              <w:rPr>
                <w:sz w:val="20"/>
                <w:szCs w:val="20"/>
              </w:rPr>
              <w:fldChar w:fldCharType="begin"/>
            </w:r>
            <w:r w:rsidRPr="00226BAE">
              <w:rPr>
                <w:rFonts w:ascii="Times New Roman" w:hAnsi="Times New Roman" w:cs="Times New Roman"/>
                <w:sz w:val="20"/>
                <w:szCs w:val="20"/>
              </w:rPr>
              <w:instrText xml:space="preserve"> LINK Excel.Sheet.12 "C:\\Users\\Lenovo\\Documents\\David\\DFJP UPCE\\3. ročník\\Bakalářka\\2. Oběhy souprav Falls -09_2016 a INNO 09_2019.xlsx" "Tabulky!R1C24:R3C29" \a \f 4 \h  \* MERGEFORMAT </w:instrText>
            </w:r>
            <w:r w:rsidRPr="00226BAE">
              <w:rPr>
                <w:sz w:val="20"/>
                <w:szCs w:val="20"/>
              </w:rPr>
              <w:fldChar w:fldCharType="separate"/>
            </w:r>
            <w:r w:rsidRPr="00226BAE">
              <w:rPr>
                <w:rFonts w:ascii="Times New Roman" w:eastAsia="Times New Roman" w:hAnsi="Times New Roman" w:cs="Times New Roman"/>
                <w:color w:val="000000"/>
                <w:sz w:val="20"/>
                <w:szCs w:val="20"/>
              </w:rPr>
              <w:t>54</w:t>
            </w:r>
            <w:r w:rsidRPr="00226BAE">
              <w:rPr>
                <w:sz w:val="20"/>
                <w:szCs w:val="20"/>
              </w:rPr>
              <w:fldChar w:fldCharType="end"/>
            </w:r>
          </w:p>
        </w:tc>
        <w:tc>
          <w:tcPr>
            <w:tcW w:w="1490" w:type="dxa"/>
            <w:noWrap/>
            <w:hideMark/>
          </w:tcPr>
          <w:p w:rsidR="00F76FDC" w:rsidRPr="00226BAE" w:rsidRDefault="00F76FDC" w:rsidP="00FF599D">
            <w:pPr>
              <w:jc w:val="center"/>
              <w:rPr>
                <w:rFonts w:ascii="Times New Roman" w:eastAsia="Times New Roman" w:hAnsi="Times New Roman" w:cs="Times New Roman"/>
                <w:color w:val="000000"/>
                <w:sz w:val="20"/>
                <w:szCs w:val="20"/>
              </w:rPr>
            </w:pPr>
            <w:r w:rsidRPr="00226BAE">
              <w:rPr>
                <w:sz w:val="20"/>
                <w:szCs w:val="20"/>
              </w:rPr>
              <w:fldChar w:fldCharType="begin"/>
            </w:r>
            <w:r w:rsidRPr="00226BAE">
              <w:rPr>
                <w:rFonts w:ascii="Times New Roman" w:hAnsi="Times New Roman" w:cs="Times New Roman"/>
                <w:sz w:val="20"/>
                <w:szCs w:val="20"/>
              </w:rPr>
              <w:instrText xml:space="preserve"> LINK Excel.Sheet.12 "C:\\Users\\Lenovo\\Documents\\David\\DFJP UPCE\\3. ročník\\Bakalářka\\2. Oběhy souprav Falls -09_2016 a INNO 09_2019.xlsx" "Tabulky!R1C24:R3C29" \a \f 4 \h  \* MERGEFORMAT </w:instrText>
            </w:r>
            <w:r w:rsidRPr="00226BAE">
              <w:rPr>
                <w:sz w:val="20"/>
                <w:szCs w:val="20"/>
              </w:rPr>
              <w:fldChar w:fldCharType="separate"/>
            </w:r>
            <w:r w:rsidRPr="00226BAE">
              <w:rPr>
                <w:rFonts w:ascii="Times New Roman" w:eastAsia="Times New Roman" w:hAnsi="Times New Roman" w:cs="Times New Roman"/>
                <w:color w:val="000000"/>
                <w:sz w:val="20"/>
                <w:szCs w:val="20"/>
              </w:rPr>
              <w:t>15</w:t>
            </w:r>
            <w:r w:rsidRPr="00226BAE">
              <w:rPr>
                <w:sz w:val="20"/>
                <w:szCs w:val="20"/>
              </w:rPr>
              <w:fldChar w:fldCharType="end"/>
            </w:r>
          </w:p>
        </w:tc>
        <w:tc>
          <w:tcPr>
            <w:tcW w:w="1489" w:type="dxa"/>
            <w:noWrap/>
            <w:hideMark/>
          </w:tcPr>
          <w:p w:rsidR="00F76FDC" w:rsidRPr="00226BAE" w:rsidRDefault="00F76FDC" w:rsidP="00FF599D">
            <w:pPr>
              <w:jc w:val="center"/>
              <w:rPr>
                <w:rFonts w:ascii="Times New Roman" w:eastAsia="Times New Roman" w:hAnsi="Times New Roman" w:cs="Times New Roman"/>
                <w:color w:val="000000"/>
                <w:sz w:val="20"/>
                <w:szCs w:val="20"/>
              </w:rPr>
            </w:pPr>
            <w:r w:rsidRPr="00226BAE">
              <w:rPr>
                <w:sz w:val="20"/>
                <w:szCs w:val="20"/>
              </w:rPr>
              <w:fldChar w:fldCharType="begin"/>
            </w:r>
            <w:r w:rsidRPr="00226BAE">
              <w:rPr>
                <w:rFonts w:ascii="Times New Roman" w:hAnsi="Times New Roman" w:cs="Times New Roman"/>
                <w:sz w:val="20"/>
                <w:szCs w:val="20"/>
              </w:rPr>
              <w:instrText xml:space="preserve"> LINK Excel.Sheet.12 "C:\\Users\\Lenovo\\Documents\\David\\DFJP UPCE\\3. ročník\\Bakalářka\\2. Oběhy souprav Falls -09_2016 a INNO 09_2019.xlsx" "Tabulky!R1C24:R3C29" \a \f 4 \h  \* MERGEFORMAT </w:instrText>
            </w:r>
            <w:r w:rsidRPr="00226BAE">
              <w:rPr>
                <w:sz w:val="20"/>
                <w:szCs w:val="20"/>
              </w:rPr>
              <w:fldChar w:fldCharType="separate"/>
            </w:r>
            <w:r w:rsidRPr="00226BAE">
              <w:rPr>
                <w:rFonts w:ascii="Times New Roman" w:eastAsia="Times New Roman" w:hAnsi="Times New Roman" w:cs="Times New Roman"/>
                <w:color w:val="000000"/>
                <w:sz w:val="20"/>
                <w:szCs w:val="20"/>
              </w:rPr>
              <w:t>13</w:t>
            </w:r>
            <w:r w:rsidRPr="00226BAE">
              <w:rPr>
                <w:sz w:val="20"/>
                <w:szCs w:val="20"/>
              </w:rPr>
              <w:fldChar w:fldCharType="end"/>
            </w:r>
          </w:p>
        </w:tc>
        <w:tc>
          <w:tcPr>
            <w:tcW w:w="1490" w:type="dxa"/>
            <w:noWrap/>
            <w:hideMark/>
          </w:tcPr>
          <w:p w:rsidR="00F76FDC" w:rsidRPr="00226BAE" w:rsidRDefault="00F76FDC" w:rsidP="00FF599D">
            <w:pPr>
              <w:jc w:val="center"/>
              <w:rPr>
                <w:rFonts w:ascii="Times New Roman" w:eastAsia="Times New Roman" w:hAnsi="Times New Roman" w:cs="Times New Roman"/>
                <w:color w:val="000000"/>
                <w:sz w:val="20"/>
                <w:szCs w:val="20"/>
              </w:rPr>
            </w:pPr>
            <w:r w:rsidRPr="00226BAE">
              <w:rPr>
                <w:sz w:val="20"/>
                <w:szCs w:val="20"/>
              </w:rPr>
              <w:fldChar w:fldCharType="begin"/>
            </w:r>
            <w:r w:rsidRPr="00226BAE">
              <w:rPr>
                <w:rFonts w:ascii="Times New Roman" w:hAnsi="Times New Roman" w:cs="Times New Roman"/>
                <w:sz w:val="20"/>
                <w:szCs w:val="20"/>
              </w:rPr>
              <w:instrText xml:space="preserve"> LINK Excel.Sheet.12 "C:\\Users\\Lenovo\\Documents\\David\\DFJP UPCE\\3. ročník\\Bakalářka\\2. Oběhy souprav Falls -09_2016 a INNO 09_2019.xlsx" "Tabulky!R1C24:R3C29" \a \f 4 \h  \* MERGEFORMAT </w:instrText>
            </w:r>
            <w:r w:rsidRPr="00226BAE">
              <w:rPr>
                <w:sz w:val="20"/>
                <w:szCs w:val="20"/>
              </w:rPr>
              <w:fldChar w:fldCharType="separate"/>
            </w:r>
            <w:r w:rsidRPr="00226BAE">
              <w:rPr>
                <w:rFonts w:ascii="Times New Roman" w:eastAsia="Times New Roman" w:hAnsi="Times New Roman" w:cs="Times New Roman"/>
                <w:color w:val="000000"/>
                <w:sz w:val="20"/>
                <w:szCs w:val="20"/>
              </w:rPr>
              <w:t>44</w:t>
            </w:r>
            <w:r w:rsidRPr="00226BAE">
              <w:rPr>
                <w:sz w:val="20"/>
                <w:szCs w:val="20"/>
              </w:rPr>
              <w:fldChar w:fldCharType="end"/>
            </w:r>
          </w:p>
        </w:tc>
        <w:tc>
          <w:tcPr>
            <w:tcW w:w="1489" w:type="dxa"/>
            <w:noWrap/>
            <w:hideMark/>
          </w:tcPr>
          <w:p w:rsidR="00F76FDC" w:rsidRPr="00226BAE" w:rsidRDefault="00F76FDC" w:rsidP="00FF599D">
            <w:pPr>
              <w:jc w:val="center"/>
              <w:rPr>
                <w:rFonts w:ascii="Times New Roman" w:eastAsia="Times New Roman" w:hAnsi="Times New Roman" w:cs="Times New Roman"/>
                <w:color w:val="000000"/>
                <w:sz w:val="20"/>
                <w:szCs w:val="20"/>
              </w:rPr>
            </w:pPr>
            <w:r w:rsidRPr="00226BAE">
              <w:rPr>
                <w:sz w:val="20"/>
                <w:szCs w:val="20"/>
              </w:rPr>
              <w:fldChar w:fldCharType="begin"/>
            </w:r>
            <w:r w:rsidRPr="00226BAE">
              <w:rPr>
                <w:rFonts w:ascii="Times New Roman" w:hAnsi="Times New Roman" w:cs="Times New Roman"/>
                <w:sz w:val="20"/>
                <w:szCs w:val="20"/>
              </w:rPr>
              <w:instrText xml:space="preserve"> LINK Excel.Sheet.12 "C:\\Users\\Lenovo\\Documents\\David\\DFJP UPCE\\3. ročník\\Bakalářka\\2. Oběhy souprav Falls -09_2016 a INNO 09_2019.xlsx" "Tabulky!R1C24:R3C29" \a \f 4 \h  \* MERGEFORMAT </w:instrText>
            </w:r>
            <w:r w:rsidRPr="00226BAE">
              <w:rPr>
                <w:sz w:val="20"/>
                <w:szCs w:val="20"/>
              </w:rPr>
              <w:fldChar w:fldCharType="separate"/>
            </w:r>
            <w:r w:rsidRPr="00226BAE">
              <w:rPr>
                <w:rFonts w:ascii="Times New Roman" w:eastAsia="Times New Roman" w:hAnsi="Times New Roman" w:cs="Times New Roman"/>
                <w:color w:val="000000"/>
                <w:sz w:val="20"/>
                <w:szCs w:val="20"/>
              </w:rPr>
              <w:t>28</w:t>
            </w:r>
            <w:r w:rsidRPr="00226BAE">
              <w:rPr>
                <w:sz w:val="20"/>
                <w:szCs w:val="20"/>
              </w:rPr>
              <w:fldChar w:fldCharType="end"/>
            </w:r>
          </w:p>
        </w:tc>
        <w:tc>
          <w:tcPr>
            <w:tcW w:w="1490" w:type="dxa"/>
            <w:noWrap/>
            <w:hideMark/>
          </w:tcPr>
          <w:p w:rsidR="00F76FDC" w:rsidRPr="00226BAE" w:rsidRDefault="00F76FDC" w:rsidP="00FF599D">
            <w:pPr>
              <w:jc w:val="center"/>
              <w:rPr>
                <w:rFonts w:ascii="Times New Roman" w:eastAsia="Times New Roman" w:hAnsi="Times New Roman" w:cs="Times New Roman"/>
                <w:color w:val="000000"/>
                <w:sz w:val="20"/>
                <w:szCs w:val="20"/>
              </w:rPr>
            </w:pPr>
            <w:r w:rsidRPr="00226BAE">
              <w:rPr>
                <w:sz w:val="20"/>
                <w:szCs w:val="20"/>
              </w:rPr>
              <w:fldChar w:fldCharType="begin"/>
            </w:r>
            <w:r w:rsidRPr="00226BAE">
              <w:rPr>
                <w:rFonts w:ascii="Times New Roman" w:hAnsi="Times New Roman" w:cs="Times New Roman"/>
                <w:sz w:val="20"/>
                <w:szCs w:val="20"/>
              </w:rPr>
              <w:instrText xml:space="preserve"> LINK Excel.Sheet.12 "C:\\Users\\Lenovo\\Documents\\David\\DFJP UPCE\\3. ročník\\Bakalářka\\2. Oběhy souprav Falls -09_2016 a INNO 09_2019.xlsx" "Tabulky!R1C24:R3C29" \a \f 4 \h  \* MERGEFORMAT </w:instrText>
            </w:r>
            <w:r w:rsidRPr="00226BAE">
              <w:rPr>
                <w:sz w:val="20"/>
                <w:szCs w:val="20"/>
              </w:rPr>
              <w:fldChar w:fldCharType="separate"/>
            </w:r>
            <w:r w:rsidRPr="00226BAE">
              <w:rPr>
                <w:rFonts w:ascii="Times New Roman" w:eastAsia="Times New Roman" w:hAnsi="Times New Roman" w:cs="Times New Roman"/>
                <w:color w:val="000000"/>
                <w:sz w:val="20"/>
                <w:szCs w:val="20"/>
              </w:rPr>
              <w:t>11</w:t>
            </w:r>
            <w:r w:rsidRPr="00226BAE">
              <w:rPr>
                <w:sz w:val="20"/>
                <w:szCs w:val="20"/>
              </w:rPr>
              <w:fldChar w:fldCharType="end"/>
            </w:r>
          </w:p>
        </w:tc>
      </w:tr>
      <w:tr w:rsidR="00F76FDC" w:rsidRPr="00226BAE" w:rsidTr="00D22DE3">
        <w:trPr>
          <w:jc w:val="center"/>
        </w:trPr>
        <w:tc>
          <w:tcPr>
            <w:tcW w:w="4468" w:type="dxa"/>
            <w:gridSpan w:val="3"/>
            <w:noWrap/>
          </w:tcPr>
          <w:p w:rsidR="00F76FDC" w:rsidRPr="00226BAE" w:rsidRDefault="00F76FDC" w:rsidP="00FF599D">
            <w:pPr>
              <w:jc w:val="center"/>
              <w:rPr>
                <w:rFonts w:ascii="Times New Roman" w:eastAsia="Times New Roman" w:hAnsi="Times New Roman" w:cs="Times New Roman"/>
                <w:color w:val="000000"/>
                <w:sz w:val="20"/>
                <w:szCs w:val="20"/>
              </w:rPr>
            </w:pPr>
            <w:r w:rsidRPr="00226BAE">
              <w:rPr>
                <w:sz w:val="20"/>
                <w:szCs w:val="20"/>
              </w:rPr>
              <w:fldChar w:fldCharType="begin"/>
            </w:r>
            <w:r w:rsidRPr="00226BAE">
              <w:rPr>
                <w:rFonts w:ascii="Times New Roman" w:hAnsi="Times New Roman" w:cs="Times New Roman"/>
                <w:sz w:val="20"/>
                <w:szCs w:val="20"/>
              </w:rPr>
              <w:instrText xml:space="preserve"> LINK Excel.Sheet.12 "C:\\Users\\Lenovo\\Documents\\David\\DFJP UPCE\\3. ročník\\Bakalářka\\2. Oběhy souprav Falls -09_2016 a INNO 09_2019.xlsx" "Tabulky!R1C24:R3C29" \a \f 4 \h  \* MERGEFORMAT </w:instrText>
            </w:r>
            <w:r w:rsidRPr="00226BAE">
              <w:rPr>
                <w:sz w:val="20"/>
                <w:szCs w:val="20"/>
              </w:rPr>
              <w:fldChar w:fldCharType="separate"/>
            </w:r>
            <w:r w:rsidRPr="00226BAE">
              <w:rPr>
                <w:rFonts w:ascii="Times New Roman" w:eastAsia="Times New Roman" w:hAnsi="Times New Roman" w:cs="Times New Roman"/>
                <w:color w:val="000000"/>
                <w:sz w:val="20"/>
                <w:szCs w:val="20"/>
              </w:rPr>
              <w:t>Total: 82 trains</w:t>
            </w:r>
            <w:r w:rsidRPr="00226BAE">
              <w:rPr>
                <w:sz w:val="20"/>
                <w:szCs w:val="20"/>
              </w:rPr>
              <w:fldChar w:fldCharType="end"/>
            </w:r>
          </w:p>
        </w:tc>
        <w:tc>
          <w:tcPr>
            <w:tcW w:w="4469" w:type="dxa"/>
            <w:gridSpan w:val="3"/>
            <w:noWrap/>
          </w:tcPr>
          <w:p w:rsidR="00F76FDC" w:rsidRPr="00226BAE" w:rsidRDefault="00F76FDC" w:rsidP="00FF599D">
            <w:pPr>
              <w:jc w:val="center"/>
              <w:rPr>
                <w:rFonts w:ascii="Times New Roman" w:eastAsia="Times New Roman" w:hAnsi="Times New Roman" w:cs="Times New Roman"/>
                <w:color w:val="000000"/>
                <w:sz w:val="20"/>
                <w:szCs w:val="20"/>
              </w:rPr>
            </w:pPr>
            <w:r w:rsidRPr="00226BAE">
              <w:rPr>
                <w:sz w:val="20"/>
                <w:szCs w:val="20"/>
              </w:rPr>
              <w:fldChar w:fldCharType="begin"/>
            </w:r>
            <w:r w:rsidRPr="00226BAE">
              <w:rPr>
                <w:rFonts w:ascii="Times New Roman" w:hAnsi="Times New Roman" w:cs="Times New Roman"/>
                <w:sz w:val="20"/>
                <w:szCs w:val="20"/>
              </w:rPr>
              <w:instrText xml:space="preserve"> LINK Excel.Sheet.12 "C:\\Users\\Lenovo\\Documents\\David\\DFJP UPCE\\3. ročník\\Bakalářka\\2. Oběhy souprav Falls -09_2016 a INNO 09_2019.xlsx" "Tabulky!R1C24:R3C29" \a \f 4 \h  \* MERGEFORMAT </w:instrText>
            </w:r>
            <w:r w:rsidRPr="00226BAE">
              <w:rPr>
                <w:sz w:val="20"/>
                <w:szCs w:val="20"/>
              </w:rPr>
              <w:fldChar w:fldCharType="separate"/>
            </w:r>
            <w:r w:rsidRPr="00226BAE">
              <w:rPr>
                <w:rFonts w:ascii="Times New Roman" w:eastAsia="Times New Roman" w:hAnsi="Times New Roman" w:cs="Times New Roman"/>
                <w:color w:val="000000"/>
                <w:sz w:val="20"/>
                <w:szCs w:val="20"/>
              </w:rPr>
              <w:t>Total: 83 trains</w:t>
            </w:r>
            <w:r w:rsidRPr="00226BAE">
              <w:rPr>
                <w:sz w:val="20"/>
                <w:szCs w:val="20"/>
              </w:rPr>
              <w:fldChar w:fldCharType="end"/>
            </w:r>
          </w:p>
        </w:tc>
      </w:tr>
    </w:tbl>
    <w:p w:rsidR="0095718D" w:rsidRPr="00FF599D" w:rsidRDefault="0095718D" w:rsidP="0095718D">
      <w:pPr>
        <w:jc w:val="right"/>
        <w:rPr>
          <w:sz w:val="20"/>
          <w:szCs w:val="20"/>
        </w:rPr>
      </w:pPr>
      <w:r w:rsidRPr="00FF599D">
        <w:rPr>
          <w:sz w:val="20"/>
          <w:szCs w:val="20"/>
        </w:rPr>
        <w:t>Source: author</w:t>
      </w:r>
      <w:r>
        <w:rPr>
          <w:sz w:val="20"/>
          <w:szCs w:val="20"/>
        </w:rPr>
        <w:t>s</w:t>
      </w:r>
      <w:r w:rsidRPr="00FF599D">
        <w:rPr>
          <w:sz w:val="20"/>
          <w:szCs w:val="20"/>
        </w:rPr>
        <w:t xml:space="preserve"> based on </w:t>
      </w:r>
      <w:r>
        <w:rPr>
          <w:sz w:val="20"/>
          <w:szCs w:val="20"/>
        </w:rPr>
        <w:t>[7, 12]</w:t>
      </w:r>
    </w:p>
    <w:p w:rsidR="00226BAE" w:rsidRDefault="00226BAE" w:rsidP="00F76FDC">
      <w:pPr>
        <w:jc w:val="both"/>
      </w:pPr>
    </w:p>
    <w:p w:rsidR="00F76FDC" w:rsidRPr="00226BAE" w:rsidRDefault="00F76FDC" w:rsidP="00226BAE">
      <w:pPr>
        <w:widowControl w:val="0"/>
        <w:ind w:firstLine="567"/>
        <w:jc w:val="both"/>
        <w:rPr>
          <w:sz w:val="20"/>
          <w:szCs w:val="20"/>
        </w:rPr>
      </w:pPr>
      <w:r w:rsidRPr="00226BAE">
        <w:rPr>
          <w:sz w:val="20"/>
          <w:szCs w:val="20"/>
        </w:rPr>
        <w:t>The comparison of economic indicators is somewhat clearer. The total costs of one pair of trains were compared based on the calculations of Czech Railways Cargo.  Using train units with Innofreight containers, these costs are by approximately 13% lower compared to trains with standard wagons; and the new train units are capable of transporting by 200 tonnes of goods more</w:t>
      </w:r>
      <w:r w:rsidR="0095718D">
        <w:rPr>
          <w:sz w:val="20"/>
          <w:szCs w:val="20"/>
        </w:rPr>
        <w:t xml:space="preserve"> [7, 13]</w:t>
      </w:r>
      <w:r w:rsidRPr="00226BAE">
        <w:rPr>
          <w:sz w:val="20"/>
          <w:szCs w:val="20"/>
        </w:rPr>
        <w:t>.</w:t>
      </w:r>
    </w:p>
    <w:p w:rsidR="00F76FDC" w:rsidRDefault="00F76FDC" w:rsidP="00226BAE">
      <w:pPr>
        <w:widowControl w:val="0"/>
        <w:ind w:firstLine="567"/>
        <w:jc w:val="both"/>
        <w:rPr>
          <w:sz w:val="20"/>
          <w:szCs w:val="20"/>
        </w:rPr>
      </w:pPr>
      <w:r w:rsidRPr="00226BAE">
        <w:rPr>
          <w:sz w:val="20"/>
          <w:szCs w:val="20"/>
        </w:rPr>
        <w:t xml:space="preserve">Furthermore, the price for the use of railway infrastructure through train rides was calculated. For both methods of transport, the national and regional rail network statement 2019 was considered. Considered was the distance travelled on the Railway Administration infrastructure in the section: Březno u Chomutova – borders of infrastructure in Opatovice nad Labem. The total price is the sum of the prices of travel time of loaded trains and empty trains. The total price per month was calculated based on 82 trains arriving from Březno u Chomutova in EOP (see Table </w:t>
      </w:r>
      <w:r w:rsidR="00226BAE">
        <w:rPr>
          <w:sz w:val="20"/>
          <w:szCs w:val="20"/>
        </w:rPr>
        <w:t>8</w:t>
      </w:r>
      <w:r w:rsidRPr="00226BAE">
        <w:rPr>
          <w:sz w:val="20"/>
          <w:szCs w:val="20"/>
        </w:rPr>
        <w:t>). Using the new train units, the monthly price for the use of railway infrastructure through train rides was by CZK 1,554,596.70 lower. This is mainly due to the lower mass of the wagons. The total mass of new train units including the load is lower than the BRUTTO mass of standard train units and furthermore, the new train units are capable of transporting greater loads. What is also relevant is the discount for the use of combined transport. Without regard to the rental of train units, the new method of transport is clearly more economically advantageous</w:t>
      </w:r>
      <w:r w:rsidR="003C3294">
        <w:rPr>
          <w:sz w:val="20"/>
          <w:szCs w:val="20"/>
        </w:rPr>
        <w:t xml:space="preserve"> [14, 15]</w:t>
      </w:r>
      <w:r w:rsidRPr="00226BAE">
        <w:rPr>
          <w:sz w:val="20"/>
          <w:szCs w:val="20"/>
        </w:rPr>
        <w:t xml:space="preserve">. </w:t>
      </w:r>
    </w:p>
    <w:p w:rsidR="00226BAE" w:rsidRPr="00226BAE" w:rsidRDefault="00226BAE" w:rsidP="00226BAE">
      <w:pPr>
        <w:widowControl w:val="0"/>
        <w:ind w:firstLine="567"/>
        <w:jc w:val="both"/>
        <w:rPr>
          <w:sz w:val="20"/>
          <w:szCs w:val="20"/>
        </w:rPr>
      </w:pPr>
    </w:p>
    <w:p w:rsidR="00226BAE" w:rsidRDefault="00226BAE" w:rsidP="00226BAE">
      <w:pPr>
        <w:widowControl w:val="0"/>
        <w:ind w:right="1984" w:firstLine="720"/>
        <w:jc w:val="right"/>
        <w:rPr>
          <w:sz w:val="20"/>
        </w:rPr>
      </w:pPr>
      <w:bookmarkStart w:id="4" w:name="_Toc33165845"/>
      <w:r>
        <w:rPr>
          <w:sz w:val="20"/>
        </w:rPr>
        <w:t>Table 8</w:t>
      </w:r>
    </w:p>
    <w:p w:rsidR="00F76FDC" w:rsidRPr="00226BAE" w:rsidRDefault="00F76FDC" w:rsidP="00F76FDC">
      <w:pPr>
        <w:jc w:val="center"/>
        <w:rPr>
          <w:sz w:val="20"/>
          <w:szCs w:val="20"/>
        </w:rPr>
      </w:pPr>
      <w:r w:rsidRPr="00226BAE">
        <w:rPr>
          <w:sz w:val="20"/>
          <w:szCs w:val="20"/>
        </w:rPr>
        <w:t>Total price for the use of railway infrastructure through train rides</w:t>
      </w:r>
      <w:bookmarkEnd w:id="4"/>
    </w:p>
    <w:tbl>
      <w:tblPr>
        <w:tblStyle w:val="Mkatabulky"/>
        <w:tblW w:w="6658" w:type="dxa"/>
        <w:jc w:val="center"/>
        <w:tblLayout w:type="fixed"/>
        <w:tblLook w:val="04A0" w:firstRow="1" w:lastRow="0" w:firstColumn="1" w:lastColumn="0" w:noHBand="0" w:noVBand="1"/>
      </w:tblPr>
      <w:tblGrid>
        <w:gridCol w:w="1938"/>
        <w:gridCol w:w="2310"/>
        <w:gridCol w:w="2410"/>
      </w:tblGrid>
      <w:tr w:rsidR="00F76FDC" w:rsidRPr="00226BAE" w:rsidTr="00DF2B6E">
        <w:trPr>
          <w:jc w:val="center"/>
        </w:trPr>
        <w:tc>
          <w:tcPr>
            <w:tcW w:w="1938" w:type="dxa"/>
            <w:noWrap/>
            <w:hideMark/>
          </w:tcPr>
          <w:p w:rsidR="00F76FDC" w:rsidRPr="00226BAE" w:rsidRDefault="00F76FDC" w:rsidP="00FF599D">
            <w:pPr>
              <w:rPr>
                <w:rFonts w:ascii="Times New Roman" w:eastAsia="Times New Roman" w:hAnsi="Times New Roman" w:cs="Times New Roman"/>
                <w:color w:val="000000"/>
                <w:sz w:val="20"/>
                <w:szCs w:val="20"/>
              </w:rPr>
            </w:pPr>
            <w:r w:rsidRPr="00226BAE">
              <w:rPr>
                <w:rFonts w:ascii="Times New Roman" w:hAnsi="Times New Roman" w:cs="Times New Roman"/>
                <w:color w:val="000000"/>
                <w:sz w:val="20"/>
                <w:szCs w:val="20"/>
              </w:rPr>
              <w:t> </w:t>
            </w:r>
            <w:r w:rsidR="00226BAE">
              <w:rPr>
                <w:rFonts w:ascii="Times New Roman" w:hAnsi="Times New Roman" w:cs="Times New Roman"/>
                <w:color w:val="000000"/>
                <w:sz w:val="20"/>
                <w:szCs w:val="20"/>
              </w:rPr>
              <w:t>Trains</w:t>
            </w:r>
          </w:p>
        </w:tc>
        <w:tc>
          <w:tcPr>
            <w:tcW w:w="2310" w:type="dxa"/>
            <w:noWrap/>
            <w:hideMark/>
          </w:tcPr>
          <w:p w:rsidR="00F76FDC" w:rsidRPr="00DF2B6E" w:rsidRDefault="00F76FDC" w:rsidP="00FF599D">
            <w:pPr>
              <w:jc w:val="center"/>
              <w:rPr>
                <w:rFonts w:ascii="Times New Roman" w:eastAsia="Times New Roman" w:hAnsi="Times New Roman" w:cs="Times New Roman"/>
                <w:color w:val="000000"/>
                <w:sz w:val="20"/>
                <w:szCs w:val="20"/>
                <w:lang w:val="cs-CZ"/>
              </w:rPr>
            </w:pPr>
            <w:r w:rsidRPr="00226BAE">
              <w:rPr>
                <w:rFonts w:ascii="Times New Roman" w:hAnsi="Times New Roman" w:cs="Times New Roman"/>
                <w:color w:val="000000"/>
                <w:sz w:val="20"/>
                <w:szCs w:val="20"/>
              </w:rPr>
              <w:t>Falls wagons</w:t>
            </w:r>
            <w:r w:rsidR="00DF2B6E">
              <w:rPr>
                <w:rFonts w:ascii="Times New Roman" w:hAnsi="Times New Roman" w:cs="Times New Roman"/>
                <w:color w:val="000000"/>
                <w:sz w:val="20"/>
                <w:szCs w:val="20"/>
              </w:rPr>
              <w:t xml:space="preserve"> [CZK]</w:t>
            </w:r>
          </w:p>
        </w:tc>
        <w:tc>
          <w:tcPr>
            <w:tcW w:w="2410" w:type="dxa"/>
            <w:noWrap/>
            <w:hideMark/>
          </w:tcPr>
          <w:p w:rsidR="00F76FDC" w:rsidRPr="00DF2B6E" w:rsidRDefault="00F76FDC" w:rsidP="00FF599D">
            <w:pPr>
              <w:jc w:val="center"/>
              <w:rPr>
                <w:rFonts w:ascii="Times New Roman" w:eastAsia="Times New Roman" w:hAnsi="Times New Roman" w:cs="Times New Roman"/>
                <w:color w:val="000000"/>
                <w:sz w:val="20"/>
                <w:szCs w:val="20"/>
                <w:lang w:val="cs-CZ"/>
              </w:rPr>
            </w:pPr>
            <w:r w:rsidRPr="00226BAE">
              <w:rPr>
                <w:rFonts w:ascii="Times New Roman" w:hAnsi="Times New Roman" w:cs="Times New Roman"/>
                <w:color w:val="000000"/>
                <w:sz w:val="20"/>
                <w:szCs w:val="20"/>
              </w:rPr>
              <w:t>Innofreight wagons</w:t>
            </w:r>
            <w:r w:rsidR="00DF2B6E">
              <w:rPr>
                <w:rFonts w:ascii="Times New Roman" w:hAnsi="Times New Roman" w:cs="Times New Roman"/>
                <w:color w:val="000000"/>
                <w:sz w:val="20"/>
                <w:szCs w:val="20"/>
              </w:rPr>
              <w:t xml:space="preserve"> [CZK]</w:t>
            </w:r>
          </w:p>
        </w:tc>
      </w:tr>
      <w:tr w:rsidR="00F76FDC" w:rsidRPr="00226BAE" w:rsidTr="00DF2B6E">
        <w:trPr>
          <w:jc w:val="center"/>
        </w:trPr>
        <w:tc>
          <w:tcPr>
            <w:tcW w:w="1938" w:type="dxa"/>
            <w:noWrap/>
            <w:hideMark/>
          </w:tcPr>
          <w:p w:rsidR="00F76FDC" w:rsidRPr="00226BAE" w:rsidRDefault="00F76FDC" w:rsidP="00FF599D">
            <w:pPr>
              <w:rPr>
                <w:rFonts w:ascii="Times New Roman" w:eastAsia="Times New Roman" w:hAnsi="Times New Roman" w:cs="Times New Roman"/>
                <w:color w:val="000000"/>
                <w:sz w:val="20"/>
                <w:szCs w:val="20"/>
              </w:rPr>
            </w:pPr>
            <w:r w:rsidRPr="00226BAE">
              <w:rPr>
                <w:rFonts w:ascii="Times New Roman" w:hAnsi="Times New Roman" w:cs="Times New Roman"/>
                <w:color w:val="000000"/>
                <w:sz w:val="20"/>
                <w:szCs w:val="20"/>
              </w:rPr>
              <w:t>1 loaded train</w:t>
            </w:r>
          </w:p>
        </w:tc>
        <w:tc>
          <w:tcPr>
            <w:tcW w:w="2310" w:type="dxa"/>
            <w:noWrap/>
            <w:hideMark/>
          </w:tcPr>
          <w:p w:rsidR="00F76FDC" w:rsidRPr="00226BAE" w:rsidRDefault="00F76FDC" w:rsidP="00DF2B6E">
            <w:pPr>
              <w:jc w:val="center"/>
              <w:rPr>
                <w:rFonts w:ascii="Times New Roman" w:eastAsia="Times New Roman" w:hAnsi="Times New Roman" w:cs="Times New Roman"/>
                <w:color w:val="000000"/>
                <w:sz w:val="20"/>
                <w:szCs w:val="20"/>
              </w:rPr>
            </w:pPr>
            <w:r w:rsidRPr="00226BAE">
              <w:rPr>
                <w:rFonts w:ascii="Times New Roman" w:hAnsi="Times New Roman" w:cs="Times New Roman"/>
                <w:color w:val="000000"/>
                <w:sz w:val="20"/>
                <w:szCs w:val="20"/>
              </w:rPr>
              <w:t>35,331.58</w:t>
            </w:r>
          </w:p>
        </w:tc>
        <w:tc>
          <w:tcPr>
            <w:tcW w:w="2410" w:type="dxa"/>
            <w:noWrap/>
            <w:hideMark/>
          </w:tcPr>
          <w:p w:rsidR="00F76FDC" w:rsidRPr="00226BAE" w:rsidRDefault="00F76FDC" w:rsidP="00DF2B6E">
            <w:pPr>
              <w:jc w:val="center"/>
              <w:rPr>
                <w:rFonts w:ascii="Times New Roman" w:eastAsia="Times New Roman" w:hAnsi="Times New Roman" w:cs="Times New Roman"/>
                <w:color w:val="000000"/>
                <w:sz w:val="20"/>
                <w:szCs w:val="20"/>
              </w:rPr>
            </w:pPr>
            <w:r w:rsidRPr="00226BAE">
              <w:rPr>
                <w:rFonts w:ascii="Times New Roman" w:hAnsi="Times New Roman" w:cs="Times New Roman"/>
                <w:color w:val="000000"/>
                <w:sz w:val="20"/>
                <w:szCs w:val="20"/>
              </w:rPr>
              <w:t>22,965.52</w:t>
            </w:r>
          </w:p>
        </w:tc>
      </w:tr>
      <w:tr w:rsidR="00F76FDC" w:rsidRPr="00226BAE" w:rsidTr="00DF2B6E">
        <w:trPr>
          <w:jc w:val="center"/>
        </w:trPr>
        <w:tc>
          <w:tcPr>
            <w:tcW w:w="1938" w:type="dxa"/>
            <w:noWrap/>
            <w:hideMark/>
          </w:tcPr>
          <w:p w:rsidR="00F76FDC" w:rsidRPr="00226BAE" w:rsidRDefault="00F76FDC" w:rsidP="00FF599D">
            <w:pPr>
              <w:rPr>
                <w:rFonts w:ascii="Times New Roman" w:eastAsia="Times New Roman" w:hAnsi="Times New Roman" w:cs="Times New Roman"/>
                <w:color w:val="000000"/>
                <w:sz w:val="20"/>
                <w:szCs w:val="20"/>
              </w:rPr>
            </w:pPr>
            <w:r w:rsidRPr="00226BAE">
              <w:rPr>
                <w:rFonts w:ascii="Times New Roman" w:hAnsi="Times New Roman" w:cs="Times New Roman"/>
                <w:color w:val="000000"/>
                <w:sz w:val="20"/>
                <w:szCs w:val="20"/>
              </w:rPr>
              <w:t>1 empty train</w:t>
            </w:r>
          </w:p>
        </w:tc>
        <w:tc>
          <w:tcPr>
            <w:tcW w:w="2310" w:type="dxa"/>
            <w:noWrap/>
            <w:hideMark/>
          </w:tcPr>
          <w:p w:rsidR="00F76FDC" w:rsidRPr="00226BAE" w:rsidRDefault="00F76FDC" w:rsidP="00DF2B6E">
            <w:pPr>
              <w:jc w:val="center"/>
              <w:rPr>
                <w:rFonts w:ascii="Times New Roman" w:eastAsia="Times New Roman" w:hAnsi="Times New Roman" w:cs="Times New Roman"/>
                <w:color w:val="000000"/>
                <w:sz w:val="20"/>
                <w:szCs w:val="20"/>
              </w:rPr>
            </w:pPr>
            <w:r w:rsidRPr="00226BAE">
              <w:rPr>
                <w:rFonts w:ascii="Times New Roman" w:hAnsi="Times New Roman" w:cs="Times New Roman"/>
                <w:color w:val="000000"/>
                <w:sz w:val="20"/>
                <w:szCs w:val="20"/>
              </w:rPr>
              <w:t>13,060.50</w:t>
            </w:r>
          </w:p>
        </w:tc>
        <w:tc>
          <w:tcPr>
            <w:tcW w:w="2410" w:type="dxa"/>
            <w:noWrap/>
            <w:hideMark/>
          </w:tcPr>
          <w:p w:rsidR="00F76FDC" w:rsidRPr="00226BAE" w:rsidRDefault="00F76FDC" w:rsidP="00DF2B6E">
            <w:pPr>
              <w:jc w:val="center"/>
              <w:rPr>
                <w:rFonts w:ascii="Times New Roman" w:eastAsia="Times New Roman" w:hAnsi="Times New Roman" w:cs="Times New Roman"/>
                <w:color w:val="000000"/>
                <w:sz w:val="20"/>
                <w:szCs w:val="20"/>
              </w:rPr>
            </w:pPr>
            <w:r w:rsidRPr="00226BAE">
              <w:rPr>
                <w:rFonts w:ascii="Times New Roman" w:hAnsi="Times New Roman" w:cs="Times New Roman"/>
                <w:color w:val="000000"/>
                <w:sz w:val="20"/>
                <w:szCs w:val="20"/>
              </w:rPr>
              <w:t>6,468.06</w:t>
            </w:r>
          </w:p>
        </w:tc>
      </w:tr>
      <w:tr w:rsidR="00F76FDC" w:rsidRPr="00226BAE" w:rsidTr="00DF2B6E">
        <w:trPr>
          <w:jc w:val="center"/>
        </w:trPr>
        <w:tc>
          <w:tcPr>
            <w:tcW w:w="1938" w:type="dxa"/>
            <w:noWrap/>
            <w:hideMark/>
          </w:tcPr>
          <w:p w:rsidR="00F76FDC" w:rsidRPr="00226BAE" w:rsidRDefault="00F76FDC" w:rsidP="00FF599D">
            <w:pPr>
              <w:rPr>
                <w:rFonts w:ascii="Times New Roman" w:eastAsia="Times New Roman" w:hAnsi="Times New Roman" w:cs="Times New Roman"/>
                <w:color w:val="000000"/>
                <w:sz w:val="20"/>
                <w:szCs w:val="20"/>
              </w:rPr>
            </w:pPr>
            <w:r w:rsidRPr="00226BAE">
              <w:rPr>
                <w:rFonts w:ascii="Times New Roman" w:hAnsi="Times New Roman" w:cs="Times New Roman"/>
                <w:color w:val="000000"/>
                <w:sz w:val="20"/>
                <w:szCs w:val="20"/>
              </w:rPr>
              <w:t>1 pair of trains</w:t>
            </w:r>
          </w:p>
        </w:tc>
        <w:tc>
          <w:tcPr>
            <w:tcW w:w="2310" w:type="dxa"/>
            <w:noWrap/>
            <w:hideMark/>
          </w:tcPr>
          <w:p w:rsidR="00F76FDC" w:rsidRPr="00226BAE" w:rsidRDefault="00F76FDC" w:rsidP="00DF2B6E">
            <w:pPr>
              <w:jc w:val="center"/>
              <w:rPr>
                <w:rFonts w:ascii="Times New Roman" w:eastAsia="Times New Roman" w:hAnsi="Times New Roman" w:cs="Times New Roman"/>
                <w:color w:val="000000"/>
                <w:sz w:val="20"/>
                <w:szCs w:val="20"/>
              </w:rPr>
            </w:pPr>
            <w:r w:rsidRPr="00226BAE">
              <w:rPr>
                <w:rFonts w:ascii="Times New Roman" w:hAnsi="Times New Roman" w:cs="Times New Roman"/>
                <w:color w:val="000000"/>
                <w:sz w:val="20"/>
                <w:szCs w:val="20"/>
              </w:rPr>
              <w:t>48,392.08</w:t>
            </w:r>
          </w:p>
        </w:tc>
        <w:tc>
          <w:tcPr>
            <w:tcW w:w="2410" w:type="dxa"/>
            <w:noWrap/>
            <w:hideMark/>
          </w:tcPr>
          <w:p w:rsidR="00F76FDC" w:rsidRPr="00226BAE" w:rsidRDefault="00F76FDC" w:rsidP="00DF2B6E">
            <w:pPr>
              <w:jc w:val="center"/>
              <w:rPr>
                <w:rFonts w:ascii="Times New Roman" w:eastAsia="Times New Roman" w:hAnsi="Times New Roman" w:cs="Times New Roman"/>
                <w:color w:val="000000"/>
                <w:sz w:val="20"/>
                <w:szCs w:val="20"/>
              </w:rPr>
            </w:pPr>
            <w:r w:rsidRPr="00226BAE">
              <w:rPr>
                <w:rFonts w:ascii="Times New Roman" w:hAnsi="Times New Roman" w:cs="Times New Roman"/>
                <w:color w:val="000000"/>
                <w:sz w:val="20"/>
                <w:szCs w:val="20"/>
              </w:rPr>
              <w:t>29,433.58</w:t>
            </w:r>
          </w:p>
        </w:tc>
      </w:tr>
      <w:tr w:rsidR="00F76FDC" w:rsidRPr="00226BAE" w:rsidTr="00DF2B6E">
        <w:trPr>
          <w:jc w:val="center"/>
        </w:trPr>
        <w:tc>
          <w:tcPr>
            <w:tcW w:w="1938" w:type="dxa"/>
            <w:noWrap/>
            <w:hideMark/>
          </w:tcPr>
          <w:p w:rsidR="00F76FDC" w:rsidRPr="00226BAE" w:rsidRDefault="00F76FDC" w:rsidP="00FF599D">
            <w:pPr>
              <w:rPr>
                <w:rFonts w:ascii="Times New Roman" w:eastAsia="Times New Roman" w:hAnsi="Times New Roman" w:cs="Times New Roman"/>
                <w:color w:val="000000"/>
                <w:sz w:val="20"/>
                <w:szCs w:val="20"/>
              </w:rPr>
            </w:pPr>
            <w:r w:rsidRPr="00226BAE">
              <w:rPr>
                <w:rFonts w:ascii="Times New Roman" w:hAnsi="Times New Roman" w:cs="Times New Roman"/>
                <w:color w:val="000000"/>
                <w:sz w:val="20"/>
                <w:szCs w:val="20"/>
              </w:rPr>
              <w:t>82 pairs of trains</w:t>
            </w:r>
          </w:p>
        </w:tc>
        <w:tc>
          <w:tcPr>
            <w:tcW w:w="2310" w:type="dxa"/>
            <w:noWrap/>
            <w:hideMark/>
          </w:tcPr>
          <w:p w:rsidR="00F76FDC" w:rsidRPr="00226BAE" w:rsidRDefault="00F76FDC" w:rsidP="00DF2B6E">
            <w:pPr>
              <w:jc w:val="center"/>
              <w:rPr>
                <w:rFonts w:ascii="Times New Roman" w:eastAsia="Times New Roman" w:hAnsi="Times New Roman" w:cs="Times New Roman"/>
                <w:b/>
                <w:bCs/>
                <w:color w:val="000000"/>
                <w:sz w:val="20"/>
                <w:szCs w:val="20"/>
              </w:rPr>
            </w:pPr>
            <w:r w:rsidRPr="00226BAE">
              <w:rPr>
                <w:rFonts w:ascii="Times New Roman" w:hAnsi="Times New Roman" w:cs="Times New Roman"/>
                <w:b/>
                <w:color w:val="000000"/>
                <w:sz w:val="20"/>
                <w:szCs w:val="20"/>
              </w:rPr>
              <w:t>3,968,150.53</w:t>
            </w:r>
          </w:p>
        </w:tc>
        <w:tc>
          <w:tcPr>
            <w:tcW w:w="2410" w:type="dxa"/>
            <w:noWrap/>
            <w:hideMark/>
          </w:tcPr>
          <w:p w:rsidR="00F76FDC" w:rsidRPr="00226BAE" w:rsidRDefault="00F76FDC" w:rsidP="00DF2B6E">
            <w:pPr>
              <w:jc w:val="center"/>
              <w:rPr>
                <w:rFonts w:ascii="Times New Roman" w:eastAsia="Times New Roman" w:hAnsi="Times New Roman" w:cs="Times New Roman"/>
                <w:b/>
                <w:bCs/>
                <w:color w:val="000000"/>
                <w:sz w:val="20"/>
                <w:szCs w:val="20"/>
              </w:rPr>
            </w:pPr>
            <w:r w:rsidRPr="00226BAE">
              <w:rPr>
                <w:rFonts w:ascii="Times New Roman" w:hAnsi="Times New Roman" w:cs="Times New Roman"/>
                <w:b/>
                <w:color w:val="000000"/>
                <w:sz w:val="20"/>
                <w:szCs w:val="20"/>
              </w:rPr>
              <w:t>2,413,553.82</w:t>
            </w:r>
          </w:p>
        </w:tc>
      </w:tr>
    </w:tbl>
    <w:p w:rsidR="00F76FDC" w:rsidRPr="00FF599D" w:rsidRDefault="00F76FDC" w:rsidP="00F76FDC">
      <w:pPr>
        <w:jc w:val="right"/>
        <w:rPr>
          <w:sz w:val="20"/>
          <w:szCs w:val="20"/>
        </w:rPr>
      </w:pPr>
      <w:r w:rsidRPr="00FF599D">
        <w:rPr>
          <w:sz w:val="20"/>
          <w:szCs w:val="20"/>
        </w:rPr>
        <w:t>Source: author</w:t>
      </w:r>
      <w:r w:rsidR="0095718D">
        <w:rPr>
          <w:sz w:val="20"/>
          <w:szCs w:val="20"/>
        </w:rPr>
        <w:t>s</w:t>
      </w:r>
      <w:r w:rsidRPr="00FF599D">
        <w:rPr>
          <w:sz w:val="20"/>
          <w:szCs w:val="20"/>
        </w:rPr>
        <w:t xml:space="preserve"> based on </w:t>
      </w:r>
      <w:r w:rsidR="0095718D">
        <w:rPr>
          <w:sz w:val="20"/>
          <w:szCs w:val="20"/>
        </w:rPr>
        <w:t>[7, 12, 14]</w:t>
      </w:r>
    </w:p>
    <w:p w:rsidR="00FF599D" w:rsidRDefault="00FF599D" w:rsidP="00FF599D">
      <w:pPr>
        <w:jc w:val="both"/>
        <w:rPr>
          <w:b/>
          <w:sz w:val="20"/>
          <w:szCs w:val="20"/>
          <w:lang w:val="en-GB"/>
        </w:rPr>
      </w:pPr>
    </w:p>
    <w:p w:rsidR="00FF599D" w:rsidRPr="00FF599D" w:rsidRDefault="00FF599D" w:rsidP="00FF599D">
      <w:pPr>
        <w:jc w:val="both"/>
        <w:rPr>
          <w:b/>
          <w:sz w:val="20"/>
          <w:szCs w:val="20"/>
          <w:lang w:val="en-GB"/>
        </w:rPr>
      </w:pPr>
      <w:r w:rsidRPr="00FF599D">
        <w:rPr>
          <w:b/>
          <w:sz w:val="20"/>
          <w:szCs w:val="20"/>
          <w:lang w:val="en-GB"/>
        </w:rPr>
        <w:t>4. Conclusion</w:t>
      </w:r>
      <w:r>
        <w:rPr>
          <w:b/>
          <w:sz w:val="20"/>
          <w:szCs w:val="20"/>
          <w:lang w:val="en-GB"/>
        </w:rPr>
        <w:t>s</w:t>
      </w:r>
    </w:p>
    <w:p w:rsidR="00FF599D" w:rsidRDefault="00FF599D" w:rsidP="00FF599D">
      <w:pPr>
        <w:widowControl w:val="0"/>
        <w:ind w:firstLine="567"/>
        <w:jc w:val="both"/>
        <w:rPr>
          <w:sz w:val="20"/>
          <w:szCs w:val="20"/>
        </w:rPr>
      </w:pPr>
    </w:p>
    <w:p w:rsidR="00F76FDC" w:rsidRPr="00FF599D" w:rsidRDefault="00F76FDC" w:rsidP="00FF599D">
      <w:pPr>
        <w:widowControl w:val="0"/>
        <w:ind w:firstLine="567"/>
        <w:jc w:val="both"/>
        <w:rPr>
          <w:sz w:val="20"/>
          <w:szCs w:val="20"/>
        </w:rPr>
      </w:pPr>
      <w:r w:rsidRPr="00FF599D">
        <w:rPr>
          <w:sz w:val="20"/>
          <w:szCs w:val="20"/>
        </w:rPr>
        <w:t>What also has an impact on the results of the comparison of indicators is the structure of economies of the countries analysed. In Austria, the environmental policy of the government and public environmental awareness also play a</w:t>
      </w:r>
      <w:r w:rsidR="0095718D">
        <w:rPr>
          <w:sz w:val="20"/>
          <w:szCs w:val="20"/>
        </w:rPr>
        <w:t> </w:t>
      </w:r>
      <w:r w:rsidRPr="00FF599D">
        <w:rPr>
          <w:sz w:val="20"/>
          <w:szCs w:val="20"/>
        </w:rPr>
        <w:t>significant role. Comparing the total energy mix of the selected countries (i.e. not only their production of electricity), it is to be noted that in Austria, the second most prominent share, after energy from oil products, is represented by energy from renewable sources with 30%. In the Czech Republic, solid fuel accounts for the largest share of energy production, with up to 40%. In Slovakia, nuclear energy and natural gas energy (with 24% each) are the most prominent components.</w:t>
      </w:r>
    </w:p>
    <w:p w:rsidR="00F76FDC" w:rsidRPr="00FF599D" w:rsidRDefault="00F76FDC" w:rsidP="00FF599D">
      <w:pPr>
        <w:widowControl w:val="0"/>
        <w:ind w:firstLine="567"/>
        <w:jc w:val="both"/>
        <w:rPr>
          <w:sz w:val="20"/>
          <w:szCs w:val="20"/>
        </w:rPr>
      </w:pPr>
      <w:r w:rsidRPr="00FF599D">
        <w:rPr>
          <w:sz w:val="20"/>
          <w:szCs w:val="20"/>
        </w:rPr>
        <w:t>Based on the reloading time comparison, it cannot be clearly established which system is more advantageous. The unloading of dump containers is faster under standard conditions, but depends on external influences. The unloading time differs, with great differences during winter months. The unloading of Innofreight containers usually takes longer but as this system is modern and reliable, the unloading time remains relatively constant. Fewer personnel are required and the occupational safety is greater.</w:t>
      </w:r>
    </w:p>
    <w:p w:rsidR="00F76FDC" w:rsidRPr="00FF599D" w:rsidRDefault="00F76FDC" w:rsidP="00FF599D">
      <w:pPr>
        <w:widowControl w:val="0"/>
        <w:ind w:firstLine="567"/>
        <w:jc w:val="both"/>
        <w:rPr>
          <w:sz w:val="20"/>
          <w:szCs w:val="20"/>
        </w:rPr>
      </w:pPr>
      <w:r w:rsidRPr="00FF599D">
        <w:rPr>
          <w:sz w:val="20"/>
          <w:szCs w:val="20"/>
        </w:rPr>
        <w:t>The new system reduced the travel time of empty trains by approximately 1 hour compared to standard train units. The average turnaround time on the EOP siding in September 2019 was more than 1 hour longer than in September 2016. Nevertheless, the main advantage of wagons with Innofreight containers is their low mass, i.e. greater pay-mass.</w:t>
      </w:r>
    </w:p>
    <w:p w:rsidR="00F76FDC" w:rsidRPr="00FF599D" w:rsidRDefault="00F76FDC" w:rsidP="00FF599D">
      <w:pPr>
        <w:widowControl w:val="0"/>
        <w:ind w:firstLine="567"/>
        <w:jc w:val="both"/>
        <w:rPr>
          <w:sz w:val="20"/>
          <w:szCs w:val="20"/>
        </w:rPr>
      </w:pPr>
      <w:r w:rsidRPr="00FF599D">
        <w:rPr>
          <w:sz w:val="20"/>
          <w:szCs w:val="20"/>
        </w:rPr>
        <w:lastRenderedPageBreak/>
        <w:t>Low mass reflects in a lower price for the use of railway infrastructure through train rides and in greater possible loading. In financial terms, the new method of transport is certainly more advantageous. The total transport costs are by approximately 13% lower than in the past.</w:t>
      </w:r>
    </w:p>
    <w:p w:rsidR="00F76FDC" w:rsidRPr="00A963E8" w:rsidRDefault="00F76FDC" w:rsidP="00F76FDC">
      <w:pPr>
        <w:widowControl w:val="0"/>
        <w:ind w:firstLine="567"/>
        <w:jc w:val="both"/>
        <w:rPr>
          <w:sz w:val="20"/>
          <w:szCs w:val="20"/>
        </w:rPr>
      </w:pPr>
      <w:r w:rsidRPr="00FF599D">
        <w:rPr>
          <w:sz w:val="20"/>
          <w:szCs w:val="20"/>
        </w:rPr>
        <w:t>Even though the new transport system using Innofreight containers was introduced based on an arbitrary decision, it turned out that it there is a benefit to it and that it makes sense to use it for other destinations as well; for instance for the Chvaletice power plant, where it is currently used, too.</w:t>
      </w:r>
    </w:p>
    <w:p w:rsidR="00A963E8" w:rsidRDefault="00A963E8" w:rsidP="00A963E8">
      <w:pPr>
        <w:pStyle w:val="Body"/>
        <w:widowControl w:val="0"/>
        <w:spacing w:after="0"/>
        <w:contextualSpacing/>
        <w:rPr>
          <w:rFonts w:ascii="Times New Roman" w:hAnsi="Times New Roman"/>
          <w:b/>
        </w:rPr>
      </w:pPr>
    </w:p>
    <w:p w:rsidR="00FF599D" w:rsidRPr="00FF599D" w:rsidRDefault="00FF599D" w:rsidP="00FF599D">
      <w:pPr>
        <w:jc w:val="both"/>
        <w:rPr>
          <w:b/>
          <w:sz w:val="20"/>
          <w:szCs w:val="20"/>
          <w:lang w:val="en-GB"/>
        </w:rPr>
      </w:pPr>
      <w:r w:rsidRPr="00FF599D">
        <w:rPr>
          <w:b/>
          <w:sz w:val="20"/>
          <w:szCs w:val="20"/>
          <w:lang w:val="en-GB"/>
        </w:rPr>
        <w:t>5. Acknowledgment</w:t>
      </w:r>
    </w:p>
    <w:p w:rsidR="00FF599D" w:rsidRPr="00FF599D" w:rsidRDefault="00FF599D" w:rsidP="00FF599D">
      <w:pPr>
        <w:jc w:val="both"/>
        <w:rPr>
          <w:b/>
          <w:sz w:val="20"/>
          <w:szCs w:val="20"/>
          <w:lang w:val="en-GB"/>
        </w:rPr>
      </w:pPr>
    </w:p>
    <w:p w:rsidR="00FF599D" w:rsidRPr="00FF599D" w:rsidRDefault="00FF599D" w:rsidP="00FF599D">
      <w:pPr>
        <w:ind w:firstLine="567"/>
        <w:jc w:val="both"/>
        <w:rPr>
          <w:sz w:val="20"/>
          <w:szCs w:val="20"/>
          <w:lang w:val="en-GB"/>
        </w:rPr>
      </w:pPr>
      <w:r w:rsidRPr="00FF599D">
        <w:rPr>
          <w:sz w:val="20"/>
          <w:szCs w:val="20"/>
          <w:lang w:val="en-GB"/>
        </w:rPr>
        <w:t>The paper was supported from ERDF/ESF “Cooperation in Applied Research between the University of Pardubice and companies, in the Field of Positioning, Detection and Simulation Technology for Transport Systems (PosiTrans)” (No. CZ.02.1.01/0.0/0.0/17_049/0008394).</w:t>
      </w:r>
    </w:p>
    <w:p w:rsidR="00FF599D" w:rsidRDefault="00FF599D" w:rsidP="00A963E8">
      <w:pPr>
        <w:pStyle w:val="Body"/>
        <w:widowControl w:val="0"/>
        <w:spacing w:after="0"/>
        <w:contextualSpacing/>
        <w:rPr>
          <w:rFonts w:ascii="Times New Roman" w:hAnsi="Times New Roman"/>
          <w:b/>
        </w:rPr>
      </w:pPr>
    </w:p>
    <w:p w:rsidR="00633A61" w:rsidRDefault="00633A61" w:rsidP="001F3B24">
      <w:pPr>
        <w:pStyle w:val="Nadpis2"/>
        <w:keepNext w:val="0"/>
        <w:widowControl w:val="0"/>
      </w:pPr>
      <w:r>
        <w:t>References</w:t>
      </w:r>
    </w:p>
    <w:p w:rsidR="00633A61" w:rsidRDefault="00633A61" w:rsidP="001F3B24">
      <w:pPr>
        <w:widowControl w:val="0"/>
      </w:pPr>
    </w:p>
    <w:p w:rsidR="0095718D" w:rsidRPr="00D22DE3" w:rsidRDefault="0095718D" w:rsidP="00D22DE3">
      <w:pPr>
        <w:pStyle w:val="Odstavecseseznamem"/>
        <w:widowControl w:val="0"/>
        <w:numPr>
          <w:ilvl w:val="0"/>
          <w:numId w:val="9"/>
        </w:numPr>
        <w:ind w:left="284" w:hanging="284"/>
        <w:jc w:val="both"/>
        <w:rPr>
          <w:rFonts w:ascii="Times New Roman" w:hAnsi="Times New Roman"/>
          <w:sz w:val="20"/>
          <w:szCs w:val="20"/>
          <w:shd w:val="clear" w:color="auto" w:fill="FFFFFF"/>
        </w:rPr>
      </w:pPr>
      <w:r w:rsidRPr="00D22DE3">
        <w:rPr>
          <w:rFonts w:ascii="Times New Roman" w:hAnsi="Times New Roman"/>
          <w:sz w:val="20"/>
          <w:szCs w:val="20"/>
          <w:shd w:val="clear" w:color="auto" w:fill="FFFFFF"/>
        </w:rPr>
        <w:t xml:space="preserve">Innofreight. Bruck an der Mur: Innofreight Solutions, 2019 [online cit.: 2019-12-09]. Available from: </w:t>
      </w:r>
      <w:hyperlink r:id="rId9" w:history="1">
        <w:r w:rsidRPr="00D22DE3">
          <w:rPr>
            <w:rFonts w:ascii="Times New Roman" w:eastAsia="Times New Roman" w:hAnsi="Times New Roman"/>
            <w:sz w:val="20"/>
            <w:szCs w:val="20"/>
            <w:shd w:val="clear" w:color="auto" w:fill="FFFFFF"/>
          </w:rPr>
          <w:t>https://www.innofreight.com/cs/</w:t>
        </w:r>
      </w:hyperlink>
    </w:p>
    <w:p w:rsidR="0095718D" w:rsidRPr="00D22DE3" w:rsidRDefault="0095718D" w:rsidP="00D22DE3">
      <w:pPr>
        <w:pStyle w:val="Odstavecseseznamem"/>
        <w:widowControl w:val="0"/>
        <w:numPr>
          <w:ilvl w:val="0"/>
          <w:numId w:val="9"/>
        </w:numPr>
        <w:ind w:left="284" w:hanging="284"/>
        <w:jc w:val="both"/>
        <w:rPr>
          <w:rFonts w:ascii="Times New Roman" w:hAnsi="Times New Roman"/>
          <w:sz w:val="20"/>
          <w:szCs w:val="20"/>
          <w:shd w:val="clear" w:color="auto" w:fill="FFFFFF"/>
        </w:rPr>
      </w:pPr>
      <w:r w:rsidRPr="00D22DE3">
        <w:rPr>
          <w:rFonts w:ascii="Times New Roman" w:hAnsi="Times New Roman"/>
          <w:sz w:val="20"/>
          <w:szCs w:val="20"/>
          <w:shd w:val="clear" w:color="auto" w:fill="FFFFFF"/>
        </w:rPr>
        <w:t>An Approach for Economic Analysis of Intermodal Transportation, [online cit.: 2020-04.10]. Avaible from: http://dx.doi.org/10.1155/2014/630320</w:t>
      </w:r>
    </w:p>
    <w:p w:rsidR="0095718D" w:rsidRPr="00D22DE3" w:rsidRDefault="0095718D" w:rsidP="00D22DE3">
      <w:pPr>
        <w:pStyle w:val="Odstavecseseznamem"/>
        <w:numPr>
          <w:ilvl w:val="0"/>
          <w:numId w:val="9"/>
        </w:numPr>
        <w:suppressAutoHyphens/>
        <w:spacing w:before="60"/>
        <w:ind w:left="284" w:hanging="284"/>
        <w:jc w:val="both"/>
        <w:rPr>
          <w:rFonts w:ascii="Times New Roman" w:hAnsi="Times New Roman"/>
          <w:sz w:val="20"/>
          <w:szCs w:val="20"/>
        </w:rPr>
      </w:pPr>
      <w:r w:rsidRPr="00D22DE3">
        <w:rPr>
          <w:rFonts w:ascii="Times New Roman" w:hAnsi="Times New Roman"/>
          <w:b/>
          <w:sz w:val="20"/>
          <w:szCs w:val="20"/>
        </w:rPr>
        <w:t>Folt</w:t>
      </w:r>
      <w:r w:rsidR="00DF2B6E">
        <w:rPr>
          <w:rFonts w:ascii="Times New Roman" w:hAnsi="Times New Roman"/>
          <w:b/>
          <w:sz w:val="20"/>
          <w:szCs w:val="20"/>
        </w:rPr>
        <w:t>a</w:t>
      </w:r>
      <w:r w:rsidRPr="00D22DE3">
        <w:rPr>
          <w:rFonts w:ascii="Times New Roman" w:hAnsi="Times New Roman"/>
          <w:b/>
          <w:sz w:val="20"/>
          <w:szCs w:val="20"/>
        </w:rPr>
        <w:t>n, M.</w:t>
      </w:r>
      <w:r w:rsidRPr="00D22DE3">
        <w:rPr>
          <w:rFonts w:ascii="Times New Roman" w:hAnsi="Times New Roman"/>
          <w:sz w:val="20"/>
          <w:szCs w:val="20"/>
        </w:rPr>
        <w:t xml:space="preserve"> </w:t>
      </w:r>
      <w:r w:rsidR="00D22DE3" w:rsidRPr="00D22DE3">
        <w:rPr>
          <w:rFonts w:ascii="Times New Roman" w:hAnsi="Times New Roman"/>
          <w:sz w:val="20"/>
          <w:szCs w:val="20"/>
        </w:rPr>
        <w:t>2019. Proposal for the introduction of the Woodtainer transport system in Slovakia</w:t>
      </w:r>
      <w:r w:rsidRPr="00D22DE3">
        <w:rPr>
          <w:rFonts w:ascii="Times New Roman" w:hAnsi="Times New Roman"/>
          <w:sz w:val="20"/>
          <w:szCs w:val="20"/>
        </w:rPr>
        <w:t>, University of Žilina, 55 p. (in Slovak).</w:t>
      </w:r>
    </w:p>
    <w:p w:rsidR="0095718D" w:rsidRPr="00D22DE3" w:rsidRDefault="0095718D" w:rsidP="00D22DE3">
      <w:pPr>
        <w:pStyle w:val="Odstavecseseznamem"/>
        <w:numPr>
          <w:ilvl w:val="0"/>
          <w:numId w:val="9"/>
        </w:numPr>
        <w:suppressAutoHyphens/>
        <w:spacing w:before="60"/>
        <w:ind w:left="284" w:hanging="284"/>
        <w:jc w:val="both"/>
        <w:rPr>
          <w:rFonts w:ascii="Times New Roman" w:hAnsi="Times New Roman"/>
          <w:sz w:val="20"/>
          <w:szCs w:val="20"/>
        </w:rPr>
      </w:pPr>
      <w:r w:rsidRPr="00D22DE3">
        <w:rPr>
          <w:rFonts w:ascii="Times New Roman" w:hAnsi="Times New Roman"/>
          <w:b/>
          <w:sz w:val="20"/>
          <w:szCs w:val="20"/>
        </w:rPr>
        <w:t>Nov</w:t>
      </w:r>
      <w:r w:rsidR="00DF2B6E">
        <w:rPr>
          <w:rFonts w:ascii="Times New Roman" w:hAnsi="Times New Roman"/>
          <w:b/>
          <w:sz w:val="20"/>
          <w:szCs w:val="20"/>
        </w:rPr>
        <w:t>a</w:t>
      </w:r>
      <w:r w:rsidRPr="00D22DE3">
        <w:rPr>
          <w:rFonts w:ascii="Times New Roman" w:hAnsi="Times New Roman"/>
          <w:b/>
          <w:sz w:val="20"/>
          <w:szCs w:val="20"/>
        </w:rPr>
        <w:t>k, J.; Cemp</w:t>
      </w:r>
      <w:r w:rsidR="00DF2B6E">
        <w:rPr>
          <w:rFonts w:ascii="Times New Roman" w:hAnsi="Times New Roman"/>
          <w:b/>
          <w:sz w:val="20"/>
          <w:szCs w:val="20"/>
        </w:rPr>
        <w:t>i</w:t>
      </w:r>
      <w:r w:rsidRPr="00D22DE3">
        <w:rPr>
          <w:rFonts w:ascii="Times New Roman" w:hAnsi="Times New Roman"/>
          <w:b/>
          <w:sz w:val="20"/>
          <w:szCs w:val="20"/>
        </w:rPr>
        <w:t>rek, V.; Nov</w:t>
      </w:r>
      <w:r w:rsidR="00DF2B6E">
        <w:rPr>
          <w:rFonts w:ascii="Times New Roman" w:hAnsi="Times New Roman"/>
          <w:b/>
          <w:sz w:val="20"/>
          <w:szCs w:val="20"/>
        </w:rPr>
        <w:t>a</w:t>
      </w:r>
      <w:r w:rsidRPr="00D22DE3">
        <w:rPr>
          <w:rFonts w:ascii="Times New Roman" w:hAnsi="Times New Roman"/>
          <w:b/>
          <w:sz w:val="20"/>
          <w:szCs w:val="20"/>
        </w:rPr>
        <w:t xml:space="preserve">k, I.; </w:t>
      </w:r>
      <w:r w:rsidR="00DF2B6E">
        <w:rPr>
          <w:rFonts w:ascii="Times New Roman" w:hAnsi="Times New Roman"/>
          <w:b/>
          <w:sz w:val="20"/>
          <w:szCs w:val="20"/>
        </w:rPr>
        <w:t>S</w:t>
      </w:r>
      <w:r w:rsidRPr="00D22DE3">
        <w:rPr>
          <w:rFonts w:ascii="Times New Roman" w:hAnsi="Times New Roman"/>
          <w:b/>
          <w:sz w:val="20"/>
          <w:szCs w:val="20"/>
        </w:rPr>
        <w:t>irok</w:t>
      </w:r>
      <w:r w:rsidR="00DF2B6E">
        <w:rPr>
          <w:rFonts w:ascii="Times New Roman" w:hAnsi="Times New Roman"/>
          <w:b/>
          <w:sz w:val="20"/>
          <w:szCs w:val="20"/>
        </w:rPr>
        <w:t>y</w:t>
      </w:r>
      <w:r w:rsidRPr="00D22DE3">
        <w:rPr>
          <w:rFonts w:ascii="Times New Roman" w:hAnsi="Times New Roman"/>
          <w:b/>
          <w:sz w:val="20"/>
          <w:szCs w:val="20"/>
        </w:rPr>
        <w:t>, J.</w:t>
      </w:r>
      <w:r w:rsidRPr="00D22DE3">
        <w:rPr>
          <w:rFonts w:ascii="Times New Roman" w:hAnsi="Times New Roman"/>
          <w:sz w:val="20"/>
          <w:szCs w:val="20"/>
        </w:rPr>
        <w:t xml:space="preserve"> 2015. </w:t>
      </w:r>
      <w:r w:rsidRPr="00D22DE3">
        <w:rPr>
          <w:rFonts w:ascii="Times New Roman" w:hAnsi="Times New Roman"/>
          <w:i/>
          <w:sz w:val="20"/>
          <w:szCs w:val="20"/>
        </w:rPr>
        <w:t xml:space="preserve">Intermodal Transport. </w:t>
      </w:r>
      <w:r w:rsidRPr="00D22DE3">
        <w:rPr>
          <w:rFonts w:ascii="Times New Roman" w:hAnsi="Times New Roman"/>
          <w:sz w:val="20"/>
          <w:szCs w:val="20"/>
        </w:rPr>
        <w:t>University of Pardubice. 338 p. (in Czech).</w:t>
      </w:r>
    </w:p>
    <w:p w:rsidR="000B2B7A" w:rsidRPr="00D22DE3" w:rsidRDefault="000B2B7A" w:rsidP="00D22DE3">
      <w:pPr>
        <w:pStyle w:val="Odstavecseseznamem"/>
        <w:numPr>
          <w:ilvl w:val="0"/>
          <w:numId w:val="9"/>
        </w:numPr>
        <w:suppressAutoHyphens/>
        <w:spacing w:before="60"/>
        <w:ind w:left="284" w:hanging="284"/>
        <w:jc w:val="both"/>
        <w:rPr>
          <w:rFonts w:ascii="Times New Roman" w:hAnsi="Times New Roman"/>
          <w:sz w:val="20"/>
          <w:szCs w:val="20"/>
        </w:rPr>
      </w:pPr>
      <w:r w:rsidRPr="00D22DE3">
        <w:rPr>
          <w:rFonts w:ascii="Times New Roman" w:hAnsi="Times New Roman"/>
          <w:b/>
          <w:sz w:val="20"/>
          <w:szCs w:val="20"/>
        </w:rPr>
        <w:t>Bontekoning, Y. M.; Macharis, C.; Trip J. J.</w:t>
      </w:r>
      <w:r w:rsidRPr="00D22DE3">
        <w:rPr>
          <w:rFonts w:ascii="Times New Roman" w:hAnsi="Times New Roman"/>
          <w:sz w:val="20"/>
          <w:szCs w:val="20"/>
        </w:rPr>
        <w:t xml:space="preserve"> 2014. Is a New Applied Transportation Research Field Emerging - A Review of Intermodal Rail-Truck Freight Transport Literature. Transportation Research Part A: Policy and Practice. vol. 38. 1-34</w:t>
      </w:r>
      <w:r w:rsidR="00ED60CD">
        <w:rPr>
          <w:rFonts w:ascii="Times New Roman" w:hAnsi="Times New Roman"/>
          <w:sz w:val="20"/>
          <w:szCs w:val="20"/>
        </w:rPr>
        <w:t xml:space="preserve"> p</w:t>
      </w:r>
      <w:r w:rsidRPr="00D22DE3">
        <w:rPr>
          <w:rFonts w:ascii="Times New Roman" w:hAnsi="Times New Roman"/>
          <w:sz w:val="20"/>
          <w:szCs w:val="20"/>
        </w:rPr>
        <w:t>.</w:t>
      </w:r>
    </w:p>
    <w:p w:rsidR="0095718D" w:rsidRPr="00D22DE3" w:rsidRDefault="0095718D" w:rsidP="00D22DE3">
      <w:pPr>
        <w:pStyle w:val="Odstavecseseznamem"/>
        <w:numPr>
          <w:ilvl w:val="0"/>
          <w:numId w:val="9"/>
        </w:numPr>
        <w:suppressAutoHyphens/>
        <w:spacing w:before="60"/>
        <w:ind w:left="284" w:hanging="284"/>
        <w:jc w:val="both"/>
        <w:rPr>
          <w:rFonts w:ascii="Times New Roman" w:hAnsi="Times New Roman"/>
          <w:sz w:val="20"/>
          <w:szCs w:val="20"/>
        </w:rPr>
      </w:pPr>
      <w:r w:rsidRPr="00D22DE3">
        <w:rPr>
          <w:rFonts w:ascii="Times New Roman" w:hAnsi="Times New Roman"/>
          <w:sz w:val="20"/>
          <w:szCs w:val="20"/>
        </w:rPr>
        <w:t>Multimodal Transport Systems, CVUT Transport Faculty [online cit.: 2020-04-25]. Avaible from: http://www.fd.cvut.cz/projects/k612x1mp/vn.html</w:t>
      </w:r>
    </w:p>
    <w:p w:rsidR="0095718D" w:rsidRPr="00ED60CD" w:rsidRDefault="0095718D" w:rsidP="00D22DE3">
      <w:pPr>
        <w:pStyle w:val="Odstavecseseznamem"/>
        <w:numPr>
          <w:ilvl w:val="0"/>
          <w:numId w:val="9"/>
        </w:numPr>
        <w:ind w:left="284" w:hanging="284"/>
        <w:jc w:val="both"/>
        <w:rPr>
          <w:rFonts w:ascii="Times New Roman" w:hAnsi="Times New Roman"/>
          <w:sz w:val="20"/>
          <w:szCs w:val="20"/>
          <w:shd w:val="clear" w:color="auto" w:fill="FFFFFF"/>
        </w:rPr>
      </w:pPr>
      <w:r w:rsidRPr="00ED60CD">
        <w:rPr>
          <w:rFonts w:ascii="Times New Roman" w:hAnsi="Times New Roman"/>
          <w:b/>
          <w:sz w:val="20"/>
          <w:szCs w:val="20"/>
          <w:shd w:val="clear" w:color="auto" w:fill="FFFFFF"/>
        </w:rPr>
        <w:t>Cemp</w:t>
      </w:r>
      <w:r w:rsidR="00DF2B6E">
        <w:rPr>
          <w:rFonts w:ascii="Times New Roman" w:hAnsi="Times New Roman"/>
          <w:b/>
          <w:sz w:val="20"/>
          <w:szCs w:val="20"/>
          <w:shd w:val="clear" w:color="auto" w:fill="FFFFFF"/>
        </w:rPr>
        <w:t>i</w:t>
      </w:r>
      <w:r w:rsidRPr="00ED60CD">
        <w:rPr>
          <w:rFonts w:ascii="Times New Roman" w:hAnsi="Times New Roman"/>
          <w:b/>
          <w:sz w:val="20"/>
          <w:szCs w:val="20"/>
          <w:shd w:val="clear" w:color="auto" w:fill="FFFFFF"/>
        </w:rPr>
        <w:t xml:space="preserve">rek, V.; </w:t>
      </w:r>
      <w:r w:rsidR="00DF2B6E">
        <w:rPr>
          <w:rFonts w:ascii="Times New Roman" w:hAnsi="Times New Roman"/>
          <w:b/>
          <w:sz w:val="20"/>
          <w:szCs w:val="20"/>
          <w:shd w:val="clear" w:color="auto" w:fill="FFFFFF"/>
        </w:rPr>
        <w:t>S</w:t>
      </w:r>
      <w:r w:rsidRPr="00ED60CD">
        <w:rPr>
          <w:rFonts w:ascii="Times New Roman" w:hAnsi="Times New Roman"/>
          <w:b/>
          <w:sz w:val="20"/>
          <w:szCs w:val="20"/>
          <w:shd w:val="clear" w:color="auto" w:fill="FFFFFF"/>
        </w:rPr>
        <w:t>irok</w:t>
      </w:r>
      <w:r w:rsidR="00DF2B6E">
        <w:rPr>
          <w:rFonts w:ascii="Times New Roman" w:hAnsi="Times New Roman"/>
          <w:b/>
          <w:sz w:val="20"/>
          <w:szCs w:val="20"/>
          <w:shd w:val="clear" w:color="auto" w:fill="FFFFFF"/>
        </w:rPr>
        <w:t>y</w:t>
      </w:r>
      <w:r w:rsidRPr="00ED60CD">
        <w:rPr>
          <w:rFonts w:ascii="Times New Roman" w:hAnsi="Times New Roman"/>
          <w:b/>
          <w:sz w:val="20"/>
          <w:szCs w:val="20"/>
          <w:shd w:val="clear" w:color="auto" w:fill="FFFFFF"/>
        </w:rPr>
        <w:t>, J.; Nachtigall, P.; Hlavsov</w:t>
      </w:r>
      <w:r w:rsidR="00DF2B6E">
        <w:rPr>
          <w:rFonts w:ascii="Times New Roman" w:hAnsi="Times New Roman"/>
          <w:b/>
          <w:sz w:val="20"/>
          <w:szCs w:val="20"/>
          <w:shd w:val="clear" w:color="auto" w:fill="FFFFFF"/>
        </w:rPr>
        <w:t>a</w:t>
      </w:r>
      <w:r w:rsidRPr="00ED60CD">
        <w:rPr>
          <w:rFonts w:ascii="Times New Roman" w:hAnsi="Times New Roman"/>
          <w:b/>
          <w:sz w:val="20"/>
          <w:szCs w:val="20"/>
          <w:shd w:val="clear" w:color="auto" w:fill="FFFFFF"/>
        </w:rPr>
        <w:t>, P.</w:t>
      </w:r>
      <w:r w:rsidRPr="00ED60CD">
        <w:rPr>
          <w:rFonts w:ascii="Times New Roman" w:hAnsi="Times New Roman"/>
          <w:sz w:val="20"/>
          <w:szCs w:val="20"/>
          <w:shd w:val="clear" w:color="auto" w:fill="FFFFFF"/>
        </w:rPr>
        <w:t xml:space="preserve"> 2017. Use of Innofreight containers for thermal coal transportation. In </w:t>
      </w:r>
      <w:r w:rsidRPr="00ED60CD">
        <w:rPr>
          <w:rStyle w:val="Zdraznn"/>
          <w:rFonts w:ascii="Times New Roman" w:hAnsi="Times New Roman"/>
          <w:i w:val="0"/>
          <w:sz w:val="20"/>
          <w:szCs w:val="20"/>
          <w:shd w:val="clear" w:color="auto" w:fill="FFFFFF"/>
        </w:rPr>
        <w:t>MATEC Web of Conferences. Vol. 134 : 18th International Scientific Conference - LOGI 2017</w:t>
      </w:r>
      <w:r w:rsidRPr="00ED60CD">
        <w:rPr>
          <w:rFonts w:ascii="Times New Roman" w:hAnsi="Times New Roman"/>
          <w:i/>
          <w:sz w:val="20"/>
          <w:szCs w:val="20"/>
          <w:shd w:val="clear" w:color="auto" w:fill="FFFFFF"/>
        </w:rPr>
        <w:t>.</w:t>
      </w:r>
      <w:r w:rsidRPr="00ED60CD">
        <w:rPr>
          <w:rFonts w:ascii="Times New Roman" w:hAnsi="Times New Roman"/>
          <w:sz w:val="20"/>
          <w:szCs w:val="20"/>
          <w:shd w:val="clear" w:color="auto" w:fill="FFFFFF"/>
        </w:rPr>
        <w:t xml:space="preserve"> Les Ulis: EDP Sciences, 1-6 p.</w:t>
      </w:r>
    </w:p>
    <w:p w:rsidR="0095718D" w:rsidRPr="00D22DE3" w:rsidRDefault="0095718D" w:rsidP="00D22DE3">
      <w:pPr>
        <w:pStyle w:val="Odstavecseseznamem"/>
        <w:numPr>
          <w:ilvl w:val="0"/>
          <w:numId w:val="9"/>
        </w:numPr>
        <w:suppressAutoHyphens/>
        <w:spacing w:before="60"/>
        <w:ind w:left="284" w:hanging="284"/>
        <w:jc w:val="both"/>
        <w:rPr>
          <w:rFonts w:ascii="Times New Roman" w:hAnsi="Times New Roman"/>
          <w:sz w:val="20"/>
          <w:szCs w:val="20"/>
        </w:rPr>
      </w:pPr>
      <w:r w:rsidRPr="00D22DE3">
        <w:rPr>
          <w:rFonts w:ascii="Times New Roman" w:hAnsi="Times New Roman"/>
          <w:sz w:val="20"/>
          <w:szCs w:val="20"/>
        </w:rPr>
        <w:t>Intermodal terminals. Intermodal terminals in Europe [online cit.: 2020-04-20]. Avaible from: http://www.intermodal-terminals.eu/database/terminal/view/id/127</w:t>
      </w:r>
    </w:p>
    <w:p w:rsidR="0095718D" w:rsidRPr="00D22DE3" w:rsidRDefault="0095718D" w:rsidP="00D22DE3">
      <w:pPr>
        <w:pStyle w:val="Odstavecseseznamem"/>
        <w:numPr>
          <w:ilvl w:val="0"/>
          <w:numId w:val="9"/>
        </w:numPr>
        <w:ind w:left="284" w:hanging="284"/>
        <w:jc w:val="both"/>
        <w:rPr>
          <w:rFonts w:ascii="Times New Roman" w:hAnsi="Times New Roman"/>
          <w:sz w:val="20"/>
          <w:szCs w:val="20"/>
          <w:shd w:val="clear" w:color="auto" w:fill="FFFFFF"/>
        </w:rPr>
      </w:pPr>
      <w:r w:rsidRPr="00D22DE3">
        <w:rPr>
          <w:rFonts w:ascii="Times New Roman" w:hAnsi="Times New Roman"/>
          <w:b/>
          <w:sz w:val="20"/>
          <w:szCs w:val="20"/>
          <w:shd w:val="clear" w:color="auto" w:fill="FFFFFF"/>
        </w:rPr>
        <w:t>Chochol</w:t>
      </w:r>
      <w:r w:rsidR="00DF2B6E">
        <w:rPr>
          <w:rFonts w:ascii="Times New Roman" w:hAnsi="Times New Roman"/>
          <w:b/>
          <w:sz w:val="20"/>
          <w:szCs w:val="20"/>
          <w:shd w:val="clear" w:color="auto" w:fill="FFFFFF"/>
        </w:rPr>
        <w:t>ac</w:t>
      </w:r>
      <w:r w:rsidRPr="00D22DE3">
        <w:rPr>
          <w:rFonts w:ascii="Times New Roman" w:hAnsi="Times New Roman"/>
          <w:b/>
          <w:sz w:val="20"/>
          <w:szCs w:val="20"/>
          <w:shd w:val="clear" w:color="auto" w:fill="FFFFFF"/>
        </w:rPr>
        <w:t>, J.; Sommerauerov</w:t>
      </w:r>
      <w:r w:rsidR="00DF2B6E">
        <w:rPr>
          <w:rFonts w:ascii="Times New Roman" w:hAnsi="Times New Roman"/>
          <w:b/>
          <w:sz w:val="20"/>
          <w:szCs w:val="20"/>
          <w:shd w:val="clear" w:color="auto" w:fill="FFFFFF"/>
        </w:rPr>
        <w:t>a</w:t>
      </w:r>
      <w:r w:rsidRPr="00D22DE3">
        <w:rPr>
          <w:rFonts w:ascii="Times New Roman" w:hAnsi="Times New Roman"/>
          <w:b/>
          <w:sz w:val="20"/>
          <w:szCs w:val="20"/>
          <w:shd w:val="clear" w:color="auto" w:fill="FFFFFF"/>
        </w:rPr>
        <w:t>, D.; Hyr</w:t>
      </w:r>
      <w:r w:rsidR="00DF2B6E">
        <w:rPr>
          <w:rFonts w:ascii="Times New Roman" w:hAnsi="Times New Roman"/>
          <w:b/>
          <w:sz w:val="20"/>
          <w:szCs w:val="20"/>
          <w:shd w:val="clear" w:color="auto" w:fill="FFFFFF"/>
        </w:rPr>
        <w:t>s</w:t>
      </w:r>
      <w:r w:rsidRPr="00D22DE3">
        <w:rPr>
          <w:rFonts w:ascii="Times New Roman" w:hAnsi="Times New Roman"/>
          <w:b/>
          <w:sz w:val="20"/>
          <w:szCs w:val="20"/>
          <w:shd w:val="clear" w:color="auto" w:fill="FFFFFF"/>
        </w:rPr>
        <w:t>lov</w:t>
      </w:r>
      <w:r w:rsidR="00DF2B6E">
        <w:rPr>
          <w:rFonts w:ascii="Times New Roman" w:hAnsi="Times New Roman"/>
          <w:b/>
          <w:sz w:val="20"/>
          <w:szCs w:val="20"/>
          <w:shd w:val="clear" w:color="auto" w:fill="FFFFFF"/>
        </w:rPr>
        <w:t>a</w:t>
      </w:r>
      <w:r w:rsidRPr="00D22DE3">
        <w:rPr>
          <w:rFonts w:ascii="Times New Roman" w:hAnsi="Times New Roman"/>
          <w:b/>
          <w:sz w:val="20"/>
          <w:szCs w:val="20"/>
          <w:shd w:val="clear" w:color="auto" w:fill="FFFFFF"/>
        </w:rPr>
        <w:t>, J.</w:t>
      </w:r>
      <w:r w:rsidRPr="00D22DE3">
        <w:rPr>
          <w:rFonts w:ascii="Times New Roman" w:hAnsi="Times New Roman"/>
          <w:sz w:val="20"/>
          <w:szCs w:val="20"/>
          <w:shd w:val="clear" w:color="auto" w:fill="FFFFFF"/>
        </w:rPr>
        <w:t xml:space="preserve"> 2017. Analysis of Combined Transport in the Czech Republic in relation with CSR. In </w:t>
      </w:r>
      <w:r w:rsidRPr="00ED60CD">
        <w:rPr>
          <w:rStyle w:val="Zdraznn"/>
          <w:rFonts w:ascii="Times New Roman" w:hAnsi="Times New Roman"/>
          <w:i w:val="0"/>
          <w:sz w:val="20"/>
          <w:szCs w:val="20"/>
          <w:shd w:val="clear" w:color="auto" w:fill="FFFFFF"/>
        </w:rPr>
        <w:t>Transport Means: Proceedings of the International Conference</w:t>
      </w:r>
      <w:r w:rsidRPr="00ED60CD">
        <w:rPr>
          <w:rFonts w:ascii="Times New Roman" w:hAnsi="Times New Roman"/>
          <w:i/>
          <w:sz w:val="20"/>
          <w:szCs w:val="20"/>
          <w:shd w:val="clear" w:color="auto" w:fill="FFFFFF"/>
        </w:rPr>
        <w:t>.</w:t>
      </w:r>
      <w:r w:rsidRPr="00D22DE3">
        <w:rPr>
          <w:rFonts w:ascii="Times New Roman" w:hAnsi="Times New Roman"/>
          <w:sz w:val="20"/>
          <w:szCs w:val="20"/>
          <w:shd w:val="clear" w:color="auto" w:fill="FFFFFF"/>
        </w:rPr>
        <w:t xml:space="preserve"> Kaunas: Kaunas University of Technology, 424-429 p.</w:t>
      </w:r>
    </w:p>
    <w:p w:rsidR="0095718D" w:rsidRPr="00D22DE3" w:rsidRDefault="0095718D" w:rsidP="00D22DE3">
      <w:pPr>
        <w:pStyle w:val="Odstavecseseznamem"/>
        <w:widowControl w:val="0"/>
        <w:numPr>
          <w:ilvl w:val="0"/>
          <w:numId w:val="9"/>
        </w:numPr>
        <w:ind w:left="284" w:hanging="284"/>
        <w:jc w:val="both"/>
        <w:rPr>
          <w:rFonts w:ascii="Times New Roman" w:hAnsi="Times New Roman"/>
          <w:sz w:val="20"/>
          <w:szCs w:val="20"/>
          <w:shd w:val="clear" w:color="auto" w:fill="FFFFFF"/>
        </w:rPr>
      </w:pPr>
      <w:r w:rsidRPr="00D22DE3">
        <w:rPr>
          <w:rFonts w:ascii="Times New Roman" w:hAnsi="Times New Roman"/>
          <w:sz w:val="20"/>
          <w:szCs w:val="20"/>
          <w:shd w:val="clear" w:color="auto" w:fill="FFFFFF"/>
        </w:rPr>
        <w:t>Eurostat. Goods transported by group of goods - from 2008 onwards based on NST 2007. [online cit.: 2019-02-25]. Available from: http://appsso.eurostat.ec.europa.eu/nui/show.do?dataset=rail_go_grpgood&amp;lang=en</w:t>
      </w:r>
    </w:p>
    <w:p w:rsidR="0095718D" w:rsidRPr="00D22DE3" w:rsidRDefault="0095718D" w:rsidP="00D22DE3">
      <w:pPr>
        <w:pStyle w:val="Odstavecseseznamem"/>
        <w:widowControl w:val="0"/>
        <w:numPr>
          <w:ilvl w:val="0"/>
          <w:numId w:val="9"/>
        </w:numPr>
        <w:ind w:left="284" w:hanging="284"/>
        <w:jc w:val="both"/>
        <w:rPr>
          <w:rFonts w:ascii="Times New Roman" w:hAnsi="Times New Roman"/>
          <w:sz w:val="20"/>
          <w:szCs w:val="20"/>
          <w:shd w:val="clear" w:color="auto" w:fill="FFFFFF"/>
        </w:rPr>
      </w:pPr>
      <w:r w:rsidRPr="00D22DE3">
        <w:rPr>
          <w:rFonts w:ascii="Times New Roman" w:hAnsi="Times New Roman"/>
          <w:sz w:val="20"/>
          <w:szCs w:val="20"/>
          <w:shd w:val="clear" w:color="auto" w:fill="FFFFFF"/>
        </w:rPr>
        <w:t>UIRR. 2019. Combined Transport: Map of the codified lines for Semi-Trailers. [online cit.: 2019-04-18]. Available from: http://www.hupac.com/Map-of-codified-rail-lines-2018-2e4f2300</w:t>
      </w:r>
    </w:p>
    <w:p w:rsidR="0095718D" w:rsidRPr="00D22DE3" w:rsidRDefault="0095718D" w:rsidP="00D22DE3">
      <w:pPr>
        <w:pStyle w:val="Odstavecseseznamem"/>
        <w:numPr>
          <w:ilvl w:val="0"/>
          <w:numId w:val="9"/>
        </w:numPr>
        <w:suppressAutoHyphens/>
        <w:spacing w:before="60"/>
        <w:ind w:left="284" w:hanging="284"/>
        <w:jc w:val="both"/>
        <w:rPr>
          <w:rFonts w:ascii="Times New Roman" w:hAnsi="Times New Roman"/>
          <w:sz w:val="20"/>
          <w:szCs w:val="20"/>
        </w:rPr>
      </w:pPr>
      <w:r w:rsidRPr="00D22DE3">
        <w:rPr>
          <w:rFonts w:ascii="Times New Roman" w:hAnsi="Times New Roman"/>
          <w:b/>
          <w:sz w:val="20"/>
          <w:szCs w:val="20"/>
        </w:rPr>
        <w:t>Lauermann, D.</w:t>
      </w:r>
      <w:r w:rsidRPr="00D22DE3">
        <w:rPr>
          <w:rFonts w:ascii="Times New Roman" w:hAnsi="Times New Roman"/>
          <w:sz w:val="20"/>
          <w:szCs w:val="20"/>
        </w:rPr>
        <w:t xml:space="preserve"> </w:t>
      </w:r>
      <w:r w:rsidR="00D22DE3" w:rsidRPr="00D22DE3">
        <w:rPr>
          <w:rFonts w:ascii="Times New Roman" w:hAnsi="Times New Roman"/>
          <w:sz w:val="20"/>
          <w:szCs w:val="20"/>
        </w:rPr>
        <w:t xml:space="preserve">2020. </w:t>
      </w:r>
      <w:r w:rsidR="00D22DE3" w:rsidRPr="00D22DE3">
        <w:rPr>
          <w:rFonts w:ascii="Times New Roman" w:hAnsi="Times New Roman"/>
          <w:sz w:val="20"/>
          <w:szCs w:val="20"/>
          <w:shd w:val="clear" w:color="auto" w:fill="FFFFFF"/>
        </w:rPr>
        <w:t>The comparison of current rail transport of goods in standard railway cars with transport of goods in selected intermodal transport unit on the selected route</w:t>
      </w:r>
      <w:r w:rsidRPr="00D22DE3">
        <w:rPr>
          <w:rFonts w:ascii="Times New Roman" w:hAnsi="Times New Roman"/>
          <w:sz w:val="20"/>
          <w:szCs w:val="20"/>
        </w:rPr>
        <w:t>, University of Pardubice, 5</w:t>
      </w:r>
      <w:r w:rsidR="00D22DE3" w:rsidRPr="00D22DE3">
        <w:rPr>
          <w:rFonts w:ascii="Times New Roman" w:hAnsi="Times New Roman"/>
          <w:sz w:val="20"/>
          <w:szCs w:val="20"/>
        </w:rPr>
        <w:t>6</w:t>
      </w:r>
      <w:r w:rsidRPr="00D22DE3">
        <w:rPr>
          <w:rFonts w:ascii="Times New Roman" w:hAnsi="Times New Roman"/>
          <w:sz w:val="20"/>
          <w:szCs w:val="20"/>
        </w:rPr>
        <w:t xml:space="preserve"> p. (in Czech).</w:t>
      </w:r>
    </w:p>
    <w:p w:rsidR="000B2B7A" w:rsidRPr="00D22DE3" w:rsidRDefault="000B2B7A" w:rsidP="00D22DE3">
      <w:pPr>
        <w:pStyle w:val="Odstavecseseznamem"/>
        <w:numPr>
          <w:ilvl w:val="0"/>
          <w:numId w:val="9"/>
        </w:numPr>
        <w:suppressAutoHyphens/>
        <w:spacing w:before="60"/>
        <w:ind w:left="284" w:hanging="284"/>
        <w:jc w:val="both"/>
        <w:rPr>
          <w:rFonts w:ascii="Times New Roman" w:hAnsi="Times New Roman"/>
          <w:sz w:val="20"/>
          <w:szCs w:val="20"/>
        </w:rPr>
      </w:pPr>
      <w:r w:rsidRPr="00D22DE3">
        <w:rPr>
          <w:rFonts w:ascii="Times New Roman" w:hAnsi="Times New Roman"/>
          <w:b/>
          <w:sz w:val="20"/>
          <w:szCs w:val="20"/>
        </w:rPr>
        <w:t>Macharis, C.; Bontekoning, Y. M.</w:t>
      </w:r>
      <w:r w:rsidRPr="00D22DE3">
        <w:rPr>
          <w:rFonts w:ascii="Times New Roman" w:hAnsi="Times New Roman"/>
          <w:sz w:val="20"/>
          <w:szCs w:val="20"/>
        </w:rPr>
        <w:t xml:space="preserve"> 2004. Opportunities for OR in Intermodal Freight Transport Research: A review. European J. of Operational Research. vol. 153. 400-416</w:t>
      </w:r>
      <w:r w:rsidR="00ED60CD">
        <w:rPr>
          <w:rFonts w:ascii="Times New Roman" w:hAnsi="Times New Roman"/>
          <w:sz w:val="20"/>
          <w:szCs w:val="20"/>
        </w:rPr>
        <w:t xml:space="preserve"> p</w:t>
      </w:r>
      <w:r w:rsidRPr="00D22DE3">
        <w:rPr>
          <w:rFonts w:ascii="Times New Roman" w:hAnsi="Times New Roman"/>
          <w:sz w:val="20"/>
          <w:szCs w:val="20"/>
        </w:rPr>
        <w:t>.</w:t>
      </w:r>
    </w:p>
    <w:p w:rsidR="00FF599D" w:rsidRDefault="00FF599D" w:rsidP="00D22DE3">
      <w:pPr>
        <w:pStyle w:val="Odstavecseseznamem"/>
        <w:widowControl w:val="0"/>
        <w:numPr>
          <w:ilvl w:val="0"/>
          <w:numId w:val="9"/>
        </w:numPr>
        <w:suppressAutoHyphens/>
        <w:spacing w:before="60"/>
        <w:ind w:left="284" w:hanging="284"/>
        <w:jc w:val="both"/>
        <w:rPr>
          <w:rFonts w:ascii="Times New Roman" w:hAnsi="Times New Roman"/>
          <w:sz w:val="20"/>
          <w:szCs w:val="20"/>
        </w:rPr>
      </w:pPr>
      <w:r w:rsidRPr="00D22DE3">
        <w:rPr>
          <w:rFonts w:ascii="Times New Roman" w:hAnsi="Times New Roman"/>
          <w:sz w:val="20"/>
          <w:szCs w:val="20"/>
        </w:rPr>
        <w:t>Railway Infrastructure Administration. Statement on national and regional railway. [</w:t>
      </w:r>
      <w:r w:rsidR="008B3674" w:rsidRPr="00D22DE3">
        <w:rPr>
          <w:rFonts w:ascii="Times New Roman" w:hAnsi="Times New Roman"/>
          <w:sz w:val="20"/>
          <w:szCs w:val="20"/>
        </w:rPr>
        <w:t>online cit.: 2020-03-15</w:t>
      </w:r>
      <w:r w:rsidRPr="00D22DE3">
        <w:rPr>
          <w:rFonts w:ascii="Times New Roman" w:hAnsi="Times New Roman"/>
          <w:sz w:val="20"/>
          <w:szCs w:val="20"/>
        </w:rPr>
        <w:t>]</w:t>
      </w:r>
      <w:r w:rsidR="00F7315B">
        <w:rPr>
          <w:rFonts w:ascii="Times New Roman" w:hAnsi="Times New Roman"/>
          <w:sz w:val="20"/>
          <w:szCs w:val="20"/>
        </w:rPr>
        <w:t>.</w:t>
      </w:r>
      <w:r w:rsidRPr="00D22DE3">
        <w:rPr>
          <w:rFonts w:ascii="Times New Roman" w:hAnsi="Times New Roman"/>
          <w:sz w:val="20"/>
          <w:szCs w:val="20"/>
        </w:rPr>
        <w:t xml:space="preserve"> Available </w:t>
      </w:r>
      <w:r w:rsidR="008B3674" w:rsidRPr="00D22DE3">
        <w:rPr>
          <w:rFonts w:ascii="Times New Roman" w:hAnsi="Times New Roman"/>
          <w:sz w:val="20"/>
          <w:szCs w:val="20"/>
        </w:rPr>
        <w:t>from</w:t>
      </w:r>
      <w:r w:rsidRPr="00D22DE3">
        <w:rPr>
          <w:rFonts w:ascii="Times New Roman" w:hAnsi="Times New Roman"/>
          <w:sz w:val="20"/>
          <w:szCs w:val="20"/>
        </w:rPr>
        <w:t>: http://www.szdc.cz</w:t>
      </w:r>
    </w:p>
    <w:p w:rsidR="00C27FC3" w:rsidRPr="00C27FC3" w:rsidRDefault="00C27FC3" w:rsidP="00D22DE3">
      <w:pPr>
        <w:pStyle w:val="Odstavecseseznamem"/>
        <w:widowControl w:val="0"/>
        <w:numPr>
          <w:ilvl w:val="0"/>
          <w:numId w:val="9"/>
        </w:numPr>
        <w:suppressAutoHyphens/>
        <w:spacing w:before="60"/>
        <w:ind w:left="284" w:hanging="284"/>
        <w:jc w:val="both"/>
        <w:rPr>
          <w:rFonts w:ascii="Times New Roman" w:hAnsi="Times New Roman"/>
          <w:sz w:val="20"/>
          <w:szCs w:val="20"/>
        </w:rPr>
      </w:pPr>
      <w:r w:rsidRPr="00C27FC3">
        <w:rPr>
          <w:rFonts w:ascii="Times New Roman" w:hAnsi="Times New Roman"/>
          <w:b/>
          <w:sz w:val="20"/>
          <w:szCs w:val="20"/>
          <w:lang w:eastAsia="ar-SA"/>
        </w:rPr>
        <w:t>S</w:t>
      </w:r>
      <w:hyperlink r:id="rId10" w:tooltip="Show Author Details" w:history="1">
        <w:r w:rsidRPr="00C27FC3">
          <w:rPr>
            <w:rFonts w:ascii="Times New Roman" w:hAnsi="Times New Roman"/>
            <w:b/>
            <w:sz w:val="20"/>
            <w:szCs w:val="20"/>
            <w:lang w:eastAsia="ar-SA"/>
          </w:rPr>
          <w:t>ramek, P.</w:t>
        </w:r>
      </w:hyperlink>
      <w:r w:rsidRPr="00C27FC3">
        <w:rPr>
          <w:rFonts w:ascii="Times New Roman" w:hAnsi="Times New Roman"/>
          <w:b/>
          <w:sz w:val="20"/>
          <w:szCs w:val="20"/>
          <w:lang w:eastAsia="ar-SA"/>
        </w:rPr>
        <w:t>; S</w:t>
      </w:r>
      <w:hyperlink r:id="rId11" w:tooltip="Show Author Details" w:history="1">
        <w:r w:rsidRPr="00C27FC3">
          <w:rPr>
            <w:rFonts w:ascii="Times New Roman" w:hAnsi="Times New Roman"/>
            <w:b/>
            <w:sz w:val="20"/>
            <w:szCs w:val="20"/>
            <w:lang w:eastAsia="ar-SA"/>
          </w:rPr>
          <w:t>iroky, J.</w:t>
        </w:r>
      </w:hyperlink>
      <w:r w:rsidRPr="00C27FC3">
        <w:rPr>
          <w:rFonts w:ascii="Times New Roman" w:hAnsi="Times New Roman"/>
          <w:b/>
          <w:sz w:val="20"/>
          <w:szCs w:val="20"/>
          <w:lang w:eastAsia="ar-SA"/>
        </w:rPr>
        <w:t xml:space="preserve">; </w:t>
      </w:r>
      <w:hyperlink r:id="rId12" w:tooltip="Show Author Details" w:history="1">
        <w:r w:rsidRPr="00C27FC3">
          <w:rPr>
            <w:rFonts w:ascii="Times New Roman" w:hAnsi="Times New Roman"/>
            <w:b/>
            <w:sz w:val="20"/>
            <w:szCs w:val="20"/>
            <w:lang w:eastAsia="ar-SA"/>
          </w:rPr>
          <w:t>Hlavsova, P.</w:t>
        </w:r>
      </w:hyperlink>
      <w:r w:rsidRPr="00C27FC3">
        <w:rPr>
          <w:rFonts w:ascii="Times New Roman" w:hAnsi="Times New Roman"/>
          <w:sz w:val="20"/>
          <w:szCs w:val="20"/>
          <w:lang w:eastAsia="ar-SA"/>
        </w:rPr>
        <w:t xml:space="preserve"> 2018. Capacity range-definition and calculation, </w:t>
      </w:r>
      <w:hyperlink r:id="rId13" w:tooltip="Go to the information page for this source" w:history="1">
        <w:r w:rsidRPr="00C27FC3">
          <w:rPr>
            <w:rFonts w:ascii="Times New Roman" w:hAnsi="Times New Roman"/>
            <w:sz w:val="20"/>
            <w:szCs w:val="20"/>
            <w:lang w:eastAsia="ar-SA"/>
          </w:rPr>
          <w:t>MATEC Web of Conferences</w:t>
        </w:r>
      </w:hyperlink>
      <w:r w:rsidRPr="00C27FC3">
        <w:rPr>
          <w:rStyle w:val="list-group-item"/>
          <w:rFonts w:ascii="Times New Roman" w:hAnsi="Times New Roman"/>
          <w:color w:val="323232"/>
          <w:sz w:val="20"/>
          <w:szCs w:val="20"/>
          <w:bdr w:val="none" w:sz="0" w:space="0" w:color="auto" w:frame="1"/>
        </w:rPr>
        <w:t>, Volume 235, HORT 2018; Strecno; Slovakia</w:t>
      </w:r>
      <w:r w:rsidR="003C3294">
        <w:rPr>
          <w:rStyle w:val="list-group-item"/>
          <w:rFonts w:ascii="Times New Roman" w:hAnsi="Times New Roman"/>
          <w:color w:val="323232"/>
          <w:sz w:val="20"/>
          <w:szCs w:val="20"/>
          <w:bdr w:val="none" w:sz="0" w:space="0" w:color="auto" w:frame="1"/>
        </w:rPr>
        <w:t>. 1-6 p.</w:t>
      </w:r>
    </w:p>
    <w:sectPr w:rsidR="00C27FC3" w:rsidRPr="00C27FC3" w:rsidSect="00865912">
      <w:headerReference w:type="even" r:id="rId14"/>
      <w:pgSz w:w="11907" w:h="16840" w:code="9"/>
      <w:pgMar w:top="1134" w:right="1134" w:bottom="1134" w:left="1134" w:header="720" w:footer="720" w:gutter="0"/>
      <w:pgNumType w:start="1"/>
      <w:cols w:space="672"/>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346D57" w:rsidRDefault="00346D57">
      <w:r>
        <w:separator/>
      </w:r>
    </w:p>
  </w:endnote>
  <w:endnote w:type="continuationSeparator" w:id="0">
    <w:p w:rsidR="00346D57" w:rsidRDefault="00346D5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Helvetica">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Calibri Light">
    <w:panose1 w:val="020F0302020204030204"/>
    <w:charset w:val="EE"/>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346D57" w:rsidRDefault="00346D57">
      <w:r>
        <w:separator/>
      </w:r>
    </w:p>
  </w:footnote>
  <w:footnote w:type="continuationSeparator" w:id="0">
    <w:p w:rsidR="00346D57" w:rsidRDefault="00346D5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F599D" w:rsidRDefault="00FF599D">
    <w:pPr>
      <w:pStyle w:val="Zhlav"/>
      <w:framePr w:wrap="around" w:vAnchor="text" w:hAnchor="margin" w:xAlign="center" w:y="1"/>
      <w:rPr>
        <w:rStyle w:val="slostrnky"/>
      </w:rPr>
    </w:pPr>
    <w:r>
      <w:rPr>
        <w:rStyle w:val="slostrnky"/>
      </w:rPr>
      <w:fldChar w:fldCharType="begin"/>
    </w:r>
    <w:r>
      <w:rPr>
        <w:rStyle w:val="slostrnky"/>
      </w:rPr>
      <w:instrText xml:space="preserve">PAGE  </w:instrText>
    </w:r>
    <w:r>
      <w:rPr>
        <w:rStyle w:val="slostrnky"/>
      </w:rPr>
      <w:fldChar w:fldCharType="end"/>
    </w:r>
  </w:p>
  <w:p w:rsidR="00FF599D" w:rsidRDefault="00FF599D">
    <w:pPr>
      <w:pStyle w:val="Zhlav"/>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F0C6C44"/>
    <w:multiLevelType w:val="hybridMultilevel"/>
    <w:tmpl w:val="6F22E956"/>
    <w:lvl w:ilvl="0" w:tplc="0405000F">
      <w:start w:val="1"/>
      <w:numFmt w:val="decimal"/>
      <w:lvlText w:val="%1."/>
      <w:lvlJc w:val="left"/>
      <w:pPr>
        <w:ind w:left="360" w:hanging="360"/>
      </w:pPr>
      <w:rPr>
        <w:rFonts w:hint="default"/>
      </w:rPr>
    </w:lvl>
    <w:lvl w:ilvl="1" w:tplc="04050003" w:tentative="1">
      <w:start w:val="1"/>
      <w:numFmt w:val="bullet"/>
      <w:lvlText w:val="o"/>
      <w:lvlJc w:val="left"/>
      <w:pPr>
        <w:ind w:left="1080" w:hanging="360"/>
      </w:pPr>
      <w:rPr>
        <w:rFonts w:ascii="Courier New" w:hAnsi="Courier New" w:cs="Courier New" w:hint="default"/>
      </w:rPr>
    </w:lvl>
    <w:lvl w:ilvl="2" w:tplc="04050005" w:tentative="1">
      <w:start w:val="1"/>
      <w:numFmt w:val="bullet"/>
      <w:lvlText w:val=""/>
      <w:lvlJc w:val="left"/>
      <w:pPr>
        <w:ind w:left="1800" w:hanging="360"/>
      </w:pPr>
      <w:rPr>
        <w:rFonts w:ascii="Wingdings" w:hAnsi="Wingdings" w:hint="default"/>
      </w:rPr>
    </w:lvl>
    <w:lvl w:ilvl="3" w:tplc="04050001" w:tentative="1">
      <w:start w:val="1"/>
      <w:numFmt w:val="bullet"/>
      <w:lvlText w:val=""/>
      <w:lvlJc w:val="left"/>
      <w:pPr>
        <w:ind w:left="2520" w:hanging="360"/>
      </w:pPr>
      <w:rPr>
        <w:rFonts w:ascii="Symbol" w:hAnsi="Symbol" w:hint="default"/>
      </w:rPr>
    </w:lvl>
    <w:lvl w:ilvl="4" w:tplc="04050003" w:tentative="1">
      <w:start w:val="1"/>
      <w:numFmt w:val="bullet"/>
      <w:lvlText w:val="o"/>
      <w:lvlJc w:val="left"/>
      <w:pPr>
        <w:ind w:left="3240" w:hanging="360"/>
      </w:pPr>
      <w:rPr>
        <w:rFonts w:ascii="Courier New" w:hAnsi="Courier New" w:cs="Courier New" w:hint="default"/>
      </w:rPr>
    </w:lvl>
    <w:lvl w:ilvl="5" w:tplc="04050005" w:tentative="1">
      <w:start w:val="1"/>
      <w:numFmt w:val="bullet"/>
      <w:lvlText w:val=""/>
      <w:lvlJc w:val="left"/>
      <w:pPr>
        <w:ind w:left="3960" w:hanging="360"/>
      </w:pPr>
      <w:rPr>
        <w:rFonts w:ascii="Wingdings" w:hAnsi="Wingdings" w:hint="default"/>
      </w:rPr>
    </w:lvl>
    <w:lvl w:ilvl="6" w:tplc="04050001" w:tentative="1">
      <w:start w:val="1"/>
      <w:numFmt w:val="bullet"/>
      <w:lvlText w:val=""/>
      <w:lvlJc w:val="left"/>
      <w:pPr>
        <w:ind w:left="4680" w:hanging="360"/>
      </w:pPr>
      <w:rPr>
        <w:rFonts w:ascii="Symbol" w:hAnsi="Symbol" w:hint="default"/>
      </w:rPr>
    </w:lvl>
    <w:lvl w:ilvl="7" w:tplc="04050003" w:tentative="1">
      <w:start w:val="1"/>
      <w:numFmt w:val="bullet"/>
      <w:lvlText w:val="o"/>
      <w:lvlJc w:val="left"/>
      <w:pPr>
        <w:ind w:left="5400" w:hanging="360"/>
      </w:pPr>
      <w:rPr>
        <w:rFonts w:ascii="Courier New" w:hAnsi="Courier New" w:cs="Courier New" w:hint="default"/>
      </w:rPr>
    </w:lvl>
    <w:lvl w:ilvl="8" w:tplc="04050005" w:tentative="1">
      <w:start w:val="1"/>
      <w:numFmt w:val="bullet"/>
      <w:lvlText w:val=""/>
      <w:lvlJc w:val="left"/>
      <w:pPr>
        <w:ind w:left="6120" w:hanging="360"/>
      </w:pPr>
      <w:rPr>
        <w:rFonts w:ascii="Wingdings" w:hAnsi="Wingdings" w:hint="default"/>
      </w:rPr>
    </w:lvl>
  </w:abstractNum>
  <w:abstractNum w:abstractNumId="1" w15:restartNumberingAfterBreak="0">
    <w:nsid w:val="30E32BE2"/>
    <w:multiLevelType w:val="hybridMultilevel"/>
    <w:tmpl w:val="4E428DB0"/>
    <w:lvl w:ilvl="0" w:tplc="C7C20D8C">
      <w:start w:val="1"/>
      <w:numFmt w:val="decimal"/>
      <w:lvlText w:val="%1."/>
      <w:lvlJc w:val="left"/>
      <w:pPr>
        <w:tabs>
          <w:tab w:val="num" w:pos="1440"/>
        </w:tabs>
        <w:ind w:left="1440" w:hanging="360"/>
      </w:pPr>
    </w:lvl>
    <w:lvl w:ilvl="1" w:tplc="1BE2ECDC" w:tentative="1">
      <w:start w:val="1"/>
      <w:numFmt w:val="lowerLetter"/>
      <w:lvlText w:val="%2."/>
      <w:lvlJc w:val="left"/>
      <w:pPr>
        <w:tabs>
          <w:tab w:val="num" w:pos="2160"/>
        </w:tabs>
        <w:ind w:left="2160" w:hanging="360"/>
      </w:pPr>
    </w:lvl>
    <w:lvl w:ilvl="2" w:tplc="4CA49A8C" w:tentative="1">
      <w:start w:val="1"/>
      <w:numFmt w:val="lowerRoman"/>
      <w:lvlText w:val="%3."/>
      <w:lvlJc w:val="right"/>
      <w:pPr>
        <w:tabs>
          <w:tab w:val="num" w:pos="2880"/>
        </w:tabs>
        <w:ind w:left="2880" w:hanging="180"/>
      </w:pPr>
    </w:lvl>
    <w:lvl w:ilvl="3" w:tplc="6AB039B8" w:tentative="1">
      <w:start w:val="1"/>
      <w:numFmt w:val="decimal"/>
      <w:lvlText w:val="%4."/>
      <w:lvlJc w:val="left"/>
      <w:pPr>
        <w:tabs>
          <w:tab w:val="num" w:pos="3600"/>
        </w:tabs>
        <w:ind w:left="3600" w:hanging="360"/>
      </w:pPr>
    </w:lvl>
    <w:lvl w:ilvl="4" w:tplc="9A1CB75C" w:tentative="1">
      <w:start w:val="1"/>
      <w:numFmt w:val="lowerLetter"/>
      <w:lvlText w:val="%5."/>
      <w:lvlJc w:val="left"/>
      <w:pPr>
        <w:tabs>
          <w:tab w:val="num" w:pos="4320"/>
        </w:tabs>
        <w:ind w:left="4320" w:hanging="360"/>
      </w:pPr>
    </w:lvl>
    <w:lvl w:ilvl="5" w:tplc="C1EAD8EA" w:tentative="1">
      <w:start w:val="1"/>
      <w:numFmt w:val="lowerRoman"/>
      <w:lvlText w:val="%6."/>
      <w:lvlJc w:val="right"/>
      <w:pPr>
        <w:tabs>
          <w:tab w:val="num" w:pos="5040"/>
        </w:tabs>
        <w:ind w:left="5040" w:hanging="180"/>
      </w:pPr>
    </w:lvl>
    <w:lvl w:ilvl="6" w:tplc="1C52DE84" w:tentative="1">
      <w:start w:val="1"/>
      <w:numFmt w:val="decimal"/>
      <w:lvlText w:val="%7."/>
      <w:lvlJc w:val="left"/>
      <w:pPr>
        <w:tabs>
          <w:tab w:val="num" w:pos="5760"/>
        </w:tabs>
        <w:ind w:left="5760" w:hanging="360"/>
      </w:pPr>
    </w:lvl>
    <w:lvl w:ilvl="7" w:tplc="2A42B3DA" w:tentative="1">
      <w:start w:val="1"/>
      <w:numFmt w:val="lowerLetter"/>
      <w:lvlText w:val="%8."/>
      <w:lvlJc w:val="left"/>
      <w:pPr>
        <w:tabs>
          <w:tab w:val="num" w:pos="6480"/>
        </w:tabs>
        <w:ind w:left="6480" w:hanging="360"/>
      </w:pPr>
    </w:lvl>
    <w:lvl w:ilvl="8" w:tplc="3DF08688" w:tentative="1">
      <w:start w:val="1"/>
      <w:numFmt w:val="lowerRoman"/>
      <w:lvlText w:val="%9."/>
      <w:lvlJc w:val="right"/>
      <w:pPr>
        <w:tabs>
          <w:tab w:val="num" w:pos="7200"/>
        </w:tabs>
        <w:ind w:left="7200" w:hanging="180"/>
      </w:pPr>
    </w:lvl>
  </w:abstractNum>
  <w:abstractNum w:abstractNumId="2" w15:restartNumberingAfterBreak="0">
    <w:nsid w:val="3CC2129B"/>
    <w:multiLevelType w:val="hybridMultilevel"/>
    <w:tmpl w:val="FEC68CAC"/>
    <w:lvl w:ilvl="0" w:tplc="E3D4F3C8">
      <w:numFmt w:val="bullet"/>
      <w:lvlText w:val="•"/>
      <w:lvlJc w:val="left"/>
      <w:pPr>
        <w:ind w:left="360" w:hanging="360"/>
      </w:pPr>
      <w:rPr>
        <w:rFonts w:ascii="Times New Roman" w:eastAsiaTheme="minorHAnsi" w:hAnsi="Times New Roman" w:cs="Times New Roman" w:hint="default"/>
      </w:rPr>
    </w:lvl>
    <w:lvl w:ilvl="1" w:tplc="04050003" w:tentative="1">
      <w:start w:val="1"/>
      <w:numFmt w:val="bullet"/>
      <w:lvlText w:val="o"/>
      <w:lvlJc w:val="left"/>
      <w:pPr>
        <w:ind w:left="1080" w:hanging="360"/>
      </w:pPr>
      <w:rPr>
        <w:rFonts w:ascii="Courier New" w:hAnsi="Courier New" w:cs="Courier New" w:hint="default"/>
      </w:rPr>
    </w:lvl>
    <w:lvl w:ilvl="2" w:tplc="04050005" w:tentative="1">
      <w:start w:val="1"/>
      <w:numFmt w:val="bullet"/>
      <w:lvlText w:val=""/>
      <w:lvlJc w:val="left"/>
      <w:pPr>
        <w:ind w:left="1800" w:hanging="360"/>
      </w:pPr>
      <w:rPr>
        <w:rFonts w:ascii="Wingdings" w:hAnsi="Wingdings" w:hint="default"/>
      </w:rPr>
    </w:lvl>
    <w:lvl w:ilvl="3" w:tplc="04050001" w:tentative="1">
      <w:start w:val="1"/>
      <w:numFmt w:val="bullet"/>
      <w:lvlText w:val=""/>
      <w:lvlJc w:val="left"/>
      <w:pPr>
        <w:ind w:left="2520" w:hanging="360"/>
      </w:pPr>
      <w:rPr>
        <w:rFonts w:ascii="Symbol" w:hAnsi="Symbol" w:hint="default"/>
      </w:rPr>
    </w:lvl>
    <w:lvl w:ilvl="4" w:tplc="04050003" w:tentative="1">
      <w:start w:val="1"/>
      <w:numFmt w:val="bullet"/>
      <w:lvlText w:val="o"/>
      <w:lvlJc w:val="left"/>
      <w:pPr>
        <w:ind w:left="3240" w:hanging="360"/>
      </w:pPr>
      <w:rPr>
        <w:rFonts w:ascii="Courier New" w:hAnsi="Courier New" w:cs="Courier New" w:hint="default"/>
      </w:rPr>
    </w:lvl>
    <w:lvl w:ilvl="5" w:tplc="04050005" w:tentative="1">
      <w:start w:val="1"/>
      <w:numFmt w:val="bullet"/>
      <w:lvlText w:val=""/>
      <w:lvlJc w:val="left"/>
      <w:pPr>
        <w:ind w:left="3960" w:hanging="360"/>
      </w:pPr>
      <w:rPr>
        <w:rFonts w:ascii="Wingdings" w:hAnsi="Wingdings" w:hint="default"/>
      </w:rPr>
    </w:lvl>
    <w:lvl w:ilvl="6" w:tplc="04050001" w:tentative="1">
      <w:start w:val="1"/>
      <w:numFmt w:val="bullet"/>
      <w:lvlText w:val=""/>
      <w:lvlJc w:val="left"/>
      <w:pPr>
        <w:ind w:left="4680" w:hanging="360"/>
      </w:pPr>
      <w:rPr>
        <w:rFonts w:ascii="Symbol" w:hAnsi="Symbol" w:hint="default"/>
      </w:rPr>
    </w:lvl>
    <w:lvl w:ilvl="7" w:tplc="04050003" w:tentative="1">
      <w:start w:val="1"/>
      <w:numFmt w:val="bullet"/>
      <w:lvlText w:val="o"/>
      <w:lvlJc w:val="left"/>
      <w:pPr>
        <w:ind w:left="5400" w:hanging="360"/>
      </w:pPr>
      <w:rPr>
        <w:rFonts w:ascii="Courier New" w:hAnsi="Courier New" w:cs="Courier New" w:hint="default"/>
      </w:rPr>
    </w:lvl>
    <w:lvl w:ilvl="8" w:tplc="04050005" w:tentative="1">
      <w:start w:val="1"/>
      <w:numFmt w:val="bullet"/>
      <w:lvlText w:val=""/>
      <w:lvlJc w:val="left"/>
      <w:pPr>
        <w:ind w:left="6120" w:hanging="360"/>
      </w:pPr>
      <w:rPr>
        <w:rFonts w:ascii="Wingdings" w:hAnsi="Wingdings" w:hint="default"/>
      </w:rPr>
    </w:lvl>
  </w:abstractNum>
  <w:abstractNum w:abstractNumId="3" w15:restartNumberingAfterBreak="0">
    <w:nsid w:val="40DD2ABD"/>
    <w:multiLevelType w:val="hybridMultilevel"/>
    <w:tmpl w:val="AD3A25CE"/>
    <w:lvl w:ilvl="0" w:tplc="930A6876">
      <w:start w:val="1"/>
      <w:numFmt w:val="decimal"/>
      <w:lvlText w:val="%1."/>
      <w:lvlJc w:val="left"/>
      <w:pPr>
        <w:tabs>
          <w:tab w:val="num" w:pos="726"/>
        </w:tabs>
        <w:ind w:left="726" w:hanging="360"/>
      </w:pPr>
    </w:lvl>
    <w:lvl w:ilvl="1" w:tplc="E9F62EDA" w:tentative="1">
      <w:start w:val="1"/>
      <w:numFmt w:val="lowerLetter"/>
      <w:lvlText w:val="%2."/>
      <w:lvlJc w:val="left"/>
      <w:pPr>
        <w:tabs>
          <w:tab w:val="num" w:pos="1446"/>
        </w:tabs>
        <w:ind w:left="1446" w:hanging="360"/>
      </w:pPr>
    </w:lvl>
    <w:lvl w:ilvl="2" w:tplc="C5A628F4" w:tentative="1">
      <w:start w:val="1"/>
      <w:numFmt w:val="lowerRoman"/>
      <w:lvlText w:val="%3."/>
      <w:lvlJc w:val="right"/>
      <w:pPr>
        <w:tabs>
          <w:tab w:val="num" w:pos="2166"/>
        </w:tabs>
        <w:ind w:left="2166" w:hanging="180"/>
      </w:pPr>
    </w:lvl>
    <w:lvl w:ilvl="3" w:tplc="6B006D28" w:tentative="1">
      <w:start w:val="1"/>
      <w:numFmt w:val="decimal"/>
      <w:lvlText w:val="%4."/>
      <w:lvlJc w:val="left"/>
      <w:pPr>
        <w:tabs>
          <w:tab w:val="num" w:pos="2886"/>
        </w:tabs>
        <w:ind w:left="2886" w:hanging="360"/>
      </w:pPr>
    </w:lvl>
    <w:lvl w:ilvl="4" w:tplc="F0AEECDA" w:tentative="1">
      <w:start w:val="1"/>
      <w:numFmt w:val="lowerLetter"/>
      <w:lvlText w:val="%5."/>
      <w:lvlJc w:val="left"/>
      <w:pPr>
        <w:tabs>
          <w:tab w:val="num" w:pos="3606"/>
        </w:tabs>
        <w:ind w:left="3606" w:hanging="360"/>
      </w:pPr>
    </w:lvl>
    <w:lvl w:ilvl="5" w:tplc="1F9C2B44" w:tentative="1">
      <w:start w:val="1"/>
      <w:numFmt w:val="lowerRoman"/>
      <w:lvlText w:val="%6."/>
      <w:lvlJc w:val="right"/>
      <w:pPr>
        <w:tabs>
          <w:tab w:val="num" w:pos="4326"/>
        </w:tabs>
        <w:ind w:left="4326" w:hanging="180"/>
      </w:pPr>
    </w:lvl>
    <w:lvl w:ilvl="6" w:tplc="137614BA" w:tentative="1">
      <w:start w:val="1"/>
      <w:numFmt w:val="decimal"/>
      <w:lvlText w:val="%7."/>
      <w:lvlJc w:val="left"/>
      <w:pPr>
        <w:tabs>
          <w:tab w:val="num" w:pos="5046"/>
        </w:tabs>
        <w:ind w:left="5046" w:hanging="360"/>
      </w:pPr>
    </w:lvl>
    <w:lvl w:ilvl="7" w:tplc="AB16E14C" w:tentative="1">
      <w:start w:val="1"/>
      <w:numFmt w:val="lowerLetter"/>
      <w:lvlText w:val="%8."/>
      <w:lvlJc w:val="left"/>
      <w:pPr>
        <w:tabs>
          <w:tab w:val="num" w:pos="5766"/>
        </w:tabs>
        <w:ind w:left="5766" w:hanging="360"/>
      </w:pPr>
    </w:lvl>
    <w:lvl w:ilvl="8" w:tplc="C5AA84EE" w:tentative="1">
      <w:start w:val="1"/>
      <w:numFmt w:val="lowerRoman"/>
      <w:lvlText w:val="%9."/>
      <w:lvlJc w:val="right"/>
      <w:pPr>
        <w:tabs>
          <w:tab w:val="num" w:pos="6486"/>
        </w:tabs>
        <w:ind w:left="6486" w:hanging="180"/>
      </w:pPr>
    </w:lvl>
  </w:abstractNum>
  <w:abstractNum w:abstractNumId="4" w15:restartNumberingAfterBreak="0">
    <w:nsid w:val="523914CB"/>
    <w:multiLevelType w:val="hybridMultilevel"/>
    <w:tmpl w:val="B96E540A"/>
    <w:lvl w:ilvl="0" w:tplc="67B6467C">
      <w:start w:val="1"/>
      <w:numFmt w:val="decimal"/>
      <w:lvlText w:val="%1."/>
      <w:lvlJc w:val="left"/>
      <w:pPr>
        <w:tabs>
          <w:tab w:val="num" w:pos="720"/>
        </w:tabs>
        <w:ind w:left="720" w:hanging="360"/>
      </w:pPr>
      <w:rPr>
        <w:rFonts w:hint="default"/>
      </w:rPr>
    </w:lvl>
    <w:lvl w:ilvl="1" w:tplc="62B07B52" w:tentative="1">
      <w:start w:val="1"/>
      <w:numFmt w:val="lowerLetter"/>
      <w:lvlText w:val="%2."/>
      <w:lvlJc w:val="left"/>
      <w:pPr>
        <w:tabs>
          <w:tab w:val="num" w:pos="1440"/>
        </w:tabs>
        <w:ind w:left="1440" w:hanging="360"/>
      </w:pPr>
    </w:lvl>
    <w:lvl w:ilvl="2" w:tplc="7F9C050A" w:tentative="1">
      <w:start w:val="1"/>
      <w:numFmt w:val="lowerRoman"/>
      <w:lvlText w:val="%3."/>
      <w:lvlJc w:val="right"/>
      <w:pPr>
        <w:tabs>
          <w:tab w:val="num" w:pos="2160"/>
        </w:tabs>
        <w:ind w:left="2160" w:hanging="180"/>
      </w:pPr>
    </w:lvl>
    <w:lvl w:ilvl="3" w:tplc="CE8A2462" w:tentative="1">
      <w:start w:val="1"/>
      <w:numFmt w:val="decimal"/>
      <w:lvlText w:val="%4."/>
      <w:lvlJc w:val="left"/>
      <w:pPr>
        <w:tabs>
          <w:tab w:val="num" w:pos="2880"/>
        </w:tabs>
        <w:ind w:left="2880" w:hanging="360"/>
      </w:pPr>
    </w:lvl>
    <w:lvl w:ilvl="4" w:tplc="14B6DCBC" w:tentative="1">
      <w:start w:val="1"/>
      <w:numFmt w:val="lowerLetter"/>
      <w:lvlText w:val="%5."/>
      <w:lvlJc w:val="left"/>
      <w:pPr>
        <w:tabs>
          <w:tab w:val="num" w:pos="3600"/>
        </w:tabs>
        <w:ind w:left="3600" w:hanging="360"/>
      </w:pPr>
    </w:lvl>
    <w:lvl w:ilvl="5" w:tplc="B476CA26" w:tentative="1">
      <w:start w:val="1"/>
      <w:numFmt w:val="lowerRoman"/>
      <w:lvlText w:val="%6."/>
      <w:lvlJc w:val="right"/>
      <w:pPr>
        <w:tabs>
          <w:tab w:val="num" w:pos="4320"/>
        </w:tabs>
        <w:ind w:left="4320" w:hanging="180"/>
      </w:pPr>
    </w:lvl>
    <w:lvl w:ilvl="6" w:tplc="A45AA65A" w:tentative="1">
      <w:start w:val="1"/>
      <w:numFmt w:val="decimal"/>
      <w:lvlText w:val="%7."/>
      <w:lvlJc w:val="left"/>
      <w:pPr>
        <w:tabs>
          <w:tab w:val="num" w:pos="5040"/>
        </w:tabs>
        <w:ind w:left="5040" w:hanging="360"/>
      </w:pPr>
    </w:lvl>
    <w:lvl w:ilvl="7" w:tplc="5FF6C272" w:tentative="1">
      <w:start w:val="1"/>
      <w:numFmt w:val="lowerLetter"/>
      <w:lvlText w:val="%8."/>
      <w:lvlJc w:val="left"/>
      <w:pPr>
        <w:tabs>
          <w:tab w:val="num" w:pos="5760"/>
        </w:tabs>
        <w:ind w:left="5760" w:hanging="360"/>
      </w:pPr>
    </w:lvl>
    <w:lvl w:ilvl="8" w:tplc="441080E4" w:tentative="1">
      <w:start w:val="1"/>
      <w:numFmt w:val="lowerRoman"/>
      <w:lvlText w:val="%9."/>
      <w:lvlJc w:val="right"/>
      <w:pPr>
        <w:tabs>
          <w:tab w:val="num" w:pos="6480"/>
        </w:tabs>
        <w:ind w:left="6480" w:hanging="180"/>
      </w:pPr>
    </w:lvl>
  </w:abstractNum>
  <w:abstractNum w:abstractNumId="5" w15:restartNumberingAfterBreak="0">
    <w:nsid w:val="5ABF2375"/>
    <w:multiLevelType w:val="hybridMultilevel"/>
    <w:tmpl w:val="C17E89B4"/>
    <w:lvl w:ilvl="0" w:tplc="0405000F">
      <w:start w:val="1"/>
      <w:numFmt w:val="decimal"/>
      <w:lvlText w:val="%1."/>
      <w:lvlJc w:val="left"/>
      <w:pPr>
        <w:ind w:left="360" w:hanging="360"/>
      </w:pPr>
    </w:lvl>
    <w:lvl w:ilvl="1" w:tplc="04050019" w:tentative="1">
      <w:start w:val="1"/>
      <w:numFmt w:val="lowerLetter"/>
      <w:lvlText w:val="%2."/>
      <w:lvlJc w:val="left"/>
      <w:pPr>
        <w:ind w:left="1080" w:hanging="360"/>
      </w:pPr>
    </w:lvl>
    <w:lvl w:ilvl="2" w:tplc="0405001B" w:tentative="1">
      <w:start w:val="1"/>
      <w:numFmt w:val="lowerRoman"/>
      <w:lvlText w:val="%3."/>
      <w:lvlJc w:val="right"/>
      <w:pPr>
        <w:ind w:left="1800" w:hanging="180"/>
      </w:pPr>
    </w:lvl>
    <w:lvl w:ilvl="3" w:tplc="0405000F" w:tentative="1">
      <w:start w:val="1"/>
      <w:numFmt w:val="decimal"/>
      <w:lvlText w:val="%4."/>
      <w:lvlJc w:val="left"/>
      <w:pPr>
        <w:ind w:left="2520" w:hanging="360"/>
      </w:pPr>
    </w:lvl>
    <w:lvl w:ilvl="4" w:tplc="04050019" w:tentative="1">
      <w:start w:val="1"/>
      <w:numFmt w:val="lowerLetter"/>
      <w:lvlText w:val="%5."/>
      <w:lvlJc w:val="left"/>
      <w:pPr>
        <w:ind w:left="3240" w:hanging="360"/>
      </w:pPr>
    </w:lvl>
    <w:lvl w:ilvl="5" w:tplc="0405001B" w:tentative="1">
      <w:start w:val="1"/>
      <w:numFmt w:val="lowerRoman"/>
      <w:lvlText w:val="%6."/>
      <w:lvlJc w:val="right"/>
      <w:pPr>
        <w:ind w:left="3960" w:hanging="180"/>
      </w:pPr>
    </w:lvl>
    <w:lvl w:ilvl="6" w:tplc="0405000F" w:tentative="1">
      <w:start w:val="1"/>
      <w:numFmt w:val="decimal"/>
      <w:lvlText w:val="%7."/>
      <w:lvlJc w:val="left"/>
      <w:pPr>
        <w:ind w:left="4680" w:hanging="360"/>
      </w:pPr>
    </w:lvl>
    <w:lvl w:ilvl="7" w:tplc="04050019" w:tentative="1">
      <w:start w:val="1"/>
      <w:numFmt w:val="lowerLetter"/>
      <w:lvlText w:val="%8."/>
      <w:lvlJc w:val="left"/>
      <w:pPr>
        <w:ind w:left="5400" w:hanging="360"/>
      </w:pPr>
    </w:lvl>
    <w:lvl w:ilvl="8" w:tplc="0405001B" w:tentative="1">
      <w:start w:val="1"/>
      <w:numFmt w:val="lowerRoman"/>
      <w:lvlText w:val="%9."/>
      <w:lvlJc w:val="right"/>
      <w:pPr>
        <w:ind w:left="6120" w:hanging="180"/>
      </w:pPr>
    </w:lvl>
  </w:abstractNum>
  <w:abstractNum w:abstractNumId="6" w15:restartNumberingAfterBreak="0">
    <w:nsid w:val="63F8623B"/>
    <w:multiLevelType w:val="hybridMultilevel"/>
    <w:tmpl w:val="94866EFC"/>
    <w:lvl w:ilvl="0" w:tplc="0405000F">
      <w:start w:val="1"/>
      <w:numFmt w:val="decimal"/>
      <w:lvlText w:val="%1."/>
      <w:lvlJc w:val="left"/>
      <w:pPr>
        <w:ind w:left="360" w:hanging="360"/>
      </w:pPr>
    </w:lvl>
    <w:lvl w:ilvl="1" w:tplc="04050019" w:tentative="1">
      <w:start w:val="1"/>
      <w:numFmt w:val="lowerLetter"/>
      <w:lvlText w:val="%2."/>
      <w:lvlJc w:val="left"/>
      <w:pPr>
        <w:ind w:left="1080" w:hanging="360"/>
      </w:pPr>
    </w:lvl>
    <w:lvl w:ilvl="2" w:tplc="0405001B" w:tentative="1">
      <w:start w:val="1"/>
      <w:numFmt w:val="lowerRoman"/>
      <w:lvlText w:val="%3."/>
      <w:lvlJc w:val="right"/>
      <w:pPr>
        <w:ind w:left="1800" w:hanging="180"/>
      </w:pPr>
    </w:lvl>
    <w:lvl w:ilvl="3" w:tplc="0405000F" w:tentative="1">
      <w:start w:val="1"/>
      <w:numFmt w:val="decimal"/>
      <w:lvlText w:val="%4."/>
      <w:lvlJc w:val="left"/>
      <w:pPr>
        <w:ind w:left="2520" w:hanging="360"/>
      </w:pPr>
    </w:lvl>
    <w:lvl w:ilvl="4" w:tplc="04050019" w:tentative="1">
      <w:start w:val="1"/>
      <w:numFmt w:val="lowerLetter"/>
      <w:lvlText w:val="%5."/>
      <w:lvlJc w:val="left"/>
      <w:pPr>
        <w:ind w:left="3240" w:hanging="360"/>
      </w:pPr>
    </w:lvl>
    <w:lvl w:ilvl="5" w:tplc="0405001B" w:tentative="1">
      <w:start w:val="1"/>
      <w:numFmt w:val="lowerRoman"/>
      <w:lvlText w:val="%6."/>
      <w:lvlJc w:val="right"/>
      <w:pPr>
        <w:ind w:left="3960" w:hanging="180"/>
      </w:pPr>
    </w:lvl>
    <w:lvl w:ilvl="6" w:tplc="0405000F" w:tentative="1">
      <w:start w:val="1"/>
      <w:numFmt w:val="decimal"/>
      <w:lvlText w:val="%7."/>
      <w:lvlJc w:val="left"/>
      <w:pPr>
        <w:ind w:left="4680" w:hanging="360"/>
      </w:pPr>
    </w:lvl>
    <w:lvl w:ilvl="7" w:tplc="04050019" w:tentative="1">
      <w:start w:val="1"/>
      <w:numFmt w:val="lowerLetter"/>
      <w:lvlText w:val="%8."/>
      <w:lvlJc w:val="left"/>
      <w:pPr>
        <w:ind w:left="5400" w:hanging="360"/>
      </w:pPr>
    </w:lvl>
    <w:lvl w:ilvl="8" w:tplc="0405001B" w:tentative="1">
      <w:start w:val="1"/>
      <w:numFmt w:val="lowerRoman"/>
      <w:lvlText w:val="%9."/>
      <w:lvlJc w:val="right"/>
      <w:pPr>
        <w:ind w:left="6120" w:hanging="180"/>
      </w:pPr>
    </w:lvl>
  </w:abstractNum>
  <w:abstractNum w:abstractNumId="7" w15:restartNumberingAfterBreak="0">
    <w:nsid w:val="7A9E6094"/>
    <w:multiLevelType w:val="hybridMultilevel"/>
    <w:tmpl w:val="C17E89B4"/>
    <w:lvl w:ilvl="0" w:tplc="0405000F">
      <w:start w:val="1"/>
      <w:numFmt w:val="decimal"/>
      <w:lvlText w:val="%1."/>
      <w:lvlJc w:val="left"/>
      <w:pPr>
        <w:ind w:left="360" w:hanging="360"/>
      </w:pPr>
    </w:lvl>
    <w:lvl w:ilvl="1" w:tplc="04050019" w:tentative="1">
      <w:start w:val="1"/>
      <w:numFmt w:val="lowerLetter"/>
      <w:lvlText w:val="%2."/>
      <w:lvlJc w:val="left"/>
      <w:pPr>
        <w:ind w:left="1080" w:hanging="360"/>
      </w:pPr>
    </w:lvl>
    <w:lvl w:ilvl="2" w:tplc="0405001B" w:tentative="1">
      <w:start w:val="1"/>
      <w:numFmt w:val="lowerRoman"/>
      <w:lvlText w:val="%3."/>
      <w:lvlJc w:val="right"/>
      <w:pPr>
        <w:ind w:left="1800" w:hanging="180"/>
      </w:pPr>
    </w:lvl>
    <w:lvl w:ilvl="3" w:tplc="0405000F" w:tentative="1">
      <w:start w:val="1"/>
      <w:numFmt w:val="decimal"/>
      <w:lvlText w:val="%4."/>
      <w:lvlJc w:val="left"/>
      <w:pPr>
        <w:ind w:left="2520" w:hanging="360"/>
      </w:pPr>
    </w:lvl>
    <w:lvl w:ilvl="4" w:tplc="04050019" w:tentative="1">
      <w:start w:val="1"/>
      <w:numFmt w:val="lowerLetter"/>
      <w:lvlText w:val="%5."/>
      <w:lvlJc w:val="left"/>
      <w:pPr>
        <w:ind w:left="3240" w:hanging="360"/>
      </w:pPr>
    </w:lvl>
    <w:lvl w:ilvl="5" w:tplc="0405001B" w:tentative="1">
      <w:start w:val="1"/>
      <w:numFmt w:val="lowerRoman"/>
      <w:lvlText w:val="%6."/>
      <w:lvlJc w:val="right"/>
      <w:pPr>
        <w:ind w:left="3960" w:hanging="180"/>
      </w:pPr>
    </w:lvl>
    <w:lvl w:ilvl="6" w:tplc="0405000F" w:tentative="1">
      <w:start w:val="1"/>
      <w:numFmt w:val="decimal"/>
      <w:lvlText w:val="%7."/>
      <w:lvlJc w:val="left"/>
      <w:pPr>
        <w:ind w:left="4680" w:hanging="360"/>
      </w:pPr>
    </w:lvl>
    <w:lvl w:ilvl="7" w:tplc="04050019" w:tentative="1">
      <w:start w:val="1"/>
      <w:numFmt w:val="lowerLetter"/>
      <w:lvlText w:val="%8."/>
      <w:lvlJc w:val="left"/>
      <w:pPr>
        <w:ind w:left="5400" w:hanging="360"/>
      </w:pPr>
    </w:lvl>
    <w:lvl w:ilvl="8" w:tplc="0405001B" w:tentative="1">
      <w:start w:val="1"/>
      <w:numFmt w:val="lowerRoman"/>
      <w:lvlText w:val="%9."/>
      <w:lvlJc w:val="right"/>
      <w:pPr>
        <w:ind w:left="6120" w:hanging="180"/>
      </w:pPr>
    </w:lvl>
  </w:abstractNum>
  <w:abstractNum w:abstractNumId="8" w15:restartNumberingAfterBreak="0">
    <w:nsid w:val="7CBD3513"/>
    <w:multiLevelType w:val="hybridMultilevel"/>
    <w:tmpl w:val="C14E5598"/>
    <w:lvl w:ilvl="0" w:tplc="0405000F">
      <w:start w:val="1"/>
      <w:numFmt w:val="decimal"/>
      <w:lvlText w:val="%1."/>
      <w:lvlJc w:val="left"/>
      <w:pPr>
        <w:ind w:left="360" w:hanging="360"/>
      </w:pPr>
    </w:lvl>
    <w:lvl w:ilvl="1" w:tplc="04050019" w:tentative="1">
      <w:start w:val="1"/>
      <w:numFmt w:val="lowerLetter"/>
      <w:lvlText w:val="%2."/>
      <w:lvlJc w:val="left"/>
      <w:pPr>
        <w:ind w:left="1080" w:hanging="360"/>
      </w:pPr>
    </w:lvl>
    <w:lvl w:ilvl="2" w:tplc="0405001B" w:tentative="1">
      <w:start w:val="1"/>
      <w:numFmt w:val="lowerRoman"/>
      <w:lvlText w:val="%3."/>
      <w:lvlJc w:val="right"/>
      <w:pPr>
        <w:ind w:left="1800" w:hanging="180"/>
      </w:pPr>
    </w:lvl>
    <w:lvl w:ilvl="3" w:tplc="0405000F" w:tentative="1">
      <w:start w:val="1"/>
      <w:numFmt w:val="decimal"/>
      <w:lvlText w:val="%4."/>
      <w:lvlJc w:val="left"/>
      <w:pPr>
        <w:ind w:left="2520" w:hanging="360"/>
      </w:pPr>
    </w:lvl>
    <w:lvl w:ilvl="4" w:tplc="04050019" w:tentative="1">
      <w:start w:val="1"/>
      <w:numFmt w:val="lowerLetter"/>
      <w:lvlText w:val="%5."/>
      <w:lvlJc w:val="left"/>
      <w:pPr>
        <w:ind w:left="3240" w:hanging="360"/>
      </w:pPr>
    </w:lvl>
    <w:lvl w:ilvl="5" w:tplc="0405001B" w:tentative="1">
      <w:start w:val="1"/>
      <w:numFmt w:val="lowerRoman"/>
      <w:lvlText w:val="%6."/>
      <w:lvlJc w:val="right"/>
      <w:pPr>
        <w:ind w:left="3960" w:hanging="180"/>
      </w:pPr>
    </w:lvl>
    <w:lvl w:ilvl="6" w:tplc="0405000F" w:tentative="1">
      <w:start w:val="1"/>
      <w:numFmt w:val="decimal"/>
      <w:lvlText w:val="%7."/>
      <w:lvlJc w:val="left"/>
      <w:pPr>
        <w:ind w:left="4680" w:hanging="360"/>
      </w:pPr>
    </w:lvl>
    <w:lvl w:ilvl="7" w:tplc="04050019" w:tentative="1">
      <w:start w:val="1"/>
      <w:numFmt w:val="lowerLetter"/>
      <w:lvlText w:val="%8."/>
      <w:lvlJc w:val="left"/>
      <w:pPr>
        <w:ind w:left="5400" w:hanging="360"/>
      </w:pPr>
    </w:lvl>
    <w:lvl w:ilvl="8" w:tplc="0405001B" w:tentative="1">
      <w:start w:val="1"/>
      <w:numFmt w:val="lowerRoman"/>
      <w:lvlText w:val="%9."/>
      <w:lvlJc w:val="right"/>
      <w:pPr>
        <w:ind w:left="6120" w:hanging="180"/>
      </w:pPr>
    </w:lvl>
  </w:abstractNum>
  <w:num w:numId="1">
    <w:abstractNumId w:val="4"/>
  </w:num>
  <w:num w:numId="2">
    <w:abstractNumId w:val="1"/>
  </w:num>
  <w:num w:numId="3">
    <w:abstractNumId w:val="3"/>
  </w:num>
  <w:num w:numId="4">
    <w:abstractNumId w:val="2"/>
  </w:num>
  <w:num w:numId="5">
    <w:abstractNumId w:val="0"/>
  </w:num>
  <w:num w:numId="6">
    <w:abstractNumId w:val="7"/>
  </w:num>
  <w:num w:numId="7">
    <w:abstractNumId w:val="6"/>
  </w:num>
  <w:num w:numId="8">
    <w:abstractNumId w:val="8"/>
  </w:num>
  <w:num w:numId="9">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drawingGridHorizontalSpacing w:val="187"/>
  <w:displayVerticalDrawingGridEvery w:val="2"/>
  <w:noPunctuationKerning/>
  <w:characterSpacingControl w:val="doNotCompress"/>
  <w:footnotePr>
    <w:footnote w:id="-1"/>
    <w:footnote w:id="0"/>
  </w:footnotePr>
  <w:endnotePr>
    <w:endnote w:id="-1"/>
    <w:endnote w:id="0"/>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050BC"/>
    <w:rsid w:val="000050BC"/>
    <w:rsid w:val="00010828"/>
    <w:rsid w:val="000248E5"/>
    <w:rsid w:val="000333FC"/>
    <w:rsid w:val="000354A3"/>
    <w:rsid w:val="00055C7A"/>
    <w:rsid w:val="000630C3"/>
    <w:rsid w:val="00064A3E"/>
    <w:rsid w:val="00093239"/>
    <w:rsid w:val="00093355"/>
    <w:rsid w:val="000A0BE4"/>
    <w:rsid w:val="000B2B7A"/>
    <w:rsid w:val="000B4078"/>
    <w:rsid w:val="000B58DC"/>
    <w:rsid w:val="000B687B"/>
    <w:rsid w:val="000D0DAA"/>
    <w:rsid w:val="000D4FE0"/>
    <w:rsid w:val="000D682C"/>
    <w:rsid w:val="000D6A9B"/>
    <w:rsid w:val="000E6D58"/>
    <w:rsid w:val="000F3148"/>
    <w:rsid w:val="000F3DB3"/>
    <w:rsid w:val="00107495"/>
    <w:rsid w:val="0013245F"/>
    <w:rsid w:val="001329D0"/>
    <w:rsid w:val="00150C35"/>
    <w:rsid w:val="0015373A"/>
    <w:rsid w:val="00161492"/>
    <w:rsid w:val="00167413"/>
    <w:rsid w:val="00181706"/>
    <w:rsid w:val="001819F7"/>
    <w:rsid w:val="00197D58"/>
    <w:rsid w:val="001C03AF"/>
    <w:rsid w:val="001D4BAB"/>
    <w:rsid w:val="001F3B24"/>
    <w:rsid w:val="001F68DC"/>
    <w:rsid w:val="00217637"/>
    <w:rsid w:val="00223275"/>
    <w:rsid w:val="00226BAE"/>
    <w:rsid w:val="00231235"/>
    <w:rsid w:val="00233AB3"/>
    <w:rsid w:val="00237A09"/>
    <w:rsid w:val="002A0169"/>
    <w:rsid w:val="002A25A4"/>
    <w:rsid w:val="002A7911"/>
    <w:rsid w:val="002C7DF4"/>
    <w:rsid w:val="002C7E30"/>
    <w:rsid w:val="00305E98"/>
    <w:rsid w:val="003107F6"/>
    <w:rsid w:val="00310DF9"/>
    <w:rsid w:val="003211A0"/>
    <w:rsid w:val="003263AB"/>
    <w:rsid w:val="00326774"/>
    <w:rsid w:val="00346D57"/>
    <w:rsid w:val="003636BF"/>
    <w:rsid w:val="0038054D"/>
    <w:rsid w:val="003C3294"/>
    <w:rsid w:val="003F76C9"/>
    <w:rsid w:val="0040207A"/>
    <w:rsid w:val="00410CCE"/>
    <w:rsid w:val="0041403D"/>
    <w:rsid w:val="004203F6"/>
    <w:rsid w:val="004205AE"/>
    <w:rsid w:val="00423F46"/>
    <w:rsid w:val="0044163C"/>
    <w:rsid w:val="00445852"/>
    <w:rsid w:val="00456AEE"/>
    <w:rsid w:val="00491196"/>
    <w:rsid w:val="004A4B84"/>
    <w:rsid w:val="004B1F3E"/>
    <w:rsid w:val="004D70E6"/>
    <w:rsid w:val="004E184C"/>
    <w:rsid w:val="004E4F65"/>
    <w:rsid w:val="004F0BC2"/>
    <w:rsid w:val="004F434C"/>
    <w:rsid w:val="004F4734"/>
    <w:rsid w:val="004F7230"/>
    <w:rsid w:val="00516404"/>
    <w:rsid w:val="005356D5"/>
    <w:rsid w:val="005362C7"/>
    <w:rsid w:val="005402E0"/>
    <w:rsid w:val="00543424"/>
    <w:rsid w:val="0054503E"/>
    <w:rsid w:val="00560345"/>
    <w:rsid w:val="005644A5"/>
    <w:rsid w:val="00573583"/>
    <w:rsid w:val="0058337C"/>
    <w:rsid w:val="005B704D"/>
    <w:rsid w:val="005D7B01"/>
    <w:rsid w:val="005F4FE8"/>
    <w:rsid w:val="00613CB9"/>
    <w:rsid w:val="006248A1"/>
    <w:rsid w:val="00632329"/>
    <w:rsid w:val="00633A61"/>
    <w:rsid w:val="006643DD"/>
    <w:rsid w:val="00682DB2"/>
    <w:rsid w:val="0069467C"/>
    <w:rsid w:val="006A2868"/>
    <w:rsid w:val="006B4377"/>
    <w:rsid w:val="006C61E1"/>
    <w:rsid w:val="006D3EEC"/>
    <w:rsid w:val="006E6702"/>
    <w:rsid w:val="00713F53"/>
    <w:rsid w:val="0072360D"/>
    <w:rsid w:val="0074062D"/>
    <w:rsid w:val="00742140"/>
    <w:rsid w:val="007601D6"/>
    <w:rsid w:val="007A2DF5"/>
    <w:rsid w:val="007A54DE"/>
    <w:rsid w:val="007B77AE"/>
    <w:rsid w:val="007E3C1D"/>
    <w:rsid w:val="007F0460"/>
    <w:rsid w:val="007F3356"/>
    <w:rsid w:val="0080530E"/>
    <w:rsid w:val="008057CE"/>
    <w:rsid w:val="00806310"/>
    <w:rsid w:val="00810F64"/>
    <w:rsid w:val="0081380C"/>
    <w:rsid w:val="00817CF1"/>
    <w:rsid w:val="00824C88"/>
    <w:rsid w:val="0085153A"/>
    <w:rsid w:val="008560C6"/>
    <w:rsid w:val="00865912"/>
    <w:rsid w:val="0089772F"/>
    <w:rsid w:val="008B3674"/>
    <w:rsid w:val="008B7525"/>
    <w:rsid w:val="008C644C"/>
    <w:rsid w:val="008D05B0"/>
    <w:rsid w:val="008E1C30"/>
    <w:rsid w:val="008F4F50"/>
    <w:rsid w:val="008F73A4"/>
    <w:rsid w:val="00911815"/>
    <w:rsid w:val="00911FA9"/>
    <w:rsid w:val="00922884"/>
    <w:rsid w:val="00930A36"/>
    <w:rsid w:val="009447C0"/>
    <w:rsid w:val="0094740C"/>
    <w:rsid w:val="00956E35"/>
    <w:rsid w:val="0095718D"/>
    <w:rsid w:val="009759DA"/>
    <w:rsid w:val="00976C01"/>
    <w:rsid w:val="00977156"/>
    <w:rsid w:val="00991DBE"/>
    <w:rsid w:val="00996068"/>
    <w:rsid w:val="009B029B"/>
    <w:rsid w:val="009B3AE1"/>
    <w:rsid w:val="009C2574"/>
    <w:rsid w:val="009C339C"/>
    <w:rsid w:val="009C64CF"/>
    <w:rsid w:val="009C7785"/>
    <w:rsid w:val="009D4EA3"/>
    <w:rsid w:val="009D6ABD"/>
    <w:rsid w:val="009E2301"/>
    <w:rsid w:val="00A05CC9"/>
    <w:rsid w:val="00A2067A"/>
    <w:rsid w:val="00A3098A"/>
    <w:rsid w:val="00A3365C"/>
    <w:rsid w:val="00A40386"/>
    <w:rsid w:val="00A42912"/>
    <w:rsid w:val="00A42B4E"/>
    <w:rsid w:val="00A43F06"/>
    <w:rsid w:val="00A67AB5"/>
    <w:rsid w:val="00A85AED"/>
    <w:rsid w:val="00A91651"/>
    <w:rsid w:val="00A93C2B"/>
    <w:rsid w:val="00A94AD2"/>
    <w:rsid w:val="00A963E8"/>
    <w:rsid w:val="00AB340D"/>
    <w:rsid w:val="00AB45D3"/>
    <w:rsid w:val="00AB551B"/>
    <w:rsid w:val="00AC35B9"/>
    <w:rsid w:val="00AC37B7"/>
    <w:rsid w:val="00AF4278"/>
    <w:rsid w:val="00B174B8"/>
    <w:rsid w:val="00B17896"/>
    <w:rsid w:val="00B20A31"/>
    <w:rsid w:val="00B20CB4"/>
    <w:rsid w:val="00B24249"/>
    <w:rsid w:val="00B3427C"/>
    <w:rsid w:val="00B51325"/>
    <w:rsid w:val="00B657F3"/>
    <w:rsid w:val="00B77510"/>
    <w:rsid w:val="00B9321A"/>
    <w:rsid w:val="00BA2150"/>
    <w:rsid w:val="00BB3AAA"/>
    <w:rsid w:val="00BB7C57"/>
    <w:rsid w:val="00BD42EA"/>
    <w:rsid w:val="00BE5A0A"/>
    <w:rsid w:val="00BF1A70"/>
    <w:rsid w:val="00BF74E4"/>
    <w:rsid w:val="00C110FE"/>
    <w:rsid w:val="00C1398B"/>
    <w:rsid w:val="00C1638D"/>
    <w:rsid w:val="00C27FC3"/>
    <w:rsid w:val="00C4411F"/>
    <w:rsid w:val="00C465DD"/>
    <w:rsid w:val="00C53FEE"/>
    <w:rsid w:val="00C6781F"/>
    <w:rsid w:val="00C743C6"/>
    <w:rsid w:val="00C8653A"/>
    <w:rsid w:val="00CA4782"/>
    <w:rsid w:val="00CC36D2"/>
    <w:rsid w:val="00CC7B3B"/>
    <w:rsid w:val="00CE241F"/>
    <w:rsid w:val="00CF538D"/>
    <w:rsid w:val="00CF62AE"/>
    <w:rsid w:val="00D228B5"/>
    <w:rsid w:val="00D22DE3"/>
    <w:rsid w:val="00D305CC"/>
    <w:rsid w:val="00D43FE0"/>
    <w:rsid w:val="00D52248"/>
    <w:rsid w:val="00D537D7"/>
    <w:rsid w:val="00D6227B"/>
    <w:rsid w:val="00D656DF"/>
    <w:rsid w:val="00D93D26"/>
    <w:rsid w:val="00DB247D"/>
    <w:rsid w:val="00DB3C28"/>
    <w:rsid w:val="00DC6665"/>
    <w:rsid w:val="00DE5509"/>
    <w:rsid w:val="00DF2B6E"/>
    <w:rsid w:val="00E40229"/>
    <w:rsid w:val="00E42CC6"/>
    <w:rsid w:val="00E64D4C"/>
    <w:rsid w:val="00E779B9"/>
    <w:rsid w:val="00E82A34"/>
    <w:rsid w:val="00E95CB2"/>
    <w:rsid w:val="00ED60CD"/>
    <w:rsid w:val="00F00260"/>
    <w:rsid w:val="00F02F88"/>
    <w:rsid w:val="00F0459E"/>
    <w:rsid w:val="00F21320"/>
    <w:rsid w:val="00F23389"/>
    <w:rsid w:val="00F42A08"/>
    <w:rsid w:val="00F52071"/>
    <w:rsid w:val="00F622D5"/>
    <w:rsid w:val="00F7315B"/>
    <w:rsid w:val="00F7399A"/>
    <w:rsid w:val="00F76FDC"/>
    <w:rsid w:val="00F97BDA"/>
    <w:rsid w:val="00F97C8C"/>
    <w:rsid w:val="00FA27CF"/>
    <w:rsid w:val="00FB653B"/>
    <w:rsid w:val="00FC0C79"/>
    <w:rsid w:val="00FC4B6F"/>
    <w:rsid w:val="00FC5C3A"/>
    <w:rsid w:val="00FC73B9"/>
    <w:rsid w:val="00FD7697"/>
    <w:rsid w:val="00FE412E"/>
    <w:rsid w:val="00FE65EF"/>
    <w:rsid w:val="00FF599D"/>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chartTrackingRefBased/>
  <w15:docId w15:val="{1A80855D-AC4E-438B-A280-EC91BA33FE3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cs-CZ" w:eastAsia="cs-CZ"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
    <w:name w:val="Normal"/>
    <w:qFormat/>
    <w:rPr>
      <w:sz w:val="24"/>
      <w:szCs w:val="24"/>
      <w:lang w:val="en-US" w:eastAsia="en-US"/>
    </w:rPr>
  </w:style>
  <w:style w:type="paragraph" w:styleId="Nadpis1">
    <w:name w:val="heading 1"/>
    <w:basedOn w:val="Normln"/>
    <w:next w:val="Normln"/>
    <w:qFormat/>
    <w:pPr>
      <w:keepNext/>
      <w:outlineLvl w:val="0"/>
    </w:pPr>
    <w:rPr>
      <w:b/>
      <w:bCs/>
      <w:sz w:val="28"/>
      <w:szCs w:val="28"/>
    </w:rPr>
  </w:style>
  <w:style w:type="paragraph" w:styleId="Nadpis2">
    <w:name w:val="heading 2"/>
    <w:basedOn w:val="Normln"/>
    <w:next w:val="Normln"/>
    <w:qFormat/>
    <w:pPr>
      <w:keepNext/>
      <w:jc w:val="both"/>
      <w:outlineLvl w:val="1"/>
    </w:pPr>
    <w:rPr>
      <w:b/>
      <w:bCs/>
      <w:sz w:val="20"/>
    </w:rPr>
  </w:style>
  <w:style w:type="paragraph" w:styleId="Nadpis3">
    <w:name w:val="heading 3"/>
    <w:basedOn w:val="Normln"/>
    <w:next w:val="Normln"/>
    <w:qFormat/>
    <w:pPr>
      <w:keepNext/>
      <w:jc w:val="both"/>
      <w:outlineLvl w:val="2"/>
    </w:pPr>
    <w:rPr>
      <w:b/>
      <w:sz w:val="22"/>
    </w:rPr>
  </w:style>
  <w:style w:type="paragraph" w:styleId="Nadpis4">
    <w:name w:val="heading 4"/>
    <w:basedOn w:val="Normln"/>
    <w:next w:val="Normln"/>
    <w:qFormat/>
    <w:pPr>
      <w:keepNext/>
      <w:tabs>
        <w:tab w:val="left" w:pos="1680"/>
      </w:tabs>
      <w:jc w:val="center"/>
      <w:outlineLvl w:val="3"/>
    </w:pPr>
    <w:rPr>
      <w:b/>
      <w:bCs/>
    </w:rPr>
  </w:style>
  <w:style w:type="paragraph" w:styleId="Nadpis5">
    <w:name w:val="heading 5"/>
    <w:basedOn w:val="Normln"/>
    <w:next w:val="Normln"/>
    <w:qFormat/>
    <w:pPr>
      <w:keepNext/>
      <w:jc w:val="center"/>
      <w:outlineLvl w:val="4"/>
    </w:pPr>
    <w:rPr>
      <w:sz w:val="28"/>
    </w:rPr>
  </w:style>
  <w:style w:type="paragraph" w:styleId="Nadpis6">
    <w:name w:val="heading 6"/>
    <w:basedOn w:val="Normln"/>
    <w:next w:val="Normln"/>
    <w:qFormat/>
    <w:pPr>
      <w:keepNext/>
      <w:tabs>
        <w:tab w:val="left" w:pos="1680"/>
      </w:tabs>
      <w:jc w:val="center"/>
      <w:outlineLvl w:val="5"/>
    </w:pPr>
    <w:rPr>
      <w:i/>
      <w:iCs/>
      <w:sz w:val="20"/>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Zkladntextodsazen3">
    <w:name w:val="Body Text Indent 3"/>
    <w:basedOn w:val="Normln"/>
    <w:pPr>
      <w:ind w:left="561" w:hanging="561"/>
      <w:jc w:val="both"/>
    </w:pPr>
    <w:rPr>
      <w:sz w:val="20"/>
      <w:szCs w:val="20"/>
    </w:rPr>
  </w:style>
  <w:style w:type="paragraph" w:customStyle="1" w:styleId="Body">
    <w:name w:val="Body"/>
    <w:basedOn w:val="Normln"/>
    <w:pPr>
      <w:spacing w:after="240"/>
      <w:jc w:val="both"/>
    </w:pPr>
    <w:rPr>
      <w:rFonts w:ascii="Helvetica" w:hAnsi="Helvetica"/>
      <w:sz w:val="20"/>
      <w:szCs w:val="20"/>
    </w:rPr>
  </w:style>
  <w:style w:type="paragraph" w:styleId="Zkladntextodsazen">
    <w:name w:val="Body Text Indent"/>
    <w:basedOn w:val="Normln"/>
    <w:pPr>
      <w:ind w:firstLine="720"/>
    </w:pPr>
    <w:rPr>
      <w:sz w:val="20"/>
    </w:rPr>
  </w:style>
  <w:style w:type="paragraph" w:styleId="Zkladntextodsazen2">
    <w:name w:val="Body Text Indent 2"/>
    <w:basedOn w:val="Normln"/>
    <w:pPr>
      <w:ind w:firstLine="720"/>
      <w:jc w:val="both"/>
    </w:pPr>
    <w:rPr>
      <w:sz w:val="20"/>
    </w:rPr>
  </w:style>
  <w:style w:type="paragraph" w:styleId="Zkladntext">
    <w:name w:val="Body Text"/>
    <w:basedOn w:val="Normln"/>
    <w:link w:val="ZkladntextChar"/>
    <w:pPr>
      <w:jc w:val="center"/>
    </w:pPr>
    <w:rPr>
      <w:sz w:val="20"/>
    </w:rPr>
  </w:style>
  <w:style w:type="character" w:styleId="Hypertextovodkaz">
    <w:name w:val="Hyperlink"/>
    <w:rPr>
      <w:color w:val="0000FF"/>
      <w:u w:val="single"/>
    </w:rPr>
  </w:style>
  <w:style w:type="character" w:styleId="Sledovanodkaz">
    <w:name w:val="FollowedHyperlink"/>
    <w:rPr>
      <w:color w:val="800080"/>
      <w:u w:val="single"/>
    </w:rPr>
  </w:style>
  <w:style w:type="paragraph" w:styleId="Zhlav">
    <w:name w:val="header"/>
    <w:basedOn w:val="Normln"/>
    <w:pPr>
      <w:tabs>
        <w:tab w:val="center" w:pos="4320"/>
        <w:tab w:val="right" w:pos="8640"/>
      </w:tabs>
    </w:pPr>
  </w:style>
  <w:style w:type="character" w:styleId="slostrnky">
    <w:name w:val="page number"/>
    <w:basedOn w:val="Standardnpsmoodstavce"/>
  </w:style>
  <w:style w:type="paragraph" w:styleId="Zpat">
    <w:name w:val="footer"/>
    <w:basedOn w:val="Normln"/>
    <w:pPr>
      <w:tabs>
        <w:tab w:val="center" w:pos="4320"/>
        <w:tab w:val="right" w:pos="8640"/>
      </w:tabs>
    </w:pPr>
  </w:style>
  <w:style w:type="paragraph" w:styleId="Textbubliny">
    <w:name w:val="Balloon Text"/>
    <w:basedOn w:val="Normln"/>
    <w:semiHidden/>
    <w:rsid w:val="00DB247D"/>
    <w:rPr>
      <w:rFonts w:ascii="Tahoma" w:hAnsi="Tahoma" w:cs="Tahoma"/>
      <w:sz w:val="16"/>
      <w:szCs w:val="16"/>
    </w:rPr>
  </w:style>
  <w:style w:type="character" w:customStyle="1" w:styleId="apple-converted-space">
    <w:name w:val="apple-converted-space"/>
    <w:rsid w:val="00543424"/>
  </w:style>
  <w:style w:type="paragraph" w:styleId="Odstavecseseznamem">
    <w:name w:val="List Paragraph"/>
    <w:basedOn w:val="Normln"/>
    <w:uiPriority w:val="34"/>
    <w:qFormat/>
    <w:rsid w:val="000248E5"/>
    <w:pPr>
      <w:spacing w:after="160" w:line="259" w:lineRule="auto"/>
      <w:ind w:left="720"/>
      <w:contextualSpacing/>
    </w:pPr>
    <w:rPr>
      <w:rFonts w:ascii="Calibri" w:eastAsia="Calibri" w:hAnsi="Calibri"/>
      <w:sz w:val="22"/>
      <w:szCs w:val="22"/>
      <w:lang w:val="en-GB" w:eastAsia="en-GB" w:bidi="en-GB"/>
    </w:rPr>
  </w:style>
  <w:style w:type="table" w:styleId="Mkatabulky">
    <w:name w:val="Table Grid"/>
    <w:basedOn w:val="Normlntabulka"/>
    <w:uiPriority w:val="39"/>
    <w:rsid w:val="004203F6"/>
    <w:rPr>
      <w:rFonts w:asciiTheme="minorHAnsi" w:eastAsiaTheme="minorHAnsi" w:hAnsiTheme="minorHAnsi" w:cstheme="minorBidi"/>
      <w:sz w:val="22"/>
      <w:szCs w:val="22"/>
      <w:lang w:val="en-GB" w:eastAsia="en-GB" w:bidi="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A963E8"/>
    <w:pPr>
      <w:autoSpaceDE w:val="0"/>
      <w:autoSpaceDN w:val="0"/>
      <w:adjustRightInd w:val="0"/>
    </w:pPr>
    <w:rPr>
      <w:rFonts w:eastAsiaTheme="minorHAnsi"/>
      <w:color w:val="000000"/>
      <w:sz w:val="24"/>
      <w:szCs w:val="24"/>
      <w:lang w:val="en-GB" w:eastAsia="en-GB" w:bidi="en-GB"/>
    </w:rPr>
  </w:style>
  <w:style w:type="character" w:customStyle="1" w:styleId="ZkladntextChar">
    <w:name w:val="Základní text Char"/>
    <w:basedOn w:val="Standardnpsmoodstavce"/>
    <w:link w:val="Zkladntext"/>
    <w:rsid w:val="00FF599D"/>
    <w:rPr>
      <w:szCs w:val="24"/>
      <w:lang w:val="en-US" w:eastAsia="en-US"/>
    </w:rPr>
  </w:style>
  <w:style w:type="character" w:styleId="Zdraznn">
    <w:name w:val="Emphasis"/>
    <w:basedOn w:val="Standardnpsmoodstavce"/>
    <w:uiPriority w:val="20"/>
    <w:qFormat/>
    <w:rsid w:val="00FF599D"/>
    <w:rPr>
      <w:i/>
      <w:iCs/>
    </w:rPr>
  </w:style>
  <w:style w:type="character" w:customStyle="1" w:styleId="list-group-item">
    <w:name w:val="list-group-item"/>
    <w:basedOn w:val="Standardnpsmoodstavce"/>
    <w:rsid w:val="00C27FC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451780430">
      <w:bodyDiv w:val="1"/>
      <w:marLeft w:val="0"/>
      <w:marRight w:val="0"/>
      <w:marTop w:val="0"/>
      <w:marBottom w:val="0"/>
      <w:divBdr>
        <w:top w:val="none" w:sz="0" w:space="0" w:color="auto"/>
        <w:left w:val="none" w:sz="0" w:space="0" w:color="auto"/>
        <w:bottom w:val="none" w:sz="0" w:space="0" w:color="auto"/>
        <w:right w:val="none" w:sz="0" w:space="0" w:color="auto"/>
      </w:divBdr>
    </w:div>
  </w:divs>
  <w:encoding w:val="windows-1252"/>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s://www.scopus.com/sourceid/21100316064?origin=recordpage" TargetMode="External"/><Relationship Id="rId3" Type="http://schemas.openxmlformats.org/officeDocument/2006/relationships/settings" Target="settings.xml"/><Relationship Id="rId7" Type="http://schemas.openxmlformats.org/officeDocument/2006/relationships/hyperlink" Target="mailto:jaromir.siroky@upce.cz" TargetMode="External"/><Relationship Id="rId12" Type="http://schemas.openxmlformats.org/officeDocument/2006/relationships/hyperlink" Target="https://www.scopus.com/authid/detail.uri?authorId=57197758646&amp;amp;eid=2-s2.0-85057420898" TargetMode="Externa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www.scopus.com/authid/detail.uri?authorId=57192718585&amp;amp;eid=2-s2.0-85057420898" TargetMode="External"/><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hyperlink" Target="https://www.scopus.com/authid/detail.uri?authorId=57204825703&amp;amp;eid=2-s2.0-85057420898" TargetMode="External"/><Relationship Id="rId4" Type="http://schemas.openxmlformats.org/officeDocument/2006/relationships/webSettings" Target="webSettings.xml"/><Relationship Id="rId9" Type="http://schemas.openxmlformats.org/officeDocument/2006/relationships/hyperlink" Target="https://www.innofreight.com/cs/" TargetMode="External"/><Relationship Id="rId14" Type="http://schemas.openxmlformats.org/officeDocument/2006/relationships/header" Target="header1.xml"/></Relationships>
</file>

<file path=word/theme/theme1.xml><?xml version="1.0" encoding="utf-8"?>
<a:theme xmlns:a="http://schemas.openxmlformats.org/drawingml/2006/main" name="Motiv Office">
  <a:themeElements>
    <a:clrScheme name="Kancelář">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Kancelář">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celář">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238</TotalTime>
  <Pages>7</Pages>
  <Words>4628</Words>
  <Characters>27306</Characters>
  <Application>Microsoft Office Word</Application>
  <DocSecurity>0</DocSecurity>
  <Lines>227</Lines>
  <Paragraphs>63</Paragraphs>
  <ScaleCrop>false</ScaleCrop>
  <HeadingPairs>
    <vt:vector size="6" baseType="variant">
      <vt:variant>
        <vt:lpstr>Název</vt:lpstr>
      </vt:variant>
      <vt:variant>
        <vt:i4>1</vt:i4>
      </vt:variant>
      <vt:variant>
        <vt:lpstr>Title</vt:lpstr>
      </vt:variant>
      <vt:variant>
        <vt:i4>1</vt:i4>
      </vt:variant>
      <vt:variant>
        <vt:lpstr>Pavadinimas</vt:lpstr>
      </vt:variant>
      <vt:variant>
        <vt:i4>1</vt:i4>
      </vt:variant>
    </vt:vector>
  </HeadingPairs>
  <TitlesOfParts>
    <vt:vector size="3" baseType="lpstr">
      <vt:lpstr>ISSN 1392 – 1207</vt:lpstr>
      <vt:lpstr>ISSN 1392 – 1207</vt:lpstr>
      <vt:lpstr>ISSN 1392 – 1207</vt:lpstr>
    </vt:vector>
  </TitlesOfParts>
  <Company>KTU</Company>
  <LinksUpToDate>false</LinksUpToDate>
  <CharactersWithSpaces>31871</CharactersWithSpaces>
  <SharedDoc>false</SharedDoc>
  <HLinks>
    <vt:vector size="12" baseType="variant">
      <vt:variant>
        <vt:i4>1638450</vt:i4>
      </vt:variant>
      <vt:variant>
        <vt:i4>3</vt:i4>
      </vt:variant>
      <vt:variant>
        <vt:i4>0</vt:i4>
      </vt:variant>
      <vt:variant>
        <vt:i4>5</vt:i4>
      </vt:variant>
      <vt:variant>
        <vt:lpwstr>mailto:daliulionis@ktu.lt</vt:lpwstr>
      </vt:variant>
      <vt:variant>
        <vt:lpwstr/>
      </vt:variant>
      <vt:variant>
        <vt:i4>7864407</vt:i4>
      </vt:variant>
      <vt:variant>
        <vt:i4>0</vt:i4>
      </vt:variant>
      <vt:variant>
        <vt:i4>0</vt:i4>
      </vt:variant>
      <vt:variant>
        <vt:i4>5</vt:i4>
      </vt:variant>
      <vt:variant>
        <vt:lpwstr>mailto:kilkauskas@ktu.lt</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ISSN 1392 – 1207</dc:title>
  <dc:subject/>
  <dc:creator>TSC</dc:creator>
  <cp:keywords/>
  <cp:lastModifiedBy>Siroky Jaromir</cp:lastModifiedBy>
  <cp:revision>16</cp:revision>
  <cp:lastPrinted>2020-05-29T11:13:00Z</cp:lastPrinted>
  <dcterms:created xsi:type="dcterms:W3CDTF">2020-05-29T08:07:00Z</dcterms:created>
  <dcterms:modified xsi:type="dcterms:W3CDTF">2020-06-03T07:41:00Z</dcterms:modified>
</cp:coreProperties>
</file>