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23449" w:rsidRPr="00266BE9" w:rsidRDefault="00D23449" w:rsidP="00D23449">
      <w:pPr>
        <w:spacing w:after="120"/>
        <w:jc w:val="center"/>
        <w:rPr>
          <w:rFonts w:ascii="Times New Roman" w:eastAsia="Times New Roman" w:hAnsi="Times New Roman" w:cs="Times New Roman"/>
          <w:b/>
          <w:sz w:val="28"/>
          <w:szCs w:val="28"/>
          <w:lang w:val="en-GB" w:bidi="en-US"/>
        </w:rPr>
      </w:pPr>
      <w:r w:rsidRPr="00266BE9">
        <w:rPr>
          <w:rFonts w:ascii="Times New Roman" w:eastAsia="Times New Roman" w:hAnsi="Times New Roman" w:cs="Times New Roman"/>
          <w:b/>
          <w:sz w:val="28"/>
          <w:szCs w:val="28"/>
          <w:lang w:val="en-GB" w:bidi="en-US"/>
        </w:rPr>
        <w:t>Evaluation of impacts of subsidies</w:t>
      </w:r>
    </w:p>
    <w:p w:rsidR="00D23449" w:rsidRPr="00266BE9" w:rsidRDefault="00D23449" w:rsidP="00D23449">
      <w:pPr>
        <w:spacing w:after="120"/>
        <w:jc w:val="center"/>
        <w:rPr>
          <w:rFonts w:ascii="Times New Roman" w:eastAsia="Times New Roman" w:hAnsi="Times New Roman" w:cs="Times New Roman"/>
          <w:b/>
          <w:sz w:val="24"/>
          <w:szCs w:val="24"/>
          <w:lang w:val="en-GB" w:bidi="en-US"/>
        </w:rPr>
      </w:pPr>
    </w:p>
    <w:p w:rsidR="00D23449" w:rsidRPr="00266BE9" w:rsidRDefault="00D23449" w:rsidP="00D23449">
      <w:pPr>
        <w:spacing w:after="120"/>
        <w:jc w:val="center"/>
        <w:rPr>
          <w:rFonts w:ascii="Times New Roman" w:eastAsia="Times New Roman" w:hAnsi="Times New Roman" w:cs="Times New Roman"/>
          <w:b/>
          <w:sz w:val="24"/>
          <w:szCs w:val="24"/>
          <w:lang w:val="en-GB" w:bidi="en-US"/>
        </w:rPr>
      </w:pPr>
      <w:r w:rsidRPr="00266BE9">
        <w:rPr>
          <w:rFonts w:ascii="Times New Roman" w:eastAsia="Times New Roman" w:hAnsi="Times New Roman" w:cs="Times New Roman"/>
          <w:b/>
          <w:sz w:val="24"/>
          <w:szCs w:val="24"/>
          <w:lang w:val="en-GB" w:bidi="en-US"/>
        </w:rPr>
        <w:t xml:space="preserve">Lucie </w:t>
      </w:r>
      <w:proofErr w:type="spellStart"/>
      <w:r w:rsidRPr="00266BE9">
        <w:rPr>
          <w:rFonts w:ascii="Times New Roman" w:eastAsia="Times New Roman" w:hAnsi="Times New Roman" w:cs="Times New Roman"/>
          <w:b/>
          <w:sz w:val="24"/>
          <w:szCs w:val="24"/>
          <w:lang w:val="en-GB" w:bidi="en-US"/>
        </w:rPr>
        <w:t>Sobotková</w:t>
      </w:r>
      <w:proofErr w:type="spellEnd"/>
      <w:r w:rsidR="00903392">
        <w:rPr>
          <w:rFonts w:ascii="Times New Roman" w:eastAsia="Times New Roman" w:hAnsi="Times New Roman" w:cs="Times New Roman"/>
          <w:b/>
          <w:sz w:val="24"/>
          <w:szCs w:val="24"/>
          <w:lang w:val="en-GB" w:bidi="en-US"/>
        </w:rPr>
        <w:t xml:space="preserve">, Ondřej </w:t>
      </w:r>
      <w:proofErr w:type="spellStart"/>
      <w:r w:rsidR="00903392">
        <w:rPr>
          <w:rFonts w:ascii="Times New Roman" w:eastAsia="Times New Roman" w:hAnsi="Times New Roman" w:cs="Times New Roman"/>
          <w:b/>
          <w:sz w:val="24"/>
          <w:szCs w:val="24"/>
          <w:lang w:val="en-GB" w:bidi="en-US"/>
        </w:rPr>
        <w:t>Kočí</w:t>
      </w:r>
      <w:proofErr w:type="spellEnd"/>
    </w:p>
    <w:p w:rsidR="00D23449" w:rsidRPr="00266BE9" w:rsidRDefault="00D23449" w:rsidP="00D23449">
      <w:pPr>
        <w:spacing w:after="120"/>
        <w:jc w:val="center"/>
        <w:rPr>
          <w:rFonts w:ascii="Times New Roman" w:eastAsia="Times New Roman" w:hAnsi="Times New Roman" w:cs="Times New Roman"/>
          <w:lang w:val="en-GB" w:bidi="en-US"/>
        </w:rPr>
      </w:pPr>
    </w:p>
    <w:p w:rsidR="00D23449" w:rsidRPr="00266BE9" w:rsidRDefault="00D23449" w:rsidP="00D23449">
      <w:pPr>
        <w:spacing w:after="120"/>
        <w:rPr>
          <w:rFonts w:ascii="Times New Roman" w:eastAsia="Times New Roman" w:hAnsi="Times New Roman" w:cs="Times New Roman"/>
          <w:i/>
          <w:sz w:val="20"/>
          <w:szCs w:val="20"/>
          <w:lang w:val="en-GB" w:bidi="en-US"/>
        </w:rPr>
      </w:pPr>
      <w:r w:rsidRPr="00266BE9">
        <w:rPr>
          <w:rFonts w:ascii="Times New Roman" w:eastAsia="Times New Roman" w:hAnsi="Times New Roman" w:cs="Times New Roman"/>
          <w:b/>
          <w:i/>
          <w:sz w:val="20"/>
          <w:szCs w:val="20"/>
          <w:lang w:val="en-GB" w:bidi="en-US"/>
        </w:rPr>
        <w:t>Abstract</w:t>
      </w:r>
      <w:r w:rsidRPr="00266BE9">
        <w:rPr>
          <w:rFonts w:ascii="Times New Roman" w:eastAsia="Times New Roman" w:hAnsi="Times New Roman" w:cs="Times New Roman"/>
          <w:i/>
          <w:sz w:val="20"/>
          <w:szCs w:val="20"/>
          <w:lang w:val="en-GB" w:bidi="en-US"/>
        </w:rPr>
        <w:t xml:space="preserve"> </w:t>
      </w:r>
    </w:p>
    <w:p w:rsidR="00D23449" w:rsidRPr="00266BE9" w:rsidRDefault="00D23449" w:rsidP="00D23449">
      <w:pPr>
        <w:spacing w:after="120"/>
        <w:rPr>
          <w:rFonts w:ascii="Times New Roman" w:eastAsia="Times New Roman" w:hAnsi="Times New Roman" w:cs="Times New Roman"/>
          <w:i/>
          <w:color w:val="000000"/>
          <w:sz w:val="20"/>
          <w:szCs w:val="20"/>
          <w:shd w:val="clear" w:color="auto" w:fill="FFFFFF"/>
          <w:lang w:val="en-GB" w:bidi="en-US"/>
        </w:rPr>
      </w:pPr>
      <w:r w:rsidRPr="00266BE9">
        <w:rPr>
          <w:rFonts w:ascii="Times New Roman" w:eastAsia="Times New Roman" w:hAnsi="Times New Roman" w:cs="Times New Roman"/>
          <w:i/>
          <w:color w:val="000000"/>
          <w:sz w:val="20"/>
          <w:szCs w:val="20"/>
          <w:shd w:val="clear" w:color="auto" w:fill="FFFFFF"/>
          <w:lang w:val="en-GB" w:bidi="en-US"/>
        </w:rPr>
        <w:t xml:space="preserve">The article deals with the issue of assessing the impact of subsidies provided from EU funds. The aim is to evaluate how and whether it can be captured impacts of subsidies provided in general. The example of subsidies provided was chosen through the Operational Program Enterprise and Innovation for Competitiveness, which is mainly used by private sector enterprises. A complicating factor is the fact that subsidies are always provided for a longer period of time. For this reason, analysis through time trends is difficult to implement. Therefore, rather space-based analysis was used, comparing the values of subsidies drawn among individual regions. For analysis, correspondence analysis was chosen, which allows to capture the predominant character of subsidies provided (here according to the most frequently drawn volume of provided support). It was necessary to categorize, which on the one hand more generalized the </w:t>
      </w:r>
      <w:proofErr w:type="spellStart"/>
      <w:r w:rsidRPr="00266BE9">
        <w:rPr>
          <w:rFonts w:ascii="Times New Roman" w:eastAsia="Times New Roman" w:hAnsi="Times New Roman" w:cs="Times New Roman"/>
          <w:i/>
          <w:color w:val="000000"/>
          <w:sz w:val="20"/>
          <w:szCs w:val="20"/>
          <w:shd w:val="clear" w:color="auto" w:fill="FFFFFF"/>
          <w:lang w:val="en-GB" w:bidi="en-US"/>
        </w:rPr>
        <w:t>analyzed</w:t>
      </w:r>
      <w:proofErr w:type="spellEnd"/>
      <w:r w:rsidRPr="00266BE9">
        <w:rPr>
          <w:rFonts w:ascii="Times New Roman" w:eastAsia="Times New Roman" w:hAnsi="Times New Roman" w:cs="Times New Roman"/>
          <w:i/>
          <w:color w:val="000000"/>
          <w:sz w:val="20"/>
          <w:szCs w:val="20"/>
          <w:shd w:val="clear" w:color="auto" w:fill="FFFFFF"/>
          <w:lang w:val="en-GB" w:bidi="en-US"/>
        </w:rPr>
        <w:t xml:space="preserve"> data. At the same time, it allowed to eliminate the impact of extreme subsidies in terms of their amount. The results were further compared with the values ​​of the selected statistical indicators that relate to the respective support areas. However, on the basis of this approach, the impact that would be visibly reflected in the region's economic situation has not been proven.</w:t>
      </w:r>
    </w:p>
    <w:p w:rsidR="00D23449" w:rsidRPr="00266BE9" w:rsidRDefault="00D23449" w:rsidP="00A71346">
      <w:pPr>
        <w:spacing w:after="120"/>
        <w:rPr>
          <w:rFonts w:ascii="Times New Roman" w:eastAsia="Times New Roman" w:hAnsi="Times New Roman" w:cs="Times New Roman"/>
          <w:sz w:val="20"/>
          <w:szCs w:val="20"/>
          <w:lang w:val="en-GB" w:bidi="en-US"/>
        </w:rPr>
      </w:pPr>
    </w:p>
    <w:p w:rsidR="00D23449" w:rsidRPr="00266BE9" w:rsidRDefault="00D23449" w:rsidP="00D23449">
      <w:pPr>
        <w:rPr>
          <w:i/>
          <w:szCs w:val="20"/>
          <w:lang w:val="en-GB"/>
        </w:rPr>
      </w:pPr>
      <w:r w:rsidRPr="00266BE9">
        <w:rPr>
          <w:rFonts w:ascii="Times New Roman" w:eastAsia="Times New Roman" w:hAnsi="Times New Roman" w:cs="Times New Roman"/>
          <w:b/>
          <w:i/>
          <w:sz w:val="20"/>
          <w:szCs w:val="20"/>
          <w:lang w:val="en-GB" w:bidi="en-US"/>
        </w:rPr>
        <w:t>Keywords:</w:t>
      </w:r>
      <w:r w:rsidRPr="00266BE9">
        <w:rPr>
          <w:b/>
          <w:i/>
          <w:szCs w:val="20"/>
          <w:lang w:val="en-GB"/>
        </w:rPr>
        <w:t xml:space="preserve"> </w:t>
      </w:r>
      <w:bookmarkStart w:id="0" w:name="_Hlk12911884"/>
      <w:r w:rsidRPr="00266BE9">
        <w:rPr>
          <w:rFonts w:ascii="Times New Roman" w:eastAsia="Times New Roman" w:hAnsi="Times New Roman" w:cs="Times New Roman"/>
          <w:i/>
          <w:sz w:val="20"/>
          <w:szCs w:val="20"/>
          <w:lang w:val="en-GB" w:bidi="en-US"/>
        </w:rPr>
        <w:t>European Union, Regional policy</w:t>
      </w:r>
      <w:r w:rsidR="00ED2920" w:rsidRPr="00266BE9">
        <w:rPr>
          <w:rFonts w:ascii="Times New Roman" w:eastAsia="Times New Roman" w:hAnsi="Times New Roman" w:cs="Times New Roman"/>
          <w:i/>
          <w:sz w:val="20"/>
          <w:szCs w:val="20"/>
          <w:lang w:val="en-GB" w:bidi="en-US"/>
        </w:rPr>
        <w:t>, Subsidies</w:t>
      </w:r>
      <w:bookmarkEnd w:id="0"/>
    </w:p>
    <w:p w:rsidR="00D23449" w:rsidRPr="00266BE9" w:rsidRDefault="00D23449" w:rsidP="00A71346">
      <w:pPr>
        <w:spacing w:after="120"/>
        <w:rPr>
          <w:rFonts w:ascii="Times New Roman" w:eastAsia="Times New Roman" w:hAnsi="Times New Roman" w:cs="Times New Roman"/>
          <w:sz w:val="20"/>
          <w:szCs w:val="20"/>
          <w:lang w:val="en-GB" w:bidi="en-US"/>
        </w:rPr>
      </w:pPr>
    </w:p>
    <w:p w:rsidR="0040706D" w:rsidRPr="00266BE9" w:rsidRDefault="00D23449" w:rsidP="0040706D">
      <w:pPr>
        <w:rPr>
          <w:i/>
          <w:szCs w:val="20"/>
          <w:lang w:val="en-GB"/>
        </w:rPr>
      </w:pPr>
      <w:r w:rsidRPr="00266BE9">
        <w:rPr>
          <w:rFonts w:ascii="Times New Roman" w:eastAsia="Times New Roman" w:hAnsi="Times New Roman" w:cs="Times New Roman"/>
          <w:b/>
          <w:i/>
          <w:sz w:val="20"/>
          <w:szCs w:val="20"/>
          <w:lang w:val="en-GB" w:bidi="en-US"/>
        </w:rPr>
        <w:t xml:space="preserve">JEL Classification: </w:t>
      </w:r>
      <w:bookmarkStart w:id="1" w:name="_Hlk12911913"/>
      <w:r w:rsidR="00ED2920" w:rsidRPr="00266BE9">
        <w:rPr>
          <w:rFonts w:ascii="Times New Roman" w:eastAsia="Times New Roman" w:hAnsi="Times New Roman" w:cs="Times New Roman"/>
          <w:i/>
          <w:sz w:val="20"/>
          <w:szCs w:val="20"/>
          <w:lang w:val="en-GB" w:bidi="en-US"/>
        </w:rPr>
        <w:t>H87,</w:t>
      </w:r>
      <w:r w:rsidR="00ED2920" w:rsidRPr="00266BE9">
        <w:rPr>
          <w:rFonts w:ascii="Times New Roman" w:eastAsia="Times New Roman" w:hAnsi="Times New Roman" w:cs="Times New Roman"/>
          <w:b/>
          <w:i/>
          <w:sz w:val="20"/>
          <w:szCs w:val="20"/>
          <w:lang w:val="en-GB" w:bidi="en-US"/>
        </w:rPr>
        <w:t xml:space="preserve"> </w:t>
      </w:r>
      <w:r w:rsidRPr="00266BE9">
        <w:rPr>
          <w:rFonts w:ascii="Times New Roman" w:eastAsia="Times New Roman" w:hAnsi="Times New Roman" w:cs="Times New Roman"/>
          <w:i/>
          <w:sz w:val="20"/>
          <w:szCs w:val="20"/>
          <w:lang w:val="en-GB" w:bidi="en-US"/>
        </w:rPr>
        <w:t>038, R11</w:t>
      </w:r>
      <w:bookmarkEnd w:id="1"/>
    </w:p>
    <w:p w:rsidR="00D23449" w:rsidRPr="00266BE9" w:rsidRDefault="00D23449" w:rsidP="00A71346">
      <w:pPr>
        <w:spacing w:after="120"/>
        <w:rPr>
          <w:rFonts w:ascii="Times New Roman" w:eastAsia="Times New Roman" w:hAnsi="Times New Roman" w:cs="Times New Roman"/>
          <w:sz w:val="20"/>
          <w:szCs w:val="20"/>
          <w:lang w:val="en-GB" w:bidi="en-US"/>
        </w:rPr>
      </w:pPr>
    </w:p>
    <w:p w:rsidR="00D23449" w:rsidRPr="00266BE9" w:rsidRDefault="00A71346" w:rsidP="00A71346">
      <w:pPr>
        <w:pStyle w:val="Nadpis1"/>
        <w:spacing w:after="120"/>
        <w:jc w:val="left"/>
        <w:rPr>
          <w:rFonts w:ascii="Times New Roman" w:eastAsia="Times New Roman" w:hAnsi="Times New Roman" w:cs="Times New Roman"/>
          <w:b/>
          <w:bCs/>
          <w:color w:val="auto"/>
          <w:sz w:val="22"/>
          <w:szCs w:val="28"/>
          <w:lang w:val="en-GB" w:eastAsia="x-none" w:bidi="en-US"/>
        </w:rPr>
      </w:pPr>
      <w:r w:rsidRPr="00266BE9">
        <w:rPr>
          <w:rFonts w:ascii="Times New Roman" w:eastAsia="Times New Roman" w:hAnsi="Times New Roman" w:cs="Times New Roman"/>
          <w:b/>
          <w:bCs/>
          <w:color w:val="auto"/>
          <w:sz w:val="22"/>
          <w:szCs w:val="28"/>
          <w:lang w:val="en-GB" w:eastAsia="x-none" w:bidi="en-US"/>
        </w:rPr>
        <w:t xml:space="preserve">1 </w:t>
      </w:r>
      <w:r w:rsidR="00D23449" w:rsidRPr="00266BE9">
        <w:rPr>
          <w:rFonts w:ascii="Times New Roman" w:eastAsia="Times New Roman" w:hAnsi="Times New Roman" w:cs="Times New Roman"/>
          <w:b/>
          <w:bCs/>
          <w:color w:val="auto"/>
          <w:sz w:val="22"/>
          <w:szCs w:val="28"/>
          <w:lang w:val="en-GB" w:eastAsia="x-none" w:bidi="en-US"/>
        </w:rPr>
        <w:t>Introduction</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Regional policy is still at the forefront of EU policies. Its significance can be deduced from the fact that within it, funds are allocated in the form of subsidy policy to various areas to support development, especially at local level. We can say that it acts as a catalyst that facilitates the implementation of other policies, increases the efficiency of public and private financial resources. Many multiplier effects are triggered.</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This article focuses on the evaluation of subsidy policy. It seeks to establish a link between the EU funds drawn and their impact on the development of the region concerned. The article seeks to capture these impacts in the most discussed area of subsidies, which are subsidies to private enterprises. Specifically, these are the two priority areas of the Operational Program Enterprise and Innovation for Competitiveness, where the impacts are identified through statistical indicators and their different developments among individual regions of the Czech Republic. The assumption is based on the above-mentioned thesis on the positive impacts of subsidies on the development of the local economy.</w:t>
      </w:r>
    </w:p>
    <w:p w:rsidR="00D23449" w:rsidRPr="00266BE9" w:rsidRDefault="00A71346" w:rsidP="00A71346">
      <w:pPr>
        <w:pStyle w:val="Nadpis1"/>
        <w:spacing w:after="120"/>
        <w:jc w:val="left"/>
        <w:rPr>
          <w:rFonts w:ascii="Times New Roman" w:eastAsia="Times New Roman" w:hAnsi="Times New Roman" w:cs="Times New Roman"/>
          <w:b/>
          <w:bCs/>
          <w:color w:val="auto"/>
          <w:sz w:val="22"/>
          <w:szCs w:val="28"/>
          <w:lang w:val="en-GB" w:eastAsia="x-none" w:bidi="en-US"/>
        </w:rPr>
      </w:pPr>
      <w:r w:rsidRPr="00266BE9">
        <w:rPr>
          <w:rFonts w:ascii="Times New Roman" w:eastAsia="Times New Roman" w:hAnsi="Times New Roman" w:cs="Times New Roman"/>
          <w:b/>
          <w:bCs/>
          <w:color w:val="auto"/>
          <w:sz w:val="22"/>
          <w:szCs w:val="28"/>
          <w:lang w:val="en-GB" w:eastAsia="x-none" w:bidi="en-US"/>
        </w:rPr>
        <w:t xml:space="preserve">2 </w:t>
      </w:r>
      <w:r w:rsidR="00D23449" w:rsidRPr="00266BE9">
        <w:rPr>
          <w:rFonts w:ascii="Times New Roman" w:eastAsia="Times New Roman" w:hAnsi="Times New Roman" w:cs="Times New Roman"/>
          <w:b/>
          <w:bCs/>
          <w:color w:val="auto"/>
          <w:sz w:val="22"/>
          <w:szCs w:val="28"/>
          <w:lang w:val="en-GB" w:eastAsia="x-none" w:bidi="en-US"/>
        </w:rPr>
        <w:t>Regional policy of the EU</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Regional policy is also referred to as cohesion policy, as it expresses solidarity between EU countries (and individual regions). Furthermore, the importance of regional policy stems from its universality. Indeed, the resources invested affect various areas of socio-economic development, the funds spent finance the transport and communication infrastructure, support a sustainability-based economy and promote green resources, support the innovation and competitiveness of SMEs, create new jobs, strengthen and modernize education systems and deepen social inclusion (see EC, 2014).</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 xml:space="preserve">The purpose of regional policy is to promote the development and harmonious development, in particular by reducing social and economic disparities among regions (see </w:t>
      </w:r>
      <w:r w:rsidR="00ED2920" w:rsidRPr="00266BE9">
        <w:rPr>
          <w:rFonts w:ascii="Times New Roman" w:eastAsia="Times New Roman" w:hAnsi="Times New Roman" w:cs="Times New Roman"/>
          <w:sz w:val="20"/>
          <w:szCs w:val="20"/>
          <w:lang w:val="en-GB" w:bidi="en-US"/>
        </w:rPr>
        <w:t>EU,</w:t>
      </w:r>
      <w:r w:rsidRPr="00266BE9">
        <w:rPr>
          <w:rFonts w:ascii="Times New Roman" w:eastAsia="Times New Roman" w:hAnsi="Times New Roman" w:cs="Times New Roman"/>
          <w:sz w:val="20"/>
          <w:szCs w:val="20"/>
          <w:lang w:val="en-GB" w:bidi="en-US"/>
        </w:rPr>
        <w:t xml:space="preserve"> </w:t>
      </w:r>
      <w:r w:rsidR="00ED2920" w:rsidRPr="00266BE9">
        <w:rPr>
          <w:rFonts w:ascii="Times New Roman" w:eastAsia="Times New Roman" w:hAnsi="Times New Roman" w:cs="Times New Roman"/>
          <w:sz w:val="20"/>
          <w:szCs w:val="20"/>
          <w:lang w:val="en-GB" w:bidi="en-US"/>
        </w:rPr>
        <w:t>2012</w:t>
      </w:r>
      <w:r w:rsidRPr="00266BE9">
        <w:rPr>
          <w:rFonts w:ascii="Times New Roman" w:eastAsia="Times New Roman" w:hAnsi="Times New Roman" w:cs="Times New Roman"/>
          <w:sz w:val="20"/>
          <w:szCs w:val="20"/>
          <w:lang w:val="en-GB" w:bidi="en-US"/>
        </w:rPr>
        <w:t xml:space="preserve">). </w:t>
      </w:r>
      <w:proofErr w:type="spellStart"/>
      <w:r w:rsidRPr="00266BE9">
        <w:rPr>
          <w:rFonts w:ascii="Times New Roman" w:eastAsia="Times New Roman" w:hAnsi="Times New Roman" w:cs="Times New Roman"/>
          <w:sz w:val="20"/>
          <w:szCs w:val="20"/>
          <w:lang w:val="en-GB" w:bidi="en-US"/>
        </w:rPr>
        <w:t>Zahradník</w:t>
      </w:r>
      <w:proofErr w:type="spellEnd"/>
      <w:r w:rsidRPr="00266BE9">
        <w:rPr>
          <w:rFonts w:ascii="Times New Roman" w:eastAsia="Times New Roman" w:hAnsi="Times New Roman" w:cs="Times New Roman"/>
          <w:sz w:val="20"/>
          <w:szCs w:val="20"/>
          <w:lang w:val="en-GB" w:bidi="en-US"/>
        </w:rPr>
        <w:t xml:space="preserve"> (2017) recalls that thus formulated policy is a development policy that is also aimed at promoting long-term sustainable growth and prosperity by removing barriers to growth and facilitating the process of structural adjustment.</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 xml:space="preserve">This policy is close to another notion of convergence. This can be characterized simply, for example, by the Commission Communication (2005), according to which the main objective of convergence is to support growth potential for achieving higher growth rates. This objective should be seen taking into account the increase in regional disparities and efforts to reduce these differences. This is expected to contribute to the competitiveness of the Union as a whole. </w:t>
      </w:r>
      <w:proofErr w:type="spellStart"/>
      <w:r w:rsidRPr="00266BE9">
        <w:rPr>
          <w:rFonts w:ascii="Times New Roman" w:eastAsia="Times New Roman" w:hAnsi="Times New Roman" w:cs="Times New Roman"/>
          <w:sz w:val="20"/>
          <w:szCs w:val="20"/>
          <w:lang w:val="en-GB" w:bidi="en-US"/>
        </w:rPr>
        <w:t>Minařík</w:t>
      </w:r>
      <w:proofErr w:type="spellEnd"/>
      <w:r w:rsidRPr="00266BE9">
        <w:rPr>
          <w:rFonts w:ascii="Times New Roman" w:eastAsia="Times New Roman" w:hAnsi="Times New Roman" w:cs="Times New Roman"/>
          <w:sz w:val="20"/>
          <w:szCs w:val="20"/>
          <w:lang w:val="en-GB" w:bidi="en-US"/>
        </w:rPr>
        <w:t xml:space="preserve">, </w:t>
      </w:r>
      <w:proofErr w:type="spellStart"/>
      <w:r w:rsidRPr="00266BE9">
        <w:rPr>
          <w:rFonts w:ascii="Times New Roman" w:eastAsia="Times New Roman" w:hAnsi="Times New Roman" w:cs="Times New Roman"/>
          <w:sz w:val="20"/>
          <w:szCs w:val="20"/>
          <w:lang w:val="en-GB" w:bidi="en-US"/>
        </w:rPr>
        <w:t>Borůvková</w:t>
      </w:r>
      <w:proofErr w:type="spellEnd"/>
      <w:r w:rsidRPr="00266BE9">
        <w:rPr>
          <w:rFonts w:ascii="Times New Roman" w:eastAsia="Times New Roman" w:hAnsi="Times New Roman" w:cs="Times New Roman"/>
          <w:sz w:val="20"/>
          <w:szCs w:val="20"/>
          <w:lang w:val="en-GB" w:bidi="en-US"/>
        </w:rPr>
        <w:t xml:space="preserve">, </w:t>
      </w:r>
      <w:proofErr w:type="spellStart"/>
      <w:r w:rsidRPr="00266BE9">
        <w:rPr>
          <w:rFonts w:ascii="Times New Roman" w:eastAsia="Times New Roman" w:hAnsi="Times New Roman" w:cs="Times New Roman"/>
          <w:sz w:val="20"/>
          <w:szCs w:val="20"/>
          <w:lang w:val="en-GB" w:bidi="en-US"/>
        </w:rPr>
        <w:t>Vystrčil</w:t>
      </w:r>
      <w:proofErr w:type="spellEnd"/>
      <w:r w:rsidRPr="00266BE9">
        <w:rPr>
          <w:rFonts w:ascii="Times New Roman" w:eastAsia="Times New Roman" w:hAnsi="Times New Roman" w:cs="Times New Roman"/>
          <w:sz w:val="20"/>
          <w:szCs w:val="20"/>
          <w:lang w:val="en-GB" w:bidi="en-US"/>
        </w:rPr>
        <w:t xml:space="preserve"> (2013) draw attention to the original concept of convergence </w:t>
      </w:r>
      <w:r w:rsidRPr="00266BE9">
        <w:rPr>
          <w:rFonts w:ascii="Times New Roman" w:eastAsia="Times New Roman" w:hAnsi="Times New Roman" w:cs="Times New Roman"/>
          <w:sz w:val="20"/>
          <w:szCs w:val="20"/>
          <w:lang w:val="en-GB" w:bidi="en-US"/>
        </w:rPr>
        <w:lastRenderedPageBreak/>
        <w:t xml:space="preserve">(the turn of the 1980s and 1990s), which was derived only for the area of economic growth. The approach was based on a neoclassical growth model, where the key issue was to determine whether poorer countries or regions tend to grow faster than the richer countries, and these automatic forces lead to convergence of income or product levels per capita over time (cf. e.g. </w:t>
      </w:r>
      <w:proofErr w:type="spellStart"/>
      <w:r w:rsidRPr="00266BE9">
        <w:rPr>
          <w:rFonts w:ascii="Times New Roman" w:eastAsia="Times New Roman" w:hAnsi="Times New Roman" w:cs="Times New Roman"/>
          <w:sz w:val="20"/>
          <w:szCs w:val="20"/>
          <w:lang w:val="en-GB" w:bidi="en-US"/>
        </w:rPr>
        <w:t>Barro</w:t>
      </w:r>
      <w:proofErr w:type="spellEnd"/>
      <w:r w:rsidRPr="00266BE9">
        <w:rPr>
          <w:rFonts w:ascii="Times New Roman" w:eastAsia="Times New Roman" w:hAnsi="Times New Roman" w:cs="Times New Roman"/>
          <w:sz w:val="20"/>
          <w:szCs w:val="20"/>
          <w:lang w:val="en-GB" w:bidi="en-US"/>
        </w:rPr>
        <w:t>, Sala-</w:t>
      </w:r>
      <w:proofErr w:type="spellStart"/>
      <w:r w:rsidRPr="00266BE9">
        <w:rPr>
          <w:rFonts w:ascii="Times New Roman" w:eastAsia="Times New Roman" w:hAnsi="Times New Roman" w:cs="Times New Roman"/>
          <w:sz w:val="20"/>
          <w:szCs w:val="20"/>
          <w:lang w:val="en-GB" w:bidi="en-US"/>
        </w:rPr>
        <w:t>i</w:t>
      </w:r>
      <w:proofErr w:type="spellEnd"/>
      <w:r w:rsidRPr="00266BE9">
        <w:rPr>
          <w:rFonts w:ascii="Times New Roman" w:eastAsia="Times New Roman" w:hAnsi="Times New Roman" w:cs="Times New Roman"/>
          <w:sz w:val="20"/>
          <w:szCs w:val="20"/>
          <w:lang w:val="en-GB" w:bidi="en-US"/>
        </w:rPr>
        <w:t>-Martin, 1992).</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 xml:space="preserve">Consequently, the concepts of cohesion and convergence partly overlap. In this context, </w:t>
      </w:r>
      <w:proofErr w:type="spellStart"/>
      <w:r w:rsidRPr="00266BE9">
        <w:rPr>
          <w:rFonts w:ascii="Times New Roman" w:eastAsia="Times New Roman" w:hAnsi="Times New Roman" w:cs="Times New Roman"/>
          <w:sz w:val="20"/>
          <w:szCs w:val="20"/>
          <w:lang w:val="en-GB" w:bidi="en-US"/>
        </w:rPr>
        <w:t>Zahradník</w:t>
      </w:r>
      <w:proofErr w:type="spellEnd"/>
      <w:r w:rsidRPr="00266BE9">
        <w:rPr>
          <w:rFonts w:ascii="Times New Roman" w:eastAsia="Times New Roman" w:hAnsi="Times New Roman" w:cs="Times New Roman"/>
          <w:sz w:val="20"/>
          <w:szCs w:val="20"/>
          <w:lang w:val="en-GB" w:bidi="en-US"/>
        </w:rPr>
        <w:t xml:space="preserve"> (2017) notes that finding the appropriate definitions of both concepts will make it easier to solve the old dilemma. This consists in determining what areas should be priorities for cohesion policy targeting. That is, whether the beneficiaries should only be those in the poorest or "only" poor regions, or whether the beneficiaries can be entities from all EU regions. The prevailing opinion of the present on this issue is that cohesion policy should cover all regions. It does not have to be concentrated only on the least developed regions. Convergence can thus be perceived as complementary to the concept of competitiveness.</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 xml:space="preserve">This widespread picture of the focus of EU regional policy says more about its very nature and current implementation. Alternatively, we can also better perceive the current settings of individual sub-objectives (expressed at national level by each operational program). Moreover, as Fiala et al. (2018), it is now largely questionable whether a common market project would be a decisive impulse for the establishing a common regional policy, or whether the attempt to mitigate economic disparities could be considered as the main stimulus. Thus, the realization of the four freedoms (free movement of goods, services, </w:t>
      </w:r>
      <w:proofErr w:type="spellStart"/>
      <w:r w:rsidRPr="00266BE9">
        <w:rPr>
          <w:rFonts w:ascii="Times New Roman" w:eastAsia="Times New Roman" w:hAnsi="Times New Roman" w:cs="Times New Roman"/>
          <w:sz w:val="20"/>
          <w:szCs w:val="20"/>
          <w:lang w:val="en-GB" w:bidi="en-US"/>
        </w:rPr>
        <w:t>labor</w:t>
      </w:r>
      <w:proofErr w:type="spellEnd"/>
      <w:r w:rsidRPr="00266BE9">
        <w:rPr>
          <w:rFonts w:ascii="Times New Roman" w:eastAsia="Times New Roman" w:hAnsi="Times New Roman" w:cs="Times New Roman"/>
          <w:sz w:val="20"/>
          <w:szCs w:val="20"/>
          <w:lang w:val="en-GB" w:bidi="en-US"/>
        </w:rPr>
        <w:t xml:space="preserve"> and capital) cannot in itself ensure balanced economic growth throughout the common market (see </w:t>
      </w:r>
      <w:proofErr w:type="spellStart"/>
      <w:r w:rsidRPr="00266BE9">
        <w:rPr>
          <w:rFonts w:ascii="Times New Roman" w:eastAsia="Times New Roman" w:hAnsi="Times New Roman" w:cs="Times New Roman"/>
          <w:sz w:val="20"/>
          <w:szCs w:val="20"/>
          <w:lang w:val="en-GB" w:bidi="en-US"/>
        </w:rPr>
        <w:t>eg</w:t>
      </w:r>
      <w:proofErr w:type="spellEnd"/>
      <w:r w:rsidRPr="00266BE9">
        <w:rPr>
          <w:rFonts w:ascii="Times New Roman" w:eastAsia="Times New Roman" w:hAnsi="Times New Roman" w:cs="Times New Roman"/>
          <w:sz w:val="20"/>
          <w:szCs w:val="20"/>
          <w:lang w:val="en-GB" w:bidi="en-US"/>
        </w:rPr>
        <w:t xml:space="preserve"> </w:t>
      </w:r>
      <w:proofErr w:type="spellStart"/>
      <w:r w:rsidRPr="00266BE9">
        <w:rPr>
          <w:rFonts w:ascii="Times New Roman" w:eastAsia="Times New Roman" w:hAnsi="Times New Roman" w:cs="Times New Roman"/>
          <w:sz w:val="20"/>
          <w:szCs w:val="20"/>
          <w:lang w:val="en-GB" w:bidi="en-US"/>
        </w:rPr>
        <w:t>Fiala</w:t>
      </w:r>
      <w:proofErr w:type="spellEnd"/>
      <w:r w:rsidRPr="00266BE9">
        <w:rPr>
          <w:rFonts w:ascii="Times New Roman" w:eastAsia="Times New Roman" w:hAnsi="Times New Roman" w:cs="Times New Roman"/>
          <w:sz w:val="20"/>
          <w:szCs w:val="20"/>
          <w:lang w:val="en-GB" w:bidi="en-US"/>
        </w:rPr>
        <w:t xml:space="preserve"> et al., 2018). From this point of view, regional policy is rightly marked as "controversial". Supporting the mitigation of the common market paradoxically leads to the implementing measures that act against the principles of free competition.</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The above arguments thus raise the question of how regional policy is currently being implemented and how it contributes to deepening the cohesion of EU regions and at the same time contributes to increasing competitiveness (</w:t>
      </w:r>
      <w:proofErr w:type="spellStart"/>
      <w:r w:rsidRPr="00266BE9">
        <w:rPr>
          <w:rFonts w:ascii="Times New Roman" w:eastAsia="Times New Roman" w:hAnsi="Times New Roman" w:cs="Times New Roman"/>
          <w:sz w:val="20"/>
          <w:szCs w:val="20"/>
          <w:lang w:val="en-GB" w:bidi="en-US"/>
        </w:rPr>
        <w:t>eg</w:t>
      </w:r>
      <w:proofErr w:type="spellEnd"/>
      <w:r w:rsidRPr="00266BE9">
        <w:rPr>
          <w:rFonts w:ascii="Times New Roman" w:eastAsia="Times New Roman" w:hAnsi="Times New Roman" w:cs="Times New Roman"/>
          <w:sz w:val="20"/>
          <w:szCs w:val="20"/>
          <w:lang w:val="en-GB" w:bidi="en-US"/>
        </w:rPr>
        <w:t xml:space="preserve"> at regional level).</w:t>
      </w:r>
    </w:p>
    <w:p w:rsidR="00D23449" w:rsidRPr="00266BE9" w:rsidRDefault="00A71346" w:rsidP="00A71346">
      <w:pPr>
        <w:pStyle w:val="Nadpis2"/>
        <w:rPr>
          <w:lang w:val="en-GB"/>
        </w:rPr>
      </w:pPr>
      <w:r w:rsidRPr="00266BE9">
        <w:rPr>
          <w:lang w:val="en-GB"/>
        </w:rPr>
        <w:t xml:space="preserve">2.1 </w:t>
      </w:r>
      <w:r w:rsidR="00D23449" w:rsidRPr="00266BE9">
        <w:rPr>
          <w:lang w:val="en-GB"/>
        </w:rPr>
        <w:t>The current form of EU regional policy</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The actual implementation of regional policy is based on the partnership between the national and regional authorities of the Member States on the one hand and the European Commission on the other side. For this purpose, funds are earmarked in the European funds, which in the current programming period are called Structural and Investment Funds or other funds. The link between the EU and the Member State is then evident in the investment priorities that Member States will create. At the same time, they will present proposals for theirs operational programs setting out its objectives for specific areas. When they are discussed by the European Commission with the authorities of the Member States, they are implemented and the efforts are focused on achieving both national and European goals.</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The content of EU regional policy is gradually evolving. We are now talking about its fifth development stage, which is embedded in the programming period 2014 to 2020. We can say that its form is focused on performance, economy and efficiency. Although its targeting of weak regions has been mentioned above, the degree of solidarity with these regions gradually loosens. Its targeting is so much wider than it was in previous programming periods. On the other hand, it is possible to perceive a deepening effort to make its use conditional on many qualitative conditions.</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Current regional policy focuses on two goals:</w:t>
      </w:r>
    </w:p>
    <w:p w:rsidR="00D23449" w:rsidRPr="00266BE9" w:rsidRDefault="00D23449" w:rsidP="00A71346">
      <w:pPr>
        <w:pStyle w:val="Odstavecseseznamem"/>
        <w:numPr>
          <w:ilvl w:val="0"/>
          <w:numId w:val="4"/>
        </w:numPr>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investment for growth and employment,</w:t>
      </w:r>
    </w:p>
    <w:p w:rsidR="00D23449" w:rsidRPr="00266BE9" w:rsidRDefault="00D23449" w:rsidP="0091430A">
      <w:pPr>
        <w:pStyle w:val="Odstavecseseznamem"/>
        <w:numPr>
          <w:ilvl w:val="0"/>
          <w:numId w:val="4"/>
        </w:numPr>
        <w:spacing w:after="120"/>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European territorial cooperation.</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Both objectives and their achievement are thus evident in the individual operational programs linked to the provision of subsidies (although there is an apparent effort to make more use of returnable financial instruments). It is also worth mentioning the rule, which was adopted from the previous programming period 2007 - 2013. This is related to the possibility of drawing on funds after 2020. This is the so-called "n + 3" rule, which affects the eligibility of expenditure (in the previous period a more limited rule "n + 2"). This time rule is an advantage for the implementation of regional policy, because it allows for a better drawdown of the prepared funds. However, in the case of analysis it makes its implementation more difficult. The definite timing of the impacts is less difficult to define.</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In the case of the Czech Republic, funds from the Structural and Investment Funds are allocated through ten national operational programs in this programming period (cf. MMR, 2019):</w:t>
      </w:r>
    </w:p>
    <w:p w:rsidR="00D23449" w:rsidRPr="00266BE9" w:rsidRDefault="00D23449" w:rsidP="00A71346">
      <w:pPr>
        <w:pStyle w:val="Odstavecseseznamem"/>
        <w:numPr>
          <w:ilvl w:val="0"/>
          <w:numId w:val="4"/>
        </w:numPr>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 xml:space="preserve">Operational Programme Enterprise and Innovation for Competitiveness, </w:t>
      </w:r>
    </w:p>
    <w:p w:rsidR="00D23449" w:rsidRPr="00266BE9" w:rsidRDefault="00D23449" w:rsidP="00A71346">
      <w:pPr>
        <w:pStyle w:val="Odstavecseseznamem"/>
        <w:numPr>
          <w:ilvl w:val="0"/>
          <w:numId w:val="4"/>
        </w:numPr>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Operational Programme Research, Development and Education,</w:t>
      </w:r>
    </w:p>
    <w:p w:rsidR="00D23449" w:rsidRPr="00266BE9" w:rsidRDefault="00D23449" w:rsidP="00A71346">
      <w:pPr>
        <w:pStyle w:val="Odstavecseseznamem"/>
        <w:numPr>
          <w:ilvl w:val="0"/>
          <w:numId w:val="4"/>
        </w:numPr>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Operational Programme Employment,</w:t>
      </w:r>
    </w:p>
    <w:p w:rsidR="00D23449" w:rsidRPr="00266BE9" w:rsidRDefault="00D23449" w:rsidP="00A71346">
      <w:pPr>
        <w:pStyle w:val="Odstavecseseznamem"/>
        <w:numPr>
          <w:ilvl w:val="0"/>
          <w:numId w:val="4"/>
        </w:numPr>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lastRenderedPageBreak/>
        <w:t>Operational Programme Transport,</w:t>
      </w:r>
    </w:p>
    <w:p w:rsidR="00D23449" w:rsidRPr="00266BE9" w:rsidRDefault="00D23449" w:rsidP="00A71346">
      <w:pPr>
        <w:pStyle w:val="Odstavecseseznamem"/>
        <w:numPr>
          <w:ilvl w:val="0"/>
          <w:numId w:val="4"/>
        </w:numPr>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 xml:space="preserve">Operational Programme Environment, </w:t>
      </w:r>
    </w:p>
    <w:p w:rsidR="00D23449" w:rsidRPr="00266BE9" w:rsidRDefault="00D23449" w:rsidP="00A71346">
      <w:pPr>
        <w:pStyle w:val="Odstavecseseznamem"/>
        <w:numPr>
          <w:ilvl w:val="0"/>
          <w:numId w:val="4"/>
        </w:numPr>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 xml:space="preserve">Integrated Regional Operational Programme, </w:t>
      </w:r>
    </w:p>
    <w:p w:rsidR="00D23449" w:rsidRPr="00266BE9" w:rsidRDefault="00D23449" w:rsidP="00A71346">
      <w:pPr>
        <w:pStyle w:val="Odstavecseseznamem"/>
        <w:numPr>
          <w:ilvl w:val="0"/>
          <w:numId w:val="4"/>
        </w:numPr>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Operational Programme Prague – Growth Pole of the Czech Republic,</w:t>
      </w:r>
    </w:p>
    <w:p w:rsidR="00D23449" w:rsidRPr="00266BE9" w:rsidRDefault="00D23449" w:rsidP="00A71346">
      <w:pPr>
        <w:pStyle w:val="Odstavecseseznamem"/>
        <w:numPr>
          <w:ilvl w:val="0"/>
          <w:numId w:val="4"/>
        </w:numPr>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Operational Programme Technical Assistance,</w:t>
      </w:r>
    </w:p>
    <w:p w:rsidR="00D23449" w:rsidRPr="00266BE9" w:rsidRDefault="00D23449" w:rsidP="00A71346">
      <w:pPr>
        <w:pStyle w:val="Odstavecseseznamem"/>
        <w:numPr>
          <w:ilvl w:val="0"/>
          <w:numId w:val="4"/>
        </w:numPr>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Operational Programme Fisheries 2014–2020,</w:t>
      </w:r>
    </w:p>
    <w:p w:rsidR="00D23449" w:rsidRPr="00266BE9" w:rsidRDefault="00A71346" w:rsidP="00A71346">
      <w:pPr>
        <w:pStyle w:val="Odstavecseseznamem"/>
        <w:numPr>
          <w:ilvl w:val="0"/>
          <w:numId w:val="4"/>
        </w:numPr>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Rural Development Programme.</w:t>
      </w:r>
    </w:p>
    <w:p w:rsidR="00D23449" w:rsidRPr="00266BE9" w:rsidRDefault="00A71346" w:rsidP="00A71346">
      <w:pPr>
        <w:pStyle w:val="Nadpis2"/>
        <w:rPr>
          <w:lang w:val="en-GB"/>
        </w:rPr>
      </w:pPr>
      <w:r w:rsidRPr="00266BE9">
        <w:rPr>
          <w:lang w:val="en-GB"/>
        </w:rPr>
        <w:t xml:space="preserve">2.2 </w:t>
      </w:r>
      <w:r w:rsidR="00D23449" w:rsidRPr="00266BE9">
        <w:rPr>
          <w:lang w:val="en-GB"/>
        </w:rPr>
        <w:t>Drawdown and impact assessment</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The success of regional policy implementation is primarily related to the choice of the appropriate instrument. Significant tools by which regional policy can influence the economic and social situation in the region are the instruments supporting the allocation of resources (Armstrong and Taylor, 2000). Here we can include all forms of capital - that is, human, material and financial. In the context of this article, we will be particularly interested in the funds that are provided, as stated above through the Structural and Investment Funds in the form of subsidies.</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 xml:space="preserve">The basis for providing resources and evaluating their use in the 2014-2020 programming period was based on a certain reform of the entire cohesion policy. </w:t>
      </w:r>
      <w:proofErr w:type="spellStart"/>
      <w:r w:rsidRPr="00266BE9">
        <w:rPr>
          <w:rFonts w:ascii="Times New Roman" w:eastAsia="Times New Roman" w:hAnsi="Times New Roman" w:cs="Times New Roman"/>
          <w:sz w:val="20"/>
          <w:szCs w:val="20"/>
          <w:lang w:val="en-GB" w:bidi="en-US"/>
        </w:rPr>
        <w:t>Zahradník</w:t>
      </w:r>
      <w:proofErr w:type="spellEnd"/>
      <w:r w:rsidRPr="00266BE9">
        <w:rPr>
          <w:rFonts w:ascii="Times New Roman" w:eastAsia="Times New Roman" w:hAnsi="Times New Roman" w:cs="Times New Roman"/>
          <w:sz w:val="20"/>
          <w:szCs w:val="20"/>
          <w:lang w:val="en-GB" w:bidi="en-US"/>
        </w:rPr>
        <w:t xml:space="preserve"> (2017) outlines ten basic pillars aiming to improve the entire resource delivery system so that regional policy can respond adequately to EU challenges. It is on this level that the aim of this paper is to find out the situation in the drawdown of funds and, based on statistical indicators to evaluate the impacts of provided subsidies on the situation in the Czech Republic.</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The above overview of the ten national operational programs it is diverse in its entirety. Therefore, the focus was only on selected areas of support. Specifically, the OP Enterprise and Innovation for Competitiveness was selected and managed by the Ministry of Industry and Trade. This program is also quite heterogeneous. The funds are further provided within the sub-priority axes:</w:t>
      </w:r>
    </w:p>
    <w:p w:rsidR="00D23449" w:rsidRPr="00266BE9" w:rsidRDefault="00D23449" w:rsidP="00A71346">
      <w:pPr>
        <w:pStyle w:val="Odstavecseseznamem"/>
        <w:numPr>
          <w:ilvl w:val="0"/>
          <w:numId w:val="4"/>
        </w:numPr>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Promotion of research and development for innovation</w:t>
      </w:r>
      <w:r w:rsidR="0091430A" w:rsidRPr="00266BE9">
        <w:rPr>
          <w:rFonts w:ascii="Times New Roman" w:eastAsia="Times New Roman" w:hAnsi="Times New Roman" w:cs="Times New Roman"/>
          <w:sz w:val="20"/>
          <w:szCs w:val="20"/>
          <w:lang w:val="en-GB" w:bidi="en-US"/>
        </w:rPr>
        <w:t>,</w:t>
      </w:r>
    </w:p>
    <w:p w:rsidR="00D23449" w:rsidRPr="00266BE9" w:rsidRDefault="00D23449" w:rsidP="00A71346">
      <w:pPr>
        <w:pStyle w:val="Odstavecseseznamem"/>
        <w:numPr>
          <w:ilvl w:val="0"/>
          <w:numId w:val="4"/>
        </w:numPr>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Development of SMEs’ entrepreneurship and competitiveness</w:t>
      </w:r>
      <w:r w:rsidR="0091430A" w:rsidRPr="00266BE9">
        <w:rPr>
          <w:rFonts w:ascii="Times New Roman" w:eastAsia="Times New Roman" w:hAnsi="Times New Roman" w:cs="Times New Roman"/>
          <w:sz w:val="20"/>
          <w:szCs w:val="20"/>
          <w:lang w:val="en-GB" w:bidi="en-US"/>
        </w:rPr>
        <w:t>,</w:t>
      </w:r>
    </w:p>
    <w:p w:rsidR="00D23449" w:rsidRPr="00266BE9" w:rsidRDefault="00D23449" w:rsidP="00A71346">
      <w:pPr>
        <w:pStyle w:val="Odstavecseseznamem"/>
        <w:numPr>
          <w:ilvl w:val="0"/>
          <w:numId w:val="4"/>
        </w:numPr>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Efficient energy management, development of energy infrastructure and renewable energy sources, support for the introduction of new technologies in the management of energy and secondary raw materials</w:t>
      </w:r>
      <w:r w:rsidR="0091430A" w:rsidRPr="00266BE9">
        <w:rPr>
          <w:rFonts w:ascii="Times New Roman" w:eastAsia="Times New Roman" w:hAnsi="Times New Roman" w:cs="Times New Roman"/>
          <w:sz w:val="20"/>
          <w:szCs w:val="20"/>
          <w:lang w:val="en-GB" w:bidi="en-US"/>
        </w:rPr>
        <w:t>,</w:t>
      </w:r>
    </w:p>
    <w:p w:rsidR="00D23449" w:rsidRPr="00266BE9" w:rsidRDefault="00D23449" w:rsidP="00A71346">
      <w:pPr>
        <w:pStyle w:val="Odstavecseseznamem"/>
        <w:numPr>
          <w:ilvl w:val="0"/>
          <w:numId w:val="4"/>
        </w:numPr>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Development of high-speed internet access networks and information and communications technologies</w:t>
      </w:r>
      <w:r w:rsidR="0091430A" w:rsidRPr="00266BE9">
        <w:rPr>
          <w:rFonts w:ascii="Times New Roman" w:eastAsia="Times New Roman" w:hAnsi="Times New Roman" w:cs="Times New Roman"/>
          <w:sz w:val="20"/>
          <w:szCs w:val="20"/>
          <w:lang w:val="en-GB" w:bidi="en-US"/>
        </w:rPr>
        <w:t>,</w:t>
      </w:r>
    </w:p>
    <w:p w:rsidR="00D23449" w:rsidRPr="00266BE9" w:rsidRDefault="00D23449" w:rsidP="0091430A">
      <w:pPr>
        <w:pStyle w:val="Odstavecseseznamem"/>
        <w:numPr>
          <w:ilvl w:val="0"/>
          <w:numId w:val="4"/>
        </w:numPr>
        <w:spacing w:after="120"/>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Technical assistance</w:t>
      </w:r>
      <w:r w:rsidR="0091430A" w:rsidRPr="00266BE9">
        <w:rPr>
          <w:rFonts w:ascii="Times New Roman" w:eastAsia="Times New Roman" w:hAnsi="Times New Roman" w:cs="Times New Roman"/>
          <w:sz w:val="20"/>
          <w:szCs w:val="20"/>
          <w:lang w:val="en-GB" w:bidi="en-US"/>
        </w:rPr>
        <w:t>.</w:t>
      </w:r>
    </w:p>
    <w:p w:rsidR="00092020"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 xml:space="preserve">Since the targeting needs to be supplemented by static indicators, the first priority axis, which is aimed at supporting research and innovation creation, has been chosen. </w:t>
      </w:r>
    </w:p>
    <w:p w:rsidR="00FB2AE8" w:rsidRPr="00266BE9" w:rsidRDefault="00FB2AE8" w:rsidP="0091430A">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 xml:space="preserve">These are mainly private sector entities that implement innovation-related projects. In order to capture the impact of these subsidies, it is necessary to look at the reasons and possible impacts that granting subsidies can bring to private entities. </w:t>
      </w:r>
      <w:proofErr w:type="spellStart"/>
      <w:r w:rsidRPr="00266BE9">
        <w:rPr>
          <w:rFonts w:ascii="Times New Roman" w:eastAsia="Times New Roman" w:hAnsi="Times New Roman" w:cs="Times New Roman"/>
          <w:sz w:val="20"/>
          <w:szCs w:val="20"/>
          <w:lang w:val="en-GB" w:bidi="en-US"/>
        </w:rPr>
        <w:t>Vanino</w:t>
      </w:r>
      <w:proofErr w:type="spellEnd"/>
      <w:r w:rsidRPr="00266BE9">
        <w:rPr>
          <w:rFonts w:ascii="Times New Roman" w:eastAsia="Times New Roman" w:hAnsi="Times New Roman" w:cs="Times New Roman"/>
          <w:sz w:val="20"/>
          <w:szCs w:val="20"/>
          <w:lang w:val="en-GB" w:bidi="en-US"/>
        </w:rPr>
        <w:t>, Roper, Becker (2019) mention four possible effects of public support on businesses and their performance or innovation capacity:</w:t>
      </w:r>
    </w:p>
    <w:p w:rsidR="00FB2AE8" w:rsidRPr="00266BE9" w:rsidRDefault="00FB2AE8" w:rsidP="0091430A">
      <w:pPr>
        <w:pStyle w:val="Odstavecseseznamem"/>
        <w:numPr>
          <w:ilvl w:val="0"/>
          <w:numId w:val="4"/>
        </w:numPr>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public support can increase liquidity and strengthen the financial situation of the business by helping to overcome the innovation risks and increasing the probability that the company will realize a risk project; at the same time, however, the company's dependence on support increases,</w:t>
      </w:r>
    </w:p>
    <w:p w:rsidR="00FB2AE8" w:rsidRPr="00266BE9" w:rsidRDefault="00FB2AE8" w:rsidP="0091430A">
      <w:pPr>
        <w:pStyle w:val="Odstavecseseznamem"/>
        <w:numPr>
          <w:ilvl w:val="0"/>
          <w:numId w:val="4"/>
        </w:numPr>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public support promotes private R&amp;D expenditure and innovation through cost sharing;</w:t>
      </w:r>
    </w:p>
    <w:p w:rsidR="00FB2AE8" w:rsidRPr="00266BE9" w:rsidRDefault="00FB2AE8" w:rsidP="0091430A">
      <w:pPr>
        <w:pStyle w:val="Odstavecseseznamem"/>
        <w:numPr>
          <w:ilvl w:val="0"/>
          <w:numId w:val="4"/>
        </w:numPr>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the importance of public support is particularly evident when innovations bring extensive social benefits,</w:t>
      </w:r>
    </w:p>
    <w:p w:rsidR="00FB2AE8" w:rsidRPr="00266BE9" w:rsidRDefault="00FB2AE8" w:rsidP="0091430A">
      <w:pPr>
        <w:pStyle w:val="Odstavecseseznamem"/>
        <w:numPr>
          <w:ilvl w:val="0"/>
          <w:numId w:val="4"/>
        </w:numPr>
        <w:spacing w:after="120"/>
        <w:ind w:left="714" w:hanging="357"/>
        <w:contextualSpacing w:val="0"/>
        <w:rPr>
          <w:rFonts w:ascii="Times New Roman" w:eastAsia="Times New Roman" w:hAnsi="Times New Roman" w:cs="Times New Roman"/>
          <w:sz w:val="20"/>
          <w:szCs w:val="20"/>
          <w:lang w:val="en-GB" w:bidi="en-US"/>
        </w:rPr>
      </w:pPr>
      <w:proofErr w:type="gramStart"/>
      <w:r w:rsidRPr="00266BE9">
        <w:rPr>
          <w:rFonts w:ascii="Times New Roman" w:eastAsia="Times New Roman" w:hAnsi="Times New Roman" w:cs="Times New Roman"/>
          <w:sz w:val="20"/>
          <w:szCs w:val="20"/>
          <w:lang w:val="en-GB" w:bidi="en-US"/>
        </w:rPr>
        <w:t>public</w:t>
      </w:r>
      <w:proofErr w:type="gramEnd"/>
      <w:r w:rsidRPr="00266BE9">
        <w:rPr>
          <w:rFonts w:ascii="Times New Roman" w:eastAsia="Times New Roman" w:hAnsi="Times New Roman" w:cs="Times New Roman"/>
          <w:sz w:val="20"/>
          <w:szCs w:val="20"/>
          <w:lang w:val="en-GB" w:bidi="en-US"/>
        </w:rPr>
        <w:t xml:space="preserve"> support can encourage cooperation with other actors, creating new knowledge, experience and skills.</w:t>
      </w:r>
    </w:p>
    <w:p w:rsidR="00FB2AE8" w:rsidRPr="00266BE9" w:rsidRDefault="00FB2AE8" w:rsidP="006F6043">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 xml:space="preserve">The overview is rather general. However, from the point of view of our investigation, it suggests that the potential impacts may be reflected in the economic situation of the supported enterprise. However, </w:t>
      </w:r>
      <w:proofErr w:type="spellStart"/>
      <w:r w:rsidRPr="00266BE9">
        <w:rPr>
          <w:rFonts w:ascii="Times New Roman" w:eastAsia="Times New Roman" w:hAnsi="Times New Roman" w:cs="Times New Roman"/>
          <w:sz w:val="20"/>
          <w:szCs w:val="20"/>
          <w:lang w:val="en-GB" w:bidi="en-US"/>
        </w:rPr>
        <w:t>Bayona-Sáez</w:t>
      </w:r>
      <w:proofErr w:type="spellEnd"/>
      <w:r w:rsidRPr="00266BE9">
        <w:rPr>
          <w:rFonts w:ascii="Times New Roman" w:eastAsia="Times New Roman" w:hAnsi="Times New Roman" w:cs="Times New Roman"/>
          <w:sz w:val="20"/>
          <w:szCs w:val="20"/>
          <w:lang w:val="en-GB" w:bidi="en-US"/>
        </w:rPr>
        <w:t xml:space="preserve">, </w:t>
      </w:r>
      <w:proofErr w:type="spellStart"/>
      <w:r w:rsidRPr="00266BE9">
        <w:rPr>
          <w:rFonts w:ascii="Times New Roman" w:eastAsia="Times New Roman" w:hAnsi="Times New Roman" w:cs="Times New Roman"/>
          <w:sz w:val="20"/>
          <w:szCs w:val="20"/>
          <w:lang w:val="en-GB" w:bidi="en-US"/>
        </w:rPr>
        <w:t>García</w:t>
      </w:r>
      <w:proofErr w:type="spellEnd"/>
      <w:r w:rsidRPr="00266BE9">
        <w:rPr>
          <w:rFonts w:ascii="Times New Roman" w:eastAsia="Times New Roman" w:hAnsi="Times New Roman" w:cs="Times New Roman"/>
          <w:sz w:val="20"/>
          <w:szCs w:val="20"/>
          <w:lang w:val="en-GB" w:bidi="en-US"/>
        </w:rPr>
        <w:t>-Marco (2010) draws attention to possible difficulties in choosing appropriate indicators. In their view, public support has an impact on strengthening the company's competitiveness (achieving a competitive advantage). However, it no longer reflects in strengthening profitability.</w:t>
      </w:r>
    </w:p>
    <w:p w:rsidR="00BC70F4" w:rsidRPr="00266BE9" w:rsidRDefault="00BC70F4" w:rsidP="006F6043">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The impact of support was also addressed by Fotopoulos and Storey (2019), who demonstrated, among other things, different impacts in the area. In the medium term, support for enterprises in low-enterprise areas seems less effective. Conversely, in areas with market-growing potential, it is reflected in higher economic growth, an increase in attractiveness for immigrants and a higher level of human capital.</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lastRenderedPageBreak/>
        <w:t>From the database of the Czech Statistical Office, the analysis focused on indicators that relate to recording changes in innovation. However, before approaching appropriate indicators, it is still necessary to stop the way the whole assessment is carried out.</w:t>
      </w:r>
    </w:p>
    <w:p w:rsidR="00D23449" w:rsidRPr="00266BE9" w:rsidRDefault="00A71346" w:rsidP="00A71346">
      <w:pPr>
        <w:pStyle w:val="Nadpis1"/>
        <w:spacing w:after="120"/>
        <w:jc w:val="left"/>
        <w:rPr>
          <w:rFonts w:ascii="Times New Roman" w:eastAsia="Times New Roman" w:hAnsi="Times New Roman" w:cs="Times New Roman"/>
          <w:b/>
          <w:bCs/>
          <w:color w:val="auto"/>
          <w:sz w:val="22"/>
          <w:szCs w:val="28"/>
          <w:lang w:val="en-GB" w:eastAsia="x-none" w:bidi="en-US"/>
        </w:rPr>
      </w:pPr>
      <w:r w:rsidRPr="00266BE9">
        <w:rPr>
          <w:rFonts w:ascii="Times New Roman" w:eastAsia="Times New Roman" w:hAnsi="Times New Roman" w:cs="Times New Roman"/>
          <w:b/>
          <w:bCs/>
          <w:color w:val="auto"/>
          <w:sz w:val="22"/>
          <w:szCs w:val="28"/>
          <w:lang w:val="en-GB" w:eastAsia="x-none" w:bidi="en-US"/>
        </w:rPr>
        <w:t xml:space="preserve">3 </w:t>
      </w:r>
      <w:r w:rsidR="00D23449" w:rsidRPr="00266BE9">
        <w:rPr>
          <w:rFonts w:ascii="Times New Roman" w:eastAsia="Times New Roman" w:hAnsi="Times New Roman" w:cs="Times New Roman"/>
          <w:b/>
          <w:bCs/>
          <w:color w:val="auto"/>
          <w:sz w:val="22"/>
          <w:szCs w:val="28"/>
          <w:lang w:val="en-GB" w:eastAsia="x-none" w:bidi="en-US"/>
        </w:rPr>
        <w:t>Methodology of analysis</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The basic criterion of the whole evaluation is the situation of the multi-year drawdown of most of the Structural and Investment Fund subsidies. This reduces the possibility of using time-based analysis over time. In addition, considering the differing lengths of drawdowns across individual grant applications, and considering that we only have the knowledge of the total amount drawn (not sorted per year), the above-mentioned method of assessment over time becomes more complicated.</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The analysis of spatial drawing of the relevant funds became the basis of the analysis. The Ministry for Regional Development (</w:t>
      </w:r>
      <w:r w:rsidR="00F8554A" w:rsidRPr="00266BE9">
        <w:rPr>
          <w:rFonts w:ascii="Times New Roman" w:eastAsia="Times New Roman" w:hAnsi="Times New Roman" w:cs="Times New Roman"/>
          <w:sz w:val="20"/>
          <w:szCs w:val="20"/>
          <w:lang w:val="en-GB" w:bidi="en-US"/>
        </w:rPr>
        <w:t xml:space="preserve">MMR, </w:t>
      </w:r>
      <w:r w:rsidRPr="00266BE9">
        <w:rPr>
          <w:rFonts w:ascii="Times New Roman" w:eastAsia="Times New Roman" w:hAnsi="Times New Roman" w:cs="Times New Roman"/>
          <w:sz w:val="20"/>
          <w:szCs w:val="20"/>
          <w:lang w:val="en-GB" w:bidi="en-US"/>
        </w:rPr>
        <w:t>2019) provides a constantly updated overview of submitted and implemented grant applications. At the same time, the drawdown can be distinguished at the level of individual regions. The limitation here was the fact that some projects are carried out in a territory involving more regions. In this respect, some simplification was made and the funds drawn were evenly distributed among the regions. The assumption of the possibility to determine the region in which the respective grant is implemented is thus the cornerstone of the whole analysis. The disadvantage is some distortion of the analysis results. With regard to the low range of multi-country projects in comparison with other projects implemented in the territory of one region, the possibility of distorting the results is acceptable.</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The analysis therefore focused on the comparison of the drawdown of funds in individual regions. The correspondence analysis was chosen as the main tool of the whole comparison. This is a method based on an analysis of the structure of interdependencies of two or more nominal and ordinal variables arranged in a pivot table. According to Clausen (1998), the main purpose of correspondence analysis is to reveal the structure of a data set matrix by replacing raw data with a simpler data matrix without losing substantial information. This means eliminating noise and unnecessary information.</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 xml:space="preserve">According to </w:t>
      </w:r>
      <w:proofErr w:type="spellStart"/>
      <w:r w:rsidRPr="00266BE9">
        <w:rPr>
          <w:rFonts w:ascii="Times New Roman" w:eastAsia="Times New Roman" w:hAnsi="Times New Roman" w:cs="Times New Roman"/>
          <w:sz w:val="20"/>
          <w:szCs w:val="20"/>
          <w:lang w:val="en-GB" w:bidi="en-US"/>
        </w:rPr>
        <w:t>Hebák</w:t>
      </w:r>
      <w:proofErr w:type="spellEnd"/>
      <w:r w:rsidRPr="00266BE9">
        <w:rPr>
          <w:rFonts w:ascii="Times New Roman" w:eastAsia="Times New Roman" w:hAnsi="Times New Roman" w:cs="Times New Roman"/>
          <w:sz w:val="20"/>
          <w:szCs w:val="20"/>
          <w:lang w:val="en-GB" w:bidi="en-US"/>
        </w:rPr>
        <w:t xml:space="preserve"> et al. (2007) is a popular tool method esp</w:t>
      </w:r>
      <w:r w:rsidR="00F8554A" w:rsidRPr="00266BE9">
        <w:rPr>
          <w:rFonts w:ascii="Times New Roman" w:eastAsia="Times New Roman" w:hAnsi="Times New Roman" w:cs="Times New Roman"/>
          <w:sz w:val="20"/>
          <w:szCs w:val="20"/>
          <w:lang w:val="en-GB" w:bidi="en-US"/>
        </w:rPr>
        <w:t>ecially when processing larger p</w:t>
      </w:r>
      <w:r w:rsidRPr="00266BE9">
        <w:rPr>
          <w:rFonts w:ascii="Times New Roman" w:eastAsia="Times New Roman" w:hAnsi="Times New Roman" w:cs="Times New Roman"/>
          <w:sz w:val="20"/>
          <w:szCs w:val="20"/>
          <w:lang w:val="en-GB" w:bidi="en-US"/>
        </w:rPr>
        <w:t>ivot</w:t>
      </w:r>
      <w:r w:rsidR="00F8554A" w:rsidRPr="00266BE9">
        <w:rPr>
          <w:rFonts w:ascii="Times New Roman" w:eastAsia="Times New Roman" w:hAnsi="Times New Roman" w:cs="Times New Roman"/>
          <w:sz w:val="20"/>
          <w:szCs w:val="20"/>
          <w:lang w:val="en-GB" w:bidi="en-US"/>
        </w:rPr>
        <w:t xml:space="preserve"> t</w:t>
      </w:r>
      <w:r w:rsidRPr="00266BE9">
        <w:rPr>
          <w:rFonts w:ascii="Times New Roman" w:eastAsia="Times New Roman" w:hAnsi="Times New Roman" w:cs="Times New Roman"/>
          <w:sz w:val="20"/>
          <w:szCs w:val="20"/>
          <w:lang w:val="en-GB" w:bidi="en-US"/>
        </w:rPr>
        <w:t>ables that contain multiple categories, and when graphical methods become more transparent than numeric tables. Since correspondence analysis essentially allows research on the dependencies of nominal and ordinal variables, it is necessary to first categorize any continuous variables.</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The graphical output of the so-called correspondence map contains two groups of points, namely I-points of line categories (objects) and J-points of column categories (characters). Each row (or column) of the correspondence table can be imagined as a point in the I-dimensional (J-dimensional) space. The relative distances of the points can be transferred to the two-dimensional Euclidean plane, in which the points will correspond to the individual categories. The ordinary output of the correspondence analysis contains the "best" two-dimensional data display.</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 xml:space="preserve">Each table row or column represents a point in the J-dimensional (or I-dimensional) space with coordinates corresponding to the values of the respective profiles. You can then calculate distances between points. By distance we mean the distance between line and column profiles. The purpose of the whole analysis is, according to </w:t>
      </w:r>
      <w:proofErr w:type="spellStart"/>
      <w:r w:rsidRPr="00266BE9">
        <w:rPr>
          <w:rFonts w:ascii="Times New Roman" w:eastAsia="Times New Roman" w:hAnsi="Times New Roman" w:cs="Times New Roman"/>
          <w:sz w:val="20"/>
          <w:szCs w:val="20"/>
          <w:lang w:val="en-GB" w:bidi="en-US"/>
        </w:rPr>
        <w:t>Hebák</w:t>
      </w:r>
      <w:proofErr w:type="spellEnd"/>
      <w:r w:rsidRPr="00266BE9">
        <w:rPr>
          <w:rFonts w:ascii="Times New Roman" w:eastAsia="Times New Roman" w:hAnsi="Times New Roman" w:cs="Times New Roman"/>
          <w:sz w:val="20"/>
          <w:szCs w:val="20"/>
          <w:lang w:val="en-GB" w:bidi="en-US"/>
        </w:rPr>
        <w:t xml:space="preserve"> et al. (2007) convert distance into Euclidean space (preferably two-dimensional), in which points correspond to individual categories.</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The graphical representation of the categories represents the correspondence map. The closer the row and column points in the correspondence map are, the greater the correspondence between the corresponding categories.</w:t>
      </w:r>
    </w:p>
    <w:p w:rsidR="00D23449" w:rsidRPr="00266BE9" w:rsidRDefault="00A71346" w:rsidP="00A71346">
      <w:pPr>
        <w:pStyle w:val="Nadpis1"/>
        <w:spacing w:after="120"/>
        <w:jc w:val="left"/>
        <w:rPr>
          <w:rFonts w:ascii="Times New Roman" w:eastAsia="Times New Roman" w:hAnsi="Times New Roman" w:cs="Times New Roman"/>
          <w:b/>
          <w:bCs/>
          <w:color w:val="auto"/>
          <w:sz w:val="22"/>
          <w:szCs w:val="28"/>
          <w:lang w:val="en-GB" w:eastAsia="x-none" w:bidi="en-US"/>
        </w:rPr>
      </w:pPr>
      <w:r w:rsidRPr="00266BE9">
        <w:rPr>
          <w:rFonts w:ascii="Times New Roman" w:eastAsia="Times New Roman" w:hAnsi="Times New Roman" w:cs="Times New Roman"/>
          <w:b/>
          <w:bCs/>
          <w:color w:val="auto"/>
          <w:sz w:val="22"/>
          <w:szCs w:val="28"/>
          <w:lang w:val="en-GB" w:eastAsia="x-none" w:bidi="en-US"/>
        </w:rPr>
        <w:t xml:space="preserve">4 </w:t>
      </w:r>
      <w:r w:rsidR="00D23449" w:rsidRPr="00266BE9">
        <w:rPr>
          <w:rFonts w:ascii="Times New Roman" w:eastAsia="Times New Roman" w:hAnsi="Times New Roman" w:cs="Times New Roman"/>
          <w:b/>
          <w:bCs/>
          <w:color w:val="auto"/>
          <w:sz w:val="22"/>
          <w:szCs w:val="28"/>
          <w:lang w:val="en-GB" w:eastAsia="x-none" w:bidi="en-US"/>
        </w:rPr>
        <w:t>Statistical indicators</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The evaluation in this article is based on the analysis of the drawing of subsidies from Priority Axis 1.01 Development of Research and Development for Innovation. From the statistical indicators that would capture the level of innovation in individual regions, the Indicator on R&amp;D in individual regions of the Czech Republic (see CZSO, 2019) was chosen. Again, there is some restriction in the form of published time series of provided data. In terms of the programming period 2014 - 2020, the reported time series is shortened to the evaluated period 2015 to 2017. The first mentioned year was selected with regard to the start of drawing of funds by applicant entities. As the analysis focuses on the spatial distribution of the drawdown of the relevant funds, the average value in the expenditures of individual regions for innovations between the years shown was found. On the basis of these, it is possible to create a ranking of regions according to the amount of money spent on relevant innovations.</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 xml:space="preserve">The indicator of R&amp;D expenditures, which is monitored by the Czech Statistical Office, was chosen as the monitored statistical indicator. This total expenditure indicator was chosen. This is because the projects implemented are not funded solely by private or public sources. Referring to the principles of EU regional policy, </w:t>
      </w:r>
      <w:r w:rsidRPr="00266BE9">
        <w:rPr>
          <w:rFonts w:ascii="Times New Roman" w:eastAsia="Times New Roman" w:hAnsi="Times New Roman" w:cs="Times New Roman"/>
          <w:sz w:val="20"/>
          <w:szCs w:val="20"/>
          <w:lang w:val="en-GB" w:bidi="en-US"/>
        </w:rPr>
        <w:lastRenderedPageBreak/>
        <w:t xml:space="preserve">the principle of complementarity is fully respected here (see </w:t>
      </w:r>
      <w:proofErr w:type="spellStart"/>
      <w:r w:rsidRPr="00266BE9">
        <w:rPr>
          <w:rFonts w:ascii="Times New Roman" w:eastAsia="Times New Roman" w:hAnsi="Times New Roman" w:cs="Times New Roman"/>
          <w:sz w:val="20"/>
          <w:szCs w:val="20"/>
          <w:lang w:val="en-GB" w:bidi="en-US"/>
        </w:rPr>
        <w:t>eg</w:t>
      </w:r>
      <w:proofErr w:type="spellEnd"/>
      <w:r w:rsidRPr="00266BE9">
        <w:rPr>
          <w:rFonts w:ascii="Times New Roman" w:eastAsia="Times New Roman" w:hAnsi="Times New Roman" w:cs="Times New Roman"/>
          <w:sz w:val="20"/>
          <w:szCs w:val="20"/>
          <w:lang w:val="en-GB" w:bidi="en-US"/>
        </w:rPr>
        <w:t xml:space="preserve"> El-</w:t>
      </w:r>
      <w:proofErr w:type="spellStart"/>
      <w:r w:rsidRPr="00266BE9">
        <w:rPr>
          <w:rFonts w:ascii="Times New Roman" w:eastAsia="Times New Roman" w:hAnsi="Times New Roman" w:cs="Times New Roman"/>
          <w:sz w:val="20"/>
          <w:szCs w:val="20"/>
          <w:lang w:val="en-GB" w:bidi="en-US"/>
        </w:rPr>
        <w:t>Agraa</w:t>
      </w:r>
      <w:proofErr w:type="spellEnd"/>
      <w:r w:rsidRPr="00266BE9">
        <w:rPr>
          <w:rFonts w:ascii="Times New Roman" w:eastAsia="Times New Roman" w:hAnsi="Times New Roman" w:cs="Times New Roman"/>
          <w:sz w:val="20"/>
          <w:szCs w:val="20"/>
          <w:lang w:val="en-GB" w:bidi="en-US"/>
        </w:rPr>
        <w:t xml:space="preserve">, 2011, </w:t>
      </w:r>
      <w:proofErr w:type="spellStart"/>
      <w:r w:rsidRPr="00266BE9">
        <w:rPr>
          <w:rFonts w:ascii="Times New Roman" w:eastAsia="Times New Roman" w:hAnsi="Times New Roman" w:cs="Times New Roman"/>
          <w:sz w:val="20"/>
          <w:szCs w:val="20"/>
          <w:lang w:val="en-GB" w:bidi="en-US"/>
        </w:rPr>
        <w:t>Zahradník</w:t>
      </w:r>
      <w:proofErr w:type="spellEnd"/>
      <w:r w:rsidRPr="00266BE9">
        <w:rPr>
          <w:rFonts w:ascii="Times New Roman" w:eastAsia="Times New Roman" w:hAnsi="Times New Roman" w:cs="Times New Roman"/>
          <w:sz w:val="20"/>
          <w:szCs w:val="20"/>
          <w:lang w:val="en-GB" w:bidi="en-US"/>
        </w:rPr>
        <w:t>, 2017). The essence of this principle lies in the fact that at least some kind of financial source from the receiving state must contribute to the financing of projects. EU resources must not replace but merely complement national resources.</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The article examines mostly private sector projects that use subsidies as a complementary resource. Because the investment includes both sources, the total expenditure indicator is used in the analysis. The share of public and private funding in financing is not uniform and has therefore been abstracted from the analysis.</w:t>
      </w:r>
    </w:p>
    <w:p w:rsidR="00D23449" w:rsidRPr="00266BE9" w:rsidRDefault="00A71346" w:rsidP="00A71346">
      <w:pPr>
        <w:pStyle w:val="Nadpis1"/>
        <w:spacing w:after="120"/>
        <w:jc w:val="left"/>
        <w:rPr>
          <w:rFonts w:ascii="Times New Roman" w:eastAsia="Times New Roman" w:hAnsi="Times New Roman" w:cs="Times New Roman"/>
          <w:b/>
          <w:bCs/>
          <w:color w:val="auto"/>
          <w:sz w:val="22"/>
          <w:szCs w:val="28"/>
          <w:lang w:val="en-GB" w:eastAsia="x-none" w:bidi="en-US"/>
        </w:rPr>
      </w:pPr>
      <w:r w:rsidRPr="00266BE9">
        <w:rPr>
          <w:rFonts w:ascii="Times New Roman" w:eastAsia="Times New Roman" w:hAnsi="Times New Roman" w:cs="Times New Roman"/>
          <w:b/>
          <w:bCs/>
          <w:color w:val="auto"/>
          <w:sz w:val="22"/>
          <w:szCs w:val="28"/>
          <w:lang w:val="en-GB" w:eastAsia="x-none" w:bidi="en-US"/>
        </w:rPr>
        <w:t xml:space="preserve">5 </w:t>
      </w:r>
      <w:r w:rsidR="00D23449" w:rsidRPr="00266BE9">
        <w:rPr>
          <w:rFonts w:ascii="Times New Roman" w:eastAsia="Times New Roman" w:hAnsi="Times New Roman" w:cs="Times New Roman"/>
          <w:b/>
          <w:bCs/>
          <w:color w:val="auto"/>
          <w:sz w:val="22"/>
          <w:szCs w:val="28"/>
          <w:lang w:val="en-GB" w:eastAsia="x-none" w:bidi="en-US"/>
        </w:rPr>
        <w:t>Analysis of the territorial structure of drawing support from EU funds</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As mentioned above, the analysis of drawing on funds for the support of innovations was focused on the structure of its distribution among the regions of the Czech Republic. The correspondence analysis used works with categorized variables. It is based on an analysis of frequencies between categories. In this respect, it was necessary to categorize the amount drawn. The quantile distribution was used as the basis for this categorization. Specifically, it was the finding of lower and upper quartile and median. The result is the creation of four groups recording the amount drawn and the number of entities in the relevant category. The following categories are used in the following contact map:</w:t>
      </w:r>
    </w:p>
    <w:p w:rsidR="00D23449" w:rsidRPr="00266BE9" w:rsidRDefault="00D23449" w:rsidP="00A71346">
      <w:pPr>
        <w:pStyle w:val="Odstavecseseznamem"/>
        <w:numPr>
          <w:ilvl w:val="0"/>
          <w:numId w:val="4"/>
        </w:numPr>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Q_1 - very low value of EU funds used,</w:t>
      </w:r>
    </w:p>
    <w:p w:rsidR="00D23449" w:rsidRPr="00266BE9" w:rsidRDefault="00D23449" w:rsidP="00A71346">
      <w:pPr>
        <w:pStyle w:val="Odstavecseseznamem"/>
        <w:numPr>
          <w:ilvl w:val="0"/>
          <w:numId w:val="4"/>
        </w:numPr>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Q_2 - low value of drawn EU funds,</w:t>
      </w:r>
    </w:p>
    <w:p w:rsidR="00D23449" w:rsidRPr="00266BE9" w:rsidRDefault="00D23449" w:rsidP="00A71346">
      <w:pPr>
        <w:pStyle w:val="Odstavecseseznamem"/>
        <w:numPr>
          <w:ilvl w:val="0"/>
          <w:numId w:val="4"/>
        </w:numPr>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Q_3 - higher value of drawn EU funds,</w:t>
      </w:r>
    </w:p>
    <w:p w:rsidR="00D23449" w:rsidRPr="00266BE9" w:rsidRDefault="00D23449" w:rsidP="00266BE9">
      <w:pPr>
        <w:pStyle w:val="Odstavecseseznamem"/>
        <w:numPr>
          <w:ilvl w:val="0"/>
          <w:numId w:val="4"/>
        </w:numPr>
        <w:spacing w:after="120"/>
        <w:ind w:left="714" w:hanging="357"/>
        <w:contextualSpacing w:val="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Q_4 - very high level of utilization of EU funds.</w:t>
      </w:r>
    </w:p>
    <w:p w:rsidR="00D23449" w:rsidRPr="00266BE9" w:rsidRDefault="00A71346" w:rsidP="00A71346">
      <w:pPr>
        <w:spacing w:after="120"/>
        <w:rPr>
          <w:rFonts w:ascii="Times New Roman" w:eastAsia="Times New Roman" w:hAnsi="Times New Roman" w:cs="Times New Roman"/>
          <w:b/>
          <w:sz w:val="20"/>
          <w:lang w:val="en-GB" w:bidi="en-US"/>
        </w:rPr>
      </w:pPr>
      <w:r w:rsidRPr="00266BE9">
        <w:rPr>
          <w:rFonts w:ascii="Times New Roman" w:eastAsia="Times New Roman" w:hAnsi="Times New Roman" w:cs="Times New Roman"/>
          <w:b/>
          <w:sz w:val="20"/>
          <w:lang w:val="en-GB" w:bidi="en-US"/>
        </w:rPr>
        <w:t>Figure</w:t>
      </w:r>
      <w:r w:rsidR="00D23449" w:rsidRPr="00266BE9">
        <w:rPr>
          <w:rFonts w:ascii="Times New Roman" w:eastAsia="Times New Roman" w:hAnsi="Times New Roman" w:cs="Times New Roman"/>
          <w:b/>
          <w:sz w:val="20"/>
          <w:lang w:val="en-GB" w:bidi="en-US"/>
        </w:rPr>
        <w:t xml:space="preserve"> 1 </w:t>
      </w:r>
      <w:r w:rsidRPr="00266BE9">
        <w:rPr>
          <w:rFonts w:ascii="Times New Roman" w:eastAsia="Times New Roman" w:hAnsi="Times New Roman" w:cs="Times New Roman"/>
          <w:b/>
          <w:sz w:val="20"/>
          <w:lang w:val="en-GB" w:bidi="en-US"/>
        </w:rPr>
        <w:t xml:space="preserve">– </w:t>
      </w:r>
      <w:r w:rsidRPr="00266BE9">
        <w:rPr>
          <w:rFonts w:ascii="Times New Roman" w:eastAsia="Times New Roman" w:hAnsi="Times New Roman" w:cs="Times New Roman"/>
          <w:sz w:val="20"/>
          <w:lang w:val="en-GB" w:bidi="en-US"/>
        </w:rPr>
        <w:t xml:space="preserve">Correspondent map for priority axes </w:t>
      </w:r>
      <w:r w:rsidRPr="00266BE9">
        <w:rPr>
          <w:rFonts w:ascii="Times New Roman" w:eastAsia="Times New Roman" w:hAnsi="Times New Roman" w:cs="Times New Roman"/>
          <w:sz w:val="20"/>
          <w:szCs w:val="20"/>
          <w:lang w:val="en-GB" w:bidi="en-US"/>
        </w:rPr>
        <w:t>Promotion of research and development for innovation.</w:t>
      </w:r>
      <w:r w:rsidRPr="00266BE9">
        <w:rPr>
          <w:rFonts w:ascii="Times New Roman" w:eastAsia="Times New Roman" w:hAnsi="Times New Roman" w:cs="Times New Roman"/>
          <w:sz w:val="20"/>
          <w:lang w:val="en-GB" w:bidi="en-US"/>
        </w:rPr>
        <w:t xml:space="preserve"> </w:t>
      </w:r>
      <w:r w:rsidR="00D23449" w:rsidRPr="00266BE9">
        <w:rPr>
          <w:rFonts w:ascii="Times New Roman" w:eastAsia="Times New Roman" w:hAnsi="Times New Roman" w:cs="Times New Roman"/>
          <w:sz w:val="20"/>
          <w:lang w:val="en-GB" w:bidi="en-US"/>
        </w:rPr>
        <w:t>(</w:t>
      </w:r>
      <w:r w:rsidRPr="00266BE9">
        <w:rPr>
          <w:rFonts w:ascii="Times New Roman" w:eastAsia="Times New Roman" w:hAnsi="Times New Roman" w:cs="Times New Roman"/>
          <w:sz w:val="20"/>
          <w:lang w:val="en-GB" w:bidi="en-US"/>
        </w:rPr>
        <w:t>Source</w:t>
      </w:r>
      <w:r w:rsidR="00D23449" w:rsidRPr="00266BE9">
        <w:rPr>
          <w:rFonts w:ascii="Times New Roman" w:eastAsia="Times New Roman" w:hAnsi="Times New Roman" w:cs="Times New Roman"/>
          <w:sz w:val="20"/>
          <w:lang w:val="en-GB" w:bidi="en-US"/>
        </w:rPr>
        <w:t xml:space="preserve">: </w:t>
      </w:r>
      <w:r w:rsidRPr="00266BE9">
        <w:rPr>
          <w:rFonts w:ascii="Times New Roman" w:eastAsia="Times New Roman" w:hAnsi="Times New Roman" w:cs="Times New Roman"/>
          <w:sz w:val="20"/>
          <w:lang w:val="en-GB" w:bidi="en-US"/>
        </w:rPr>
        <w:t>own calculation</w:t>
      </w:r>
      <w:r w:rsidR="00D23449" w:rsidRPr="00266BE9">
        <w:rPr>
          <w:rFonts w:ascii="Times New Roman" w:eastAsia="Times New Roman" w:hAnsi="Times New Roman" w:cs="Times New Roman"/>
          <w:sz w:val="20"/>
          <w:lang w:val="en-GB" w:bidi="en-US"/>
        </w:rPr>
        <w:t>)</w:t>
      </w:r>
    </w:p>
    <w:p w:rsidR="00D23449" w:rsidRPr="00266BE9" w:rsidRDefault="00976FA6" w:rsidP="00A71346">
      <w:pPr>
        <w:pStyle w:val="Odstavecseseznamem"/>
        <w:spacing w:before="120"/>
        <w:ind w:left="0"/>
        <w:rPr>
          <w:lang w:val="en-GB"/>
        </w:rPr>
      </w:pPr>
      <w:r w:rsidRPr="00266BE9">
        <w:rPr>
          <w:lang w:val="en-GB"/>
        </w:rPr>
        <w:object w:dxaOrig="9035" w:dyaOrig="68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5pt;height:340.5pt" o:ole="" o:bordertopcolor="black" o:borderleftcolor="black" o:borderbottomcolor="black" o:borderrightcolor="black" filled="t">
            <v:imagedata r:id="rId5" o:title=""/>
            <w10:bordertop type="single" width="6"/>
            <w10:borderleft type="single" width="6"/>
            <w10:borderbottom type="single" width="6"/>
            <w10:borderright type="single" width="6"/>
          </v:shape>
          <o:OLEObject Type="Embed" ProgID="STATISTICA.Graph" ShapeID="_x0000_i1025" DrawAspect="Content" ObjectID="_1625113618" r:id="rId6">
            <o:FieldCodes>\s</o:FieldCodes>
          </o:OLEObject>
        </w:object>
      </w:r>
    </w:p>
    <w:p w:rsidR="00D23449" w:rsidRPr="00266BE9" w:rsidRDefault="00A71346" w:rsidP="00266BE9">
      <w:pPr>
        <w:spacing w:after="120"/>
        <w:rPr>
          <w:rFonts w:ascii="Times New Roman" w:eastAsia="Times New Roman" w:hAnsi="Times New Roman" w:cs="Times New Roman"/>
          <w:sz w:val="20"/>
          <w:lang w:val="en-GB" w:bidi="en-US"/>
        </w:rPr>
      </w:pPr>
      <w:r w:rsidRPr="00266BE9">
        <w:rPr>
          <w:rFonts w:ascii="Times New Roman" w:eastAsia="Times New Roman" w:hAnsi="Times New Roman" w:cs="Times New Roman"/>
          <w:sz w:val="20"/>
          <w:lang w:val="en-GB" w:bidi="en-US"/>
        </w:rPr>
        <w:t>Notes</w:t>
      </w:r>
      <w:r w:rsidR="00D23449" w:rsidRPr="00266BE9">
        <w:rPr>
          <w:rFonts w:ascii="Times New Roman" w:eastAsia="Times New Roman" w:hAnsi="Times New Roman" w:cs="Times New Roman"/>
          <w:sz w:val="20"/>
          <w:lang w:val="en-GB" w:bidi="en-US"/>
        </w:rPr>
        <w:t xml:space="preserve">: B – The South-Moravian Region, C – The South-Bohemian Region, E – The Pardubice Region, H – The Hradec Kralove Region, J – The </w:t>
      </w:r>
      <w:proofErr w:type="spellStart"/>
      <w:r w:rsidR="00D23449" w:rsidRPr="00266BE9">
        <w:rPr>
          <w:rFonts w:ascii="Times New Roman" w:eastAsia="Times New Roman" w:hAnsi="Times New Roman" w:cs="Times New Roman"/>
          <w:sz w:val="20"/>
          <w:lang w:val="en-GB" w:bidi="en-US"/>
        </w:rPr>
        <w:t>Vysocina</w:t>
      </w:r>
      <w:proofErr w:type="spellEnd"/>
      <w:r w:rsidR="00D23449" w:rsidRPr="00266BE9">
        <w:rPr>
          <w:rFonts w:ascii="Times New Roman" w:eastAsia="Times New Roman" w:hAnsi="Times New Roman" w:cs="Times New Roman"/>
          <w:sz w:val="20"/>
          <w:lang w:val="en-GB" w:bidi="en-US"/>
        </w:rPr>
        <w:t xml:space="preserve"> Region, K – The Karlovy Vary Region, L – The Liberec Region, M – The Olomouc Region, P – The Plzen Region, S – The Central Bohemia Region, T – The Moravian-Silesian Region, U – The Usti Region, Z -  The </w:t>
      </w:r>
      <w:proofErr w:type="spellStart"/>
      <w:r w:rsidR="00D23449" w:rsidRPr="00266BE9">
        <w:rPr>
          <w:rFonts w:ascii="Times New Roman" w:eastAsia="Times New Roman" w:hAnsi="Times New Roman" w:cs="Times New Roman"/>
          <w:sz w:val="20"/>
          <w:lang w:val="en-GB" w:bidi="en-US"/>
        </w:rPr>
        <w:t>Zlin</w:t>
      </w:r>
      <w:proofErr w:type="spellEnd"/>
      <w:r w:rsidR="00D23449" w:rsidRPr="00266BE9">
        <w:rPr>
          <w:rFonts w:ascii="Times New Roman" w:eastAsia="Times New Roman" w:hAnsi="Times New Roman" w:cs="Times New Roman"/>
          <w:sz w:val="20"/>
          <w:lang w:val="en-GB" w:bidi="en-US"/>
        </w:rPr>
        <w:t xml:space="preserve"> Region.</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 xml:space="preserve">It can be unequivocally stated that the highest number of entities applying for a high level of subsidy (in comparison with other entities) - category Q_4, is in the Moravian-Silesian Region. The situation is similar in </w:t>
      </w:r>
      <w:r w:rsidRPr="00266BE9">
        <w:rPr>
          <w:rFonts w:ascii="Times New Roman" w:eastAsia="Times New Roman" w:hAnsi="Times New Roman" w:cs="Times New Roman"/>
          <w:sz w:val="20"/>
          <w:szCs w:val="20"/>
          <w:lang w:val="en-GB" w:bidi="en-US"/>
        </w:rPr>
        <w:lastRenderedPageBreak/>
        <w:t>South Bohemia. In this case, however, it can be stated that, within this region, a significant proportion of entities also applied for a subsidy that falls under the category of lowest subsidies (Q_1) compared to other amounts drawn. However, the distance between the region's position and the category of subsidy is shorter in the case of Q_4.</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 xml:space="preserve">On the other hand, there are Central Bohemia, </w:t>
      </w:r>
      <w:proofErr w:type="spellStart"/>
      <w:r w:rsidRPr="00266BE9">
        <w:rPr>
          <w:rFonts w:ascii="Times New Roman" w:eastAsia="Times New Roman" w:hAnsi="Times New Roman" w:cs="Times New Roman"/>
          <w:sz w:val="20"/>
          <w:szCs w:val="20"/>
          <w:lang w:val="en-GB" w:bidi="en-US"/>
        </w:rPr>
        <w:t>Zlín</w:t>
      </w:r>
      <w:proofErr w:type="spellEnd"/>
      <w:r w:rsidRPr="00266BE9">
        <w:rPr>
          <w:rFonts w:ascii="Times New Roman" w:eastAsia="Times New Roman" w:hAnsi="Times New Roman" w:cs="Times New Roman"/>
          <w:sz w:val="20"/>
          <w:szCs w:val="20"/>
          <w:lang w:val="en-GB" w:bidi="en-US"/>
        </w:rPr>
        <w:t xml:space="preserve">, Karlovy Vary and also Hradec </w:t>
      </w:r>
      <w:proofErr w:type="spellStart"/>
      <w:r w:rsidRPr="00266BE9">
        <w:rPr>
          <w:rFonts w:ascii="Times New Roman" w:eastAsia="Times New Roman" w:hAnsi="Times New Roman" w:cs="Times New Roman"/>
          <w:sz w:val="20"/>
          <w:szCs w:val="20"/>
          <w:lang w:val="en-GB" w:bidi="en-US"/>
        </w:rPr>
        <w:t>Králové</w:t>
      </w:r>
      <w:proofErr w:type="spellEnd"/>
      <w:r w:rsidRPr="00266BE9">
        <w:rPr>
          <w:rFonts w:ascii="Times New Roman" w:eastAsia="Times New Roman" w:hAnsi="Times New Roman" w:cs="Times New Roman"/>
          <w:sz w:val="20"/>
          <w:szCs w:val="20"/>
          <w:lang w:val="en-GB" w:bidi="en-US"/>
        </w:rPr>
        <w:t xml:space="preserve"> regions. A typical phenomenon in these regions is the representation of a significant number of applicants for subsidies at the level of the lowest values of funds provided.</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 xml:space="preserve">The other regions were placed among the two central categories in terms of the amount of subsidies drawn. The </w:t>
      </w:r>
      <w:proofErr w:type="spellStart"/>
      <w:r w:rsidRPr="00266BE9">
        <w:rPr>
          <w:rFonts w:ascii="Times New Roman" w:eastAsia="Times New Roman" w:hAnsi="Times New Roman" w:cs="Times New Roman"/>
          <w:sz w:val="20"/>
          <w:szCs w:val="20"/>
          <w:lang w:val="en-GB" w:bidi="en-US"/>
        </w:rPr>
        <w:t>Olomoucký</w:t>
      </w:r>
      <w:proofErr w:type="spellEnd"/>
      <w:r w:rsidRPr="00266BE9">
        <w:rPr>
          <w:rFonts w:ascii="Times New Roman" w:eastAsia="Times New Roman" w:hAnsi="Times New Roman" w:cs="Times New Roman"/>
          <w:sz w:val="20"/>
          <w:szCs w:val="20"/>
          <w:lang w:val="en-GB" w:bidi="en-US"/>
        </w:rPr>
        <w:t xml:space="preserve">, </w:t>
      </w:r>
      <w:proofErr w:type="spellStart"/>
      <w:r w:rsidRPr="00266BE9">
        <w:rPr>
          <w:rFonts w:ascii="Times New Roman" w:eastAsia="Times New Roman" w:hAnsi="Times New Roman" w:cs="Times New Roman"/>
          <w:sz w:val="20"/>
          <w:szCs w:val="20"/>
          <w:lang w:val="en-GB" w:bidi="en-US"/>
        </w:rPr>
        <w:t>Vysočina</w:t>
      </w:r>
      <w:proofErr w:type="spellEnd"/>
      <w:r w:rsidRPr="00266BE9">
        <w:rPr>
          <w:rFonts w:ascii="Times New Roman" w:eastAsia="Times New Roman" w:hAnsi="Times New Roman" w:cs="Times New Roman"/>
          <w:sz w:val="20"/>
          <w:szCs w:val="20"/>
          <w:lang w:val="en-GB" w:bidi="en-US"/>
        </w:rPr>
        <w:t xml:space="preserve">, </w:t>
      </w:r>
      <w:proofErr w:type="spellStart"/>
      <w:r w:rsidRPr="00266BE9">
        <w:rPr>
          <w:rFonts w:ascii="Times New Roman" w:eastAsia="Times New Roman" w:hAnsi="Times New Roman" w:cs="Times New Roman"/>
          <w:sz w:val="20"/>
          <w:szCs w:val="20"/>
          <w:lang w:val="en-GB" w:bidi="en-US"/>
        </w:rPr>
        <w:t>Jihomoravský</w:t>
      </w:r>
      <w:proofErr w:type="spellEnd"/>
      <w:r w:rsidRPr="00266BE9">
        <w:rPr>
          <w:rFonts w:ascii="Times New Roman" w:eastAsia="Times New Roman" w:hAnsi="Times New Roman" w:cs="Times New Roman"/>
          <w:sz w:val="20"/>
          <w:szCs w:val="20"/>
          <w:lang w:val="en-GB" w:bidi="en-US"/>
        </w:rPr>
        <w:t xml:space="preserve"> and </w:t>
      </w:r>
      <w:proofErr w:type="spellStart"/>
      <w:r w:rsidRPr="00266BE9">
        <w:rPr>
          <w:rFonts w:ascii="Times New Roman" w:eastAsia="Times New Roman" w:hAnsi="Times New Roman" w:cs="Times New Roman"/>
          <w:sz w:val="20"/>
          <w:szCs w:val="20"/>
          <w:lang w:val="en-GB" w:bidi="en-US"/>
        </w:rPr>
        <w:t>Plzeňský</w:t>
      </w:r>
      <w:proofErr w:type="spellEnd"/>
      <w:r w:rsidRPr="00266BE9">
        <w:rPr>
          <w:rFonts w:ascii="Times New Roman" w:eastAsia="Times New Roman" w:hAnsi="Times New Roman" w:cs="Times New Roman"/>
          <w:sz w:val="20"/>
          <w:szCs w:val="20"/>
          <w:lang w:val="en-GB" w:bidi="en-US"/>
        </w:rPr>
        <w:t xml:space="preserve"> regions draw in particular subsidies in terms of their amount, which can be classified as lower quartile and median (Q_2). Another group was created by the Pardubice, </w:t>
      </w:r>
      <w:proofErr w:type="spellStart"/>
      <w:r w:rsidRPr="00266BE9">
        <w:rPr>
          <w:rFonts w:ascii="Times New Roman" w:eastAsia="Times New Roman" w:hAnsi="Times New Roman" w:cs="Times New Roman"/>
          <w:sz w:val="20"/>
          <w:szCs w:val="20"/>
          <w:lang w:val="en-GB" w:bidi="en-US"/>
        </w:rPr>
        <w:t>Ústí</w:t>
      </w:r>
      <w:proofErr w:type="spellEnd"/>
      <w:r w:rsidRPr="00266BE9">
        <w:rPr>
          <w:rFonts w:ascii="Times New Roman" w:eastAsia="Times New Roman" w:hAnsi="Times New Roman" w:cs="Times New Roman"/>
          <w:sz w:val="20"/>
          <w:szCs w:val="20"/>
          <w:lang w:val="en-GB" w:bidi="en-US"/>
        </w:rPr>
        <w:t xml:space="preserve"> </w:t>
      </w:r>
      <w:proofErr w:type="spellStart"/>
      <w:r w:rsidRPr="00266BE9">
        <w:rPr>
          <w:rFonts w:ascii="Times New Roman" w:eastAsia="Times New Roman" w:hAnsi="Times New Roman" w:cs="Times New Roman"/>
          <w:sz w:val="20"/>
          <w:szCs w:val="20"/>
          <w:lang w:val="en-GB" w:bidi="en-US"/>
        </w:rPr>
        <w:t>nad</w:t>
      </w:r>
      <w:proofErr w:type="spellEnd"/>
      <w:r w:rsidRPr="00266BE9">
        <w:rPr>
          <w:rFonts w:ascii="Times New Roman" w:eastAsia="Times New Roman" w:hAnsi="Times New Roman" w:cs="Times New Roman"/>
          <w:sz w:val="20"/>
          <w:szCs w:val="20"/>
          <w:lang w:val="en-GB" w:bidi="en-US"/>
        </w:rPr>
        <w:t xml:space="preserve"> Labem and </w:t>
      </w:r>
      <w:proofErr w:type="spellStart"/>
      <w:r w:rsidRPr="00266BE9">
        <w:rPr>
          <w:rFonts w:ascii="Times New Roman" w:eastAsia="Times New Roman" w:hAnsi="Times New Roman" w:cs="Times New Roman"/>
          <w:sz w:val="20"/>
          <w:szCs w:val="20"/>
          <w:lang w:val="en-GB" w:bidi="en-US"/>
        </w:rPr>
        <w:t>Liberecký</w:t>
      </w:r>
      <w:proofErr w:type="spellEnd"/>
      <w:r w:rsidRPr="00266BE9">
        <w:rPr>
          <w:rFonts w:ascii="Times New Roman" w:eastAsia="Times New Roman" w:hAnsi="Times New Roman" w:cs="Times New Roman"/>
          <w:sz w:val="20"/>
          <w:szCs w:val="20"/>
          <w:lang w:val="en-GB" w:bidi="en-US"/>
        </w:rPr>
        <w:t xml:space="preserve"> Regions. In terms of the number of entities, the amount of subsidies between the median and the upper quartile is typical for these regions.</w:t>
      </w:r>
    </w:p>
    <w:p w:rsidR="00D23449" w:rsidRPr="00266BE9" w:rsidRDefault="00D23449" w:rsidP="00A71346">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 xml:space="preserve">Correspondence analysis thus created the structure of regions and their subjects according to their characteristic </w:t>
      </w:r>
      <w:proofErr w:type="spellStart"/>
      <w:r w:rsidRPr="00266BE9">
        <w:rPr>
          <w:rFonts w:ascii="Times New Roman" w:eastAsia="Times New Roman" w:hAnsi="Times New Roman" w:cs="Times New Roman"/>
          <w:sz w:val="20"/>
          <w:szCs w:val="20"/>
          <w:lang w:val="en-GB" w:bidi="en-US"/>
        </w:rPr>
        <w:t>behavior</w:t>
      </w:r>
      <w:proofErr w:type="spellEnd"/>
      <w:r w:rsidRPr="00266BE9">
        <w:rPr>
          <w:rFonts w:ascii="Times New Roman" w:eastAsia="Times New Roman" w:hAnsi="Times New Roman" w:cs="Times New Roman"/>
          <w:sz w:val="20"/>
          <w:szCs w:val="20"/>
          <w:lang w:val="en-GB" w:bidi="en-US"/>
        </w:rPr>
        <w:t xml:space="preserve">. With regard to the objective of regional policy, it is possible to look at the structure of beneficiaries and the character of their regions. The maturity of the region is assessed by the amount of GDP per capita produced (see </w:t>
      </w:r>
      <w:proofErr w:type="spellStart"/>
      <w:r w:rsidRPr="00266BE9">
        <w:rPr>
          <w:rFonts w:ascii="Times New Roman" w:eastAsia="Times New Roman" w:hAnsi="Times New Roman" w:cs="Times New Roman"/>
          <w:sz w:val="20"/>
          <w:szCs w:val="20"/>
          <w:lang w:val="en-GB" w:bidi="en-US"/>
        </w:rPr>
        <w:t>eg</w:t>
      </w:r>
      <w:proofErr w:type="spellEnd"/>
      <w:r w:rsidRPr="00266BE9">
        <w:rPr>
          <w:rFonts w:ascii="Times New Roman" w:eastAsia="Times New Roman" w:hAnsi="Times New Roman" w:cs="Times New Roman"/>
          <w:sz w:val="20"/>
          <w:szCs w:val="20"/>
          <w:lang w:val="en-GB" w:bidi="en-US"/>
        </w:rPr>
        <w:t xml:space="preserve"> Eurostat, 2015). Table 1 below gives an overview of GDP per capita. In view of the above-mentioned correspondence analysis, which evaluates the use of subsidies since 2015, the value of GDP per capita was also expressed by means of an average value. As this is a ratio indicator, the available GDP figures for 2015 to 2017 are expressed as a geometric mean in the table. In the same way, the average GDP growth per capita was measured in 2015 to 2017. The arithmetic average was chosen to determine the average R&amp;D expenditure.</w:t>
      </w:r>
    </w:p>
    <w:p w:rsidR="00D23449" w:rsidRPr="00266BE9" w:rsidRDefault="00D23449" w:rsidP="0045301D">
      <w:pPr>
        <w:spacing w:after="120"/>
        <w:rPr>
          <w:rFonts w:ascii="Times New Roman" w:eastAsia="Times New Roman" w:hAnsi="Times New Roman" w:cs="Times New Roman"/>
          <w:b/>
          <w:sz w:val="20"/>
          <w:lang w:val="en-GB" w:bidi="en-US"/>
        </w:rPr>
      </w:pPr>
      <w:r w:rsidRPr="00266BE9">
        <w:rPr>
          <w:rFonts w:ascii="Times New Roman" w:eastAsia="Times New Roman" w:hAnsi="Times New Roman" w:cs="Times New Roman"/>
          <w:b/>
          <w:sz w:val="20"/>
          <w:lang w:val="en-GB" w:bidi="en-US"/>
        </w:rPr>
        <w:t xml:space="preserve">Table 1: </w:t>
      </w:r>
      <w:r w:rsidRPr="00266BE9">
        <w:rPr>
          <w:rFonts w:ascii="Times New Roman" w:eastAsia="Times New Roman" w:hAnsi="Times New Roman" w:cs="Times New Roman"/>
          <w:sz w:val="20"/>
          <w:lang w:val="en-GB" w:bidi="en-US"/>
        </w:rPr>
        <w:t>Selected characteristics of the regions of the Czech Republic</w:t>
      </w:r>
    </w:p>
    <w:tbl>
      <w:tblPr>
        <w:tblW w:w="9067" w:type="dxa"/>
        <w:tblLayout w:type="fixed"/>
        <w:tblCellMar>
          <w:left w:w="70" w:type="dxa"/>
          <w:right w:w="70" w:type="dxa"/>
        </w:tblCellMar>
        <w:tblLook w:val="04A0" w:firstRow="1" w:lastRow="0" w:firstColumn="1" w:lastColumn="0" w:noHBand="0" w:noVBand="1"/>
      </w:tblPr>
      <w:tblGrid>
        <w:gridCol w:w="1120"/>
        <w:gridCol w:w="1324"/>
        <w:gridCol w:w="1325"/>
        <w:gridCol w:w="1324"/>
        <w:gridCol w:w="1325"/>
        <w:gridCol w:w="1324"/>
        <w:gridCol w:w="1325"/>
      </w:tblGrid>
      <w:tr w:rsidR="00D23449" w:rsidRPr="00266BE9" w:rsidTr="009A0172">
        <w:trPr>
          <w:trHeight w:val="255"/>
        </w:trPr>
        <w:tc>
          <w:tcPr>
            <w:tcW w:w="1120" w:type="dxa"/>
            <w:vMerge w:val="restart"/>
            <w:tcBorders>
              <w:top w:val="single" w:sz="4" w:space="0" w:color="auto"/>
              <w:left w:val="single" w:sz="4" w:space="0" w:color="auto"/>
              <w:bottom w:val="single" w:sz="4" w:space="0" w:color="000000"/>
              <w:right w:val="single" w:sz="4" w:space="0" w:color="auto"/>
            </w:tcBorders>
            <w:shd w:val="clear" w:color="auto" w:fill="auto"/>
            <w:noWrap/>
            <w:vAlign w:val="center"/>
            <w:hideMark/>
          </w:tcPr>
          <w:p w:rsidR="00D23449" w:rsidRPr="00266BE9" w:rsidRDefault="00A71346" w:rsidP="0045301D">
            <w:pPr>
              <w:spacing w:before="120"/>
              <w:jc w:val="center"/>
              <w:rPr>
                <w:rFonts w:ascii="Times New Roman" w:hAnsi="Times New Roman" w:cs="Times New Roman"/>
                <w:b/>
                <w:sz w:val="20"/>
                <w:szCs w:val="20"/>
                <w:lang w:val="en-GB"/>
              </w:rPr>
            </w:pPr>
            <w:r w:rsidRPr="00266BE9">
              <w:rPr>
                <w:rFonts w:ascii="Times New Roman" w:hAnsi="Times New Roman" w:cs="Times New Roman"/>
                <w:b/>
                <w:sz w:val="20"/>
                <w:szCs w:val="20"/>
                <w:lang w:val="en-GB"/>
              </w:rPr>
              <w:t>Region</w:t>
            </w:r>
          </w:p>
        </w:tc>
        <w:tc>
          <w:tcPr>
            <w:tcW w:w="2649" w:type="dxa"/>
            <w:gridSpan w:val="2"/>
            <w:tcBorders>
              <w:top w:val="single" w:sz="4" w:space="0" w:color="auto"/>
              <w:left w:val="nil"/>
              <w:bottom w:val="single" w:sz="4" w:space="0" w:color="auto"/>
              <w:right w:val="single" w:sz="4" w:space="0" w:color="000000"/>
            </w:tcBorders>
            <w:shd w:val="clear" w:color="auto" w:fill="auto"/>
            <w:noWrap/>
            <w:vAlign w:val="bottom"/>
            <w:hideMark/>
          </w:tcPr>
          <w:p w:rsidR="00D23449" w:rsidRPr="00266BE9" w:rsidRDefault="00A71346" w:rsidP="0045301D">
            <w:pPr>
              <w:spacing w:before="120"/>
              <w:jc w:val="center"/>
              <w:rPr>
                <w:rFonts w:ascii="Times New Roman" w:hAnsi="Times New Roman" w:cs="Times New Roman"/>
                <w:b/>
                <w:sz w:val="20"/>
                <w:szCs w:val="20"/>
                <w:lang w:val="en-GB"/>
              </w:rPr>
            </w:pPr>
            <w:r w:rsidRPr="00266BE9">
              <w:rPr>
                <w:rFonts w:ascii="Times New Roman" w:hAnsi="Times New Roman" w:cs="Times New Roman"/>
                <w:b/>
                <w:sz w:val="20"/>
                <w:szCs w:val="20"/>
                <w:lang w:val="en-GB"/>
              </w:rPr>
              <w:t>GDP per capita</w:t>
            </w:r>
          </w:p>
        </w:tc>
        <w:tc>
          <w:tcPr>
            <w:tcW w:w="2649" w:type="dxa"/>
            <w:gridSpan w:val="2"/>
            <w:tcBorders>
              <w:top w:val="single" w:sz="4" w:space="0" w:color="auto"/>
              <w:left w:val="nil"/>
              <w:bottom w:val="single" w:sz="4" w:space="0" w:color="auto"/>
              <w:right w:val="single" w:sz="4" w:space="0" w:color="000000"/>
            </w:tcBorders>
            <w:shd w:val="clear" w:color="auto" w:fill="auto"/>
            <w:noWrap/>
            <w:vAlign w:val="bottom"/>
            <w:hideMark/>
          </w:tcPr>
          <w:p w:rsidR="00D23449" w:rsidRPr="00266BE9" w:rsidRDefault="00A71346" w:rsidP="0045301D">
            <w:pPr>
              <w:spacing w:before="120"/>
              <w:jc w:val="center"/>
              <w:rPr>
                <w:rFonts w:ascii="Times New Roman" w:hAnsi="Times New Roman" w:cs="Times New Roman"/>
                <w:b/>
                <w:sz w:val="20"/>
                <w:szCs w:val="20"/>
                <w:lang w:val="en-GB"/>
              </w:rPr>
            </w:pPr>
            <w:r w:rsidRPr="00266BE9">
              <w:rPr>
                <w:rFonts w:ascii="Times New Roman" w:hAnsi="Times New Roman" w:cs="Times New Roman"/>
                <w:b/>
                <w:sz w:val="20"/>
                <w:szCs w:val="20"/>
                <w:lang w:val="en-GB"/>
              </w:rPr>
              <w:t>Growth of GDP per capita</w:t>
            </w:r>
          </w:p>
        </w:tc>
        <w:tc>
          <w:tcPr>
            <w:tcW w:w="2649" w:type="dxa"/>
            <w:gridSpan w:val="2"/>
            <w:tcBorders>
              <w:top w:val="single" w:sz="4" w:space="0" w:color="auto"/>
              <w:left w:val="nil"/>
              <w:bottom w:val="single" w:sz="4" w:space="0" w:color="auto"/>
              <w:right w:val="single" w:sz="4" w:space="0" w:color="auto"/>
            </w:tcBorders>
            <w:shd w:val="clear" w:color="auto" w:fill="auto"/>
            <w:noWrap/>
            <w:vAlign w:val="center"/>
            <w:hideMark/>
          </w:tcPr>
          <w:p w:rsidR="00D23449" w:rsidRPr="00266BE9" w:rsidRDefault="00A71346" w:rsidP="0045301D">
            <w:pPr>
              <w:spacing w:before="120"/>
              <w:jc w:val="center"/>
              <w:rPr>
                <w:rFonts w:ascii="Times New Roman" w:hAnsi="Times New Roman" w:cs="Times New Roman"/>
                <w:b/>
                <w:sz w:val="20"/>
                <w:szCs w:val="20"/>
                <w:lang w:val="en-GB"/>
              </w:rPr>
            </w:pPr>
            <w:r w:rsidRPr="00266BE9">
              <w:rPr>
                <w:rFonts w:ascii="Times New Roman" w:hAnsi="Times New Roman" w:cs="Times New Roman"/>
                <w:b/>
                <w:sz w:val="20"/>
                <w:szCs w:val="20"/>
                <w:lang w:val="en-GB"/>
              </w:rPr>
              <w:t>R&amp;D expenditure</w:t>
            </w:r>
          </w:p>
        </w:tc>
      </w:tr>
      <w:tr w:rsidR="00D23449" w:rsidRPr="00266BE9" w:rsidTr="009A0172">
        <w:trPr>
          <w:trHeight w:val="255"/>
        </w:trPr>
        <w:tc>
          <w:tcPr>
            <w:tcW w:w="1120" w:type="dxa"/>
            <w:vMerge/>
            <w:tcBorders>
              <w:top w:val="single" w:sz="4" w:space="0" w:color="auto"/>
              <w:left w:val="single" w:sz="4" w:space="0" w:color="auto"/>
              <w:bottom w:val="single" w:sz="4" w:space="0" w:color="000000"/>
              <w:right w:val="single" w:sz="4" w:space="0" w:color="auto"/>
            </w:tcBorders>
            <w:vAlign w:val="center"/>
            <w:hideMark/>
          </w:tcPr>
          <w:p w:rsidR="00D23449" w:rsidRPr="00266BE9" w:rsidRDefault="00D23449" w:rsidP="009A0172">
            <w:pPr>
              <w:jc w:val="left"/>
              <w:rPr>
                <w:rFonts w:ascii="Times New Roman" w:eastAsia="Times New Roman" w:hAnsi="Times New Roman" w:cs="Times New Roman"/>
                <w:b/>
                <w:color w:val="000000"/>
                <w:sz w:val="20"/>
                <w:szCs w:val="20"/>
                <w:lang w:val="en-GB" w:eastAsia="cs-CZ"/>
              </w:rPr>
            </w:pP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A71346" w:rsidP="009A0172">
            <w:pPr>
              <w:jc w:val="center"/>
              <w:rPr>
                <w:rFonts w:ascii="Times New Roman" w:eastAsia="Times New Roman" w:hAnsi="Times New Roman" w:cs="Times New Roman"/>
                <w:b/>
                <w:color w:val="000000"/>
                <w:sz w:val="20"/>
                <w:szCs w:val="20"/>
                <w:lang w:val="en-GB" w:eastAsia="cs-CZ"/>
              </w:rPr>
            </w:pPr>
            <w:r w:rsidRPr="00266BE9">
              <w:rPr>
                <w:rFonts w:ascii="Times New Roman" w:eastAsia="Times New Roman" w:hAnsi="Times New Roman" w:cs="Times New Roman"/>
                <w:b/>
                <w:color w:val="000000"/>
                <w:sz w:val="20"/>
                <w:szCs w:val="20"/>
                <w:lang w:val="en-GB" w:eastAsia="cs-CZ"/>
              </w:rPr>
              <w:t>Amount (CZK)</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A71346" w:rsidP="009A0172">
            <w:pPr>
              <w:jc w:val="center"/>
              <w:rPr>
                <w:rFonts w:ascii="Times New Roman" w:eastAsia="Times New Roman" w:hAnsi="Times New Roman" w:cs="Times New Roman"/>
                <w:b/>
                <w:color w:val="000000"/>
                <w:sz w:val="20"/>
                <w:szCs w:val="20"/>
                <w:lang w:val="en-GB" w:eastAsia="cs-CZ"/>
              </w:rPr>
            </w:pPr>
            <w:r w:rsidRPr="00266BE9">
              <w:rPr>
                <w:rFonts w:ascii="Times New Roman" w:eastAsia="Times New Roman" w:hAnsi="Times New Roman" w:cs="Times New Roman"/>
                <w:b/>
                <w:color w:val="000000"/>
                <w:sz w:val="20"/>
                <w:szCs w:val="20"/>
                <w:lang w:val="en-GB" w:eastAsia="cs-CZ"/>
              </w:rPr>
              <w:t>Order</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A71346" w:rsidP="009A0172">
            <w:pPr>
              <w:jc w:val="center"/>
              <w:rPr>
                <w:rFonts w:ascii="Times New Roman" w:eastAsia="Times New Roman" w:hAnsi="Times New Roman" w:cs="Times New Roman"/>
                <w:b/>
                <w:color w:val="000000"/>
                <w:sz w:val="20"/>
                <w:szCs w:val="20"/>
                <w:lang w:val="en-GB" w:eastAsia="cs-CZ"/>
              </w:rPr>
            </w:pPr>
            <w:r w:rsidRPr="00266BE9">
              <w:rPr>
                <w:rFonts w:ascii="Times New Roman" w:eastAsia="Times New Roman" w:hAnsi="Times New Roman" w:cs="Times New Roman"/>
                <w:b/>
                <w:color w:val="000000"/>
                <w:sz w:val="20"/>
                <w:szCs w:val="20"/>
                <w:lang w:val="en-GB" w:eastAsia="cs-CZ"/>
              </w:rPr>
              <w:t>Rate of growth</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45301D" w:rsidP="009A0172">
            <w:pPr>
              <w:jc w:val="center"/>
              <w:rPr>
                <w:rFonts w:ascii="Times New Roman" w:eastAsia="Times New Roman" w:hAnsi="Times New Roman" w:cs="Times New Roman"/>
                <w:b/>
                <w:color w:val="000000"/>
                <w:sz w:val="20"/>
                <w:szCs w:val="20"/>
                <w:lang w:val="en-GB" w:eastAsia="cs-CZ"/>
              </w:rPr>
            </w:pPr>
            <w:r w:rsidRPr="00266BE9">
              <w:rPr>
                <w:rFonts w:ascii="Times New Roman" w:eastAsia="Times New Roman" w:hAnsi="Times New Roman" w:cs="Times New Roman"/>
                <w:b/>
                <w:color w:val="000000"/>
                <w:sz w:val="20"/>
                <w:szCs w:val="20"/>
                <w:lang w:val="en-GB" w:eastAsia="cs-CZ"/>
              </w:rPr>
              <w:t>Order</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45301D" w:rsidP="009A0172">
            <w:pPr>
              <w:jc w:val="center"/>
              <w:rPr>
                <w:rFonts w:ascii="Times New Roman" w:eastAsia="Times New Roman" w:hAnsi="Times New Roman" w:cs="Times New Roman"/>
                <w:b/>
                <w:color w:val="000000"/>
                <w:sz w:val="20"/>
                <w:szCs w:val="20"/>
                <w:lang w:val="en-GB" w:eastAsia="cs-CZ"/>
              </w:rPr>
            </w:pPr>
            <w:r w:rsidRPr="00266BE9">
              <w:rPr>
                <w:rFonts w:ascii="Times New Roman" w:eastAsia="Times New Roman" w:hAnsi="Times New Roman" w:cs="Times New Roman"/>
                <w:b/>
                <w:color w:val="000000"/>
                <w:sz w:val="20"/>
                <w:szCs w:val="20"/>
                <w:lang w:val="en-GB" w:eastAsia="cs-CZ"/>
              </w:rPr>
              <w:t>Amount (mil. CZK)</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45301D" w:rsidP="009A0172">
            <w:pPr>
              <w:jc w:val="center"/>
              <w:rPr>
                <w:rFonts w:ascii="Times New Roman" w:eastAsia="Times New Roman" w:hAnsi="Times New Roman" w:cs="Times New Roman"/>
                <w:b/>
                <w:color w:val="000000"/>
                <w:sz w:val="20"/>
                <w:szCs w:val="20"/>
                <w:lang w:val="en-GB" w:eastAsia="cs-CZ"/>
              </w:rPr>
            </w:pPr>
            <w:r w:rsidRPr="00266BE9">
              <w:rPr>
                <w:rFonts w:ascii="Times New Roman" w:eastAsia="Times New Roman" w:hAnsi="Times New Roman" w:cs="Times New Roman"/>
                <w:b/>
                <w:color w:val="000000"/>
                <w:sz w:val="20"/>
                <w:szCs w:val="20"/>
                <w:lang w:val="en-GB" w:eastAsia="cs-CZ"/>
              </w:rPr>
              <w:t>Order</w:t>
            </w:r>
          </w:p>
        </w:tc>
      </w:tr>
      <w:tr w:rsidR="00D23449" w:rsidRPr="00266BE9" w:rsidTr="009A0172">
        <w:trPr>
          <w:trHeight w:val="255"/>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B</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437 725,2</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103,6</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13</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16 050,9</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w:t>
            </w:r>
          </w:p>
        </w:tc>
      </w:tr>
      <w:tr w:rsidR="00D23449" w:rsidRPr="00266BE9" w:rsidTr="009A0172">
        <w:trPr>
          <w:trHeight w:val="255"/>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C</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372 348,5</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8</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103,9</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9</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2 812,8</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7</w:t>
            </w:r>
          </w:p>
        </w:tc>
      </w:tr>
      <w:tr w:rsidR="00D23449" w:rsidRPr="00266BE9" w:rsidTr="009A0172">
        <w:trPr>
          <w:trHeight w:val="255"/>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E</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369 806,4</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9</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105,2</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4</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2 652,4</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9</w:t>
            </w:r>
          </w:p>
        </w:tc>
      </w:tr>
      <w:tr w:rsidR="00D23449" w:rsidRPr="00266BE9" w:rsidTr="009A0172">
        <w:trPr>
          <w:trHeight w:val="255"/>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H</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406 207,4</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4</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107,2</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1 981,9</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10</w:t>
            </w:r>
          </w:p>
        </w:tc>
      </w:tr>
      <w:tr w:rsidR="00D23449" w:rsidRPr="00266BE9" w:rsidTr="009A0172">
        <w:trPr>
          <w:trHeight w:val="255"/>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J</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372 745,1</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7</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104,7</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5</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1 442,7</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11</w:t>
            </w:r>
          </w:p>
        </w:tc>
      </w:tr>
      <w:tr w:rsidR="00D23449" w:rsidRPr="00266BE9" w:rsidTr="009A0172">
        <w:trPr>
          <w:trHeight w:val="255"/>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K</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301 270,2</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13</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103,8</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10</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195,3</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13</w:t>
            </w:r>
          </w:p>
        </w:tc>
      </w:tr>
      <w:tr w:rsidR="00D23449" w:rsidRPr="00266BE9" w:rsidTr="009A0172">
        <w:trPr>
          <w:trHeight w:val="255"/>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L</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350 149,5</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11</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104,7</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6</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2 689,4</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8</w:t>
            </w:r>
          </w:p>
        </w:tc>
      </w:tr>
      <w:tr w:rsidR="00D23449" w:rsidRPr="00266BE9" w:rsidTr="009A0172">
        <w:trPr>
          <w:trHeight w:val="255"/>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M</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352 819,9</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10</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105,5</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3</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3 061,0</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5</w:t>
            </w:r>
          </w:p>
        </w:tc>
      </w:tr>
      <w:tr w:rsidR="00D23449" w:rsidRPr="00266BE9" w:rsidTr="009A0172">
        <w:trPr>
          <w:trHeight w:val="255"/>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P</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422 285,1</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2</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104,3</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8</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3 889,4</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4</w:t>
            </w:r>
          </w:p>
        </w:tc>
      </w:tr>
      <w:tr w:rsidR="00D23449" w:rsidRPr="00266BE9" w:rsidTr="009A0172">
        <w:trPr>
          <w:trHeight w:val="255"/>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S</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418 436,0</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3</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105,8</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2</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11 841,0</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2</w:t>
            </w:r>
          </w:p>
        </w:tc>
      </w:tr>
      <w:tr w:rsidR="00D23449" w:rsidRPr="00266BE9" w:rsidTr="009A0172">
        <w:trPr>
          <w:trHeight w:val="255"/>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T</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376 286,9</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6</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104,5</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7</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5 090,4</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3</w:t>
            </w:r>
          </w:p>
        </w:tc>
      </w:tr>
      <w:tr w:rsidR="00D23449" w:rsidRPr="00266BE9" w:rsidTr="009A0172">
        <w:trPr>
          <w:trHeight w:val="255"/>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U</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336 345,1</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12</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103,7</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12</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953,6</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12</w:t>
            </w:r>
          </w:p>
        </w:tc>
      </w:tr>
      <w:tr w:rsidR="00D23449" w:rsidRPr="00266BE9" w:rsidTr="009A0172">
        <w:trPr>
          <w:trHeight w:val="255"/>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Z</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390 020,1</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5</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103,8</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11</w:t>
            </w:r>
          </w:p>
        </w:tc>
        <w:tc>
          <w:tcPr>
            <w:tcW w:w="1324"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2 837,0</w:t>
            </w:r>
          </w:p>
        </w:tc>
        <w:tc>
          <w:tcPr>
            <w:tcW w:w="1325" w:type="dxa"/>
            <w:tcBorders>
              <w:top w:val="nil"/>
              <w:left w:val="nil"/>
              <w:bottom w:val="single" w:sz="4" w:space="0" w:color="auto"/>
              <w:right w:val="single" w:sz="4" w:space="0" w:color="auto"/>
            </w:tcBorders>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6</w:t>
            </w:r>
          </w:p>
        </w:tc>
      </w:tr>
    </w:tbl>
    <w:p w:rsidR="00D23449" w:rsidRPr="00266BE9" w:rsidRDefault="0045301D" w:rsidP="00266BE9">
      <w:pPr>
        <w:spacing w:after="120"/>
        <w:rPr>
          <w:rFonts w:ascii="Times New Roman" w:eastAsia="Times New Roman" w:hAnsi="Times New Roman" w:cs="Times New Roman"/>
          <w:sz w:val="20"/>
          <w:lang w:val="en-GB" w:bidi="en-US"/>
        </w:rPr>
      </w:pPr>
      <w:r w:rsidRPr="00266BE9">
        <w:rPr>
          <w:rFonts w:ascii="Times New Roman" w:eastAsia="Times New Roman" w:hAnsi="Times New Roman" w:cs="Times New Roman"/>
          <w:sz w:val="20"/>
          <w:lang w:val="en-GB" w:bidi="en-US"/>
        </w:rPr>
        <w:t>Source</w:t>
      </w:r>
      <w:r w:rsidR="00D23449" w:rsidRPr="00266BE9">
        <w:rPr>
          <w:rFonts w:ascii="Times New Roman" w:eastAsia="Times New Roman" w:hAnsi="Times New Roman" w:cs="Times New Roman"/>
          <w:sz w:val="20"/>
          <w:lang w:val="en-GB" w:bidi="en-US"/>
        </w:rPr>
        <w:t xml:space="preserve">: CZSO, </w:t>
      </w:r>
      <w:r w:rsidRPr="00266BE9">
        <w:rPr>
          <w:rFonts w:ascii="Times New Roman" w:eastAsia="Times New Roman" w:hAnsi="Times New Roman" w:cs="Times New Roman"/>
          <w:sz w:val="20"/>
          <w:lang w:val="en-GB" w:bidi="en-US"/>
        </w:rPr>
        <w:t>own calculation</w:t>
      </w:r>
    </w:p>
    <w:p w:rsidR="00D23449" w:rsidRPr="00266BE9" w:rsidRDefault="00D23449" w:rsidP="0045301D">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Comparison of the results of correspondence analysis with statistical indicators is more complicated in that level, that the outputs of correspondence analysis are rather illustrative. Quantitative expression through points between points is also distorted by the categorization of input variables.</w:t>
      </w:r>
    </w:p>
    <w:p w:rsidR="00D23449" w:rsidRPr="00266BE9" w:rsidRDefault="00D23449" w:rsidP="0045301D">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It was pointed out above that the entities that used the highest amount of subsidies are located in the Moravian-Silesian and South Bohemian regions. However, from the point of view of the region's development according to the GDP produced per capita, these are rather average regions (see the 6th and 8th rank among regions). The same criterion can also be stated in the supplementary criterion of the growth rate of the respective region (see 7th and 9th order).</w:t>
      </w:r>
    </w:p>
    <w:p w:rsidR="00D23449" w:rsidRPr="00266BE9" w:rsidRDefault="00D23449" w:rsidP="0045301D">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The R&amp;D expenditure indicator does not correspond in all respects to the order of the regions set by the previous indicators. In this case, the Moravian-Silesian Region shows the third highest expenditure in the surveyed area (far from South Moravia and Central Bohemia). The South Bohemian Region once again ranked among the middle of the monitored regions.</w:t>
      </w:r>
    </w:p>
    <w:p w:rsidR="00D23449" w:rsidRPr="00266BE9" w:rsidRDefault="00D23449" w:rsidP="0045301D">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 xml:space="preserve">The results of the analysis thus confirm the above-mentioned current concept of regional policy. Thus, the funds used in regional policy can affect all regions (not only the poorest). Another question is then to assess the impact of the aid provided. By means of statistical indicators it is not possible to unequivocally demonstrate the direct impact of implemented projects (supported by EU subsidies) on the economic performance of the region. One </w:t>
      </w:r>
      <w:r w:rsidRPr="00266BE9">
        <w:rPr>
          <w:rFonts w:ascii="Times New Roman" w:eastAsia="Times New Roman" w:hAnsi="Times New Roman" w:cs="Times New Roman"/>
          <w:sz w:val="20"/>
          <w:szCs w:val="20"/>
          <w:lang w:val="en-GB" w:bidi="en-US"/>
        </w:rPr>
        <w:lastRenderedPageBreak/>
        <w:t xml:space="preserve">example is the Hradec </w:t>
      </w:r>
      <w:proofErr w:type="spellStart"/>
      <w:r w:rsidRPr="00266BE9">
        <w:rPr>
          <w:rFonts w:ascii="Times New Roman" w:eastAsia="Times New Roman" w:hAnsi="Times New Roman" w:cs="Times New Roman"/>
          <w:sz w:val="20"/>
          <w:szCs w:val="20"/>
          <w:lang w:val="en-GB" w:bidi="en-US"/>
        </w:rPr>
        <w:t>Králové</w:t>
      </w:r>
      <w:proofErr w:type="spellEnd"/>
      <w:r w:rsidRPr="00266BE9">
        <w:rPr>
          <w:rFonts w:ascii="Times New Roman" w:eastAsia="Times New Roman" w:hAnsi="Times New Roman" w:cs="Times New Roman"/>
          <w:sz w:val="20"/>
          <w:szCs w:val="20"/>
          <w:lang w:val="en-GB" w:bidi="en-US"/>
        </w:rPr>
        <w:t xml:space="preserve"> Region, which, on the one hand, recorded the highest average growth of the regional economy. The projects implemented here all have the closest to the category of very low spending. In addition, the R&amp;D expenditures rank this region at the end of the region's imaginary ranking.</w:t>
      </w:r>
    </w:p>
    <w:p w:rsidR="00D23449" w:rsidRPr="00266BE9" w:rsidRDefault="00D23449" w:rsidP="0045301D">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 xml:space="preserve">Another indicator that can be used to </w:t>
      </w:r>
      <w:proofErr w:type="spellStart"/>
      <w:r w:rsidRPr="00266BE9">
        <w:rPr>
          <w:rFonts w:ascii="Times New Roman" w:eastAsia="Times New Roman" w:hAnsi="Times New Roman" w:cs="Times New Roman"/>
          <w:sz w:val="20"/>
          <w:szCs w:val="20"/>
          <w:lang w:val="en-GB" w:bidi="en-US"/>
        </w:rPr>
        <w:t>analyze</w:t>
      </w:r>
      <w:proofErr w:type="spellEnd"/>
      <w:r w:rsidRPr="00266BE9">
        <w:rPr>
          <w:rFonts w:ascii="Times New Roman" w:eastAsia="Times New Roman" w:hAnsi="Times New Roman" w:cs="Times New Roman"/>
          <w:sz w:val="20"/>
          <w:szCs w:val="20"/>
          <w:lang w:val="en-GB" w:bidi="en-US"/>
        </w:rPr>
        <w:t xml:space="preserve"> the use of funds by the beneficiary is the priority axis "Efficient energy management, development of energy infrastructure and renewable energy sources, support for the introduction of new technologies in the field of energy management and secondary raw materials", which also falls under the same operational program as the priority axis </w:t>
      </w:r>
      <w:proofErr w:type="spellStart"/>
      <w:r w:rsidRPr="00266BE9">
        <w:rPr>
          <w:rFonts w:ascii="Times New Roman" w:eastAsia="Times New Roman" w:hAnsi="Times New Roman" w:cs="Times New Roman"/>
          <w:sz w:val="20"/>
          <w:szCs w:val="20"/>
          <w:lang w:val="en-GB" w:bidi="en-US"/>
        </w:rPr>
        <w:t>analyzed</w:t>
      </w:r>
      <w:proofErr w:type="spellEnd"/>
      <w:r w:rsidRPr="00266BE9">
        <w:rPr>
          <w:rFonts w:ascii="Times New Roman" w:eastAsia="Times New Roman" w:hAnsi="Times New Roman" w:cs="Times New Roman"/>
          <w:sz w:val="20"/>
          <w:szCs w:val="20"/>
          <w:lang w:val="en-GB" w:bidi="en-US"/>
        </w:rPr>
        <w:t xml:space="preserve"> above. The distribution of the drawdown of funds between individual regions is indicated in the correspondence map in Figure 2.</w:t>
      </w:r>
    </w:p>
    <w:p w:rsidR="00D23449" w:rsidRPr="00266BE9" w:rsidRDefault="00D23449" w:rsidP="0045301D">
      <w:pPr>
        <w:spacing w:after="120"/>
        <w:rPr>
          <w:rFonts w:ascii="Times New Roman" w:eastAsia="Times New Roman" w:hAnsi="Times New Roman" w:cs="Times New Roman"/>
          <w:b/>
          <w:sz w:val="20"/>
          <w:lang w:val="en-GB" w:bidi="en-US"/>
        </w:rPr>
      </w:pPr>
      <w:r w:rsidRPr="00266BE9">
        <w:rPr>
          <w:rFonts w:ascii="Times New Roman" w:eastAsia="Times New Roman" w:hAnsi="Times New Roman" w:cs="Times New Roman"/>
          <w:b/>
          <w:sz w:val="20"/>
          <w:lang w:val="en-GB" w:bidi="en-US"/>
        </w:rPr>
        <w:t xml:space="preserve">Figure 2 </w:t>
      </w:r>
      <w:r w:rsidRPr="00266BE9">
        <w:rPr>
          <w:rFonts w:ascii="Times New Roman" w:eastAsia="Times New Roman" w:hAnsi="Times New Roman" w:cs="Times New Roman"/>
          <w:sz w:val="20"/>
          <w:lang w:val="en-GB" w:bidi="en-US"/>
        </w:rPr>
        <w:t xml:space="preserve">Correspondence map for Priority Axis 1.3 of OP Enterprise and Innovation for Competitiveness (source: own </w:t>
      </w:r>
      <w:r w:rsidR="0045301D" w:rsidRPr="00266BE9">
        <w:rPr>
          <w:rFonts w:ascii="Times New Roman" w:eastAsia="Times New Roman" w:hAnsi="Times New Roman" w:cs="Times New Roman"/>
          <w:sz w:val="20"/>
          <w:lang w:val="en-GB" w:bidi="en-US"/>
        </w:rPr>
        <w:t>calculation</w:t>
      </w:r>
      <w:r w:rsidRPr="00266BE9">
        <w:rPr>
          <w:rFonts w:ascii="Times New Roman" w:eastAsia="Times New Roman" w:hAnsi="Times New Roman" w:cs="Times New Roman"/>
          <w:sz w:val="20"/>
          <w:lang w:val="en-GB" w:bidi="en-US"/>
        </w:rPr>
        <w:t>)</w:t>
      </w:r>
    </w:p>
    <w:p w:rsidR="00266BE9" w:rsidRPr="00266BE9" w:rsidRDefault="00266BE9" w:rsidP="00266BE9">
      <w:pPr>
        <w:spacing w:after="120"/>
        <w:rPr>
          <w:lang w:val="en-GB"/>
        </w:rPr>
      </w:pPr>
      <w:r w:rsidRPr="00266BE9">
        <w:rPr>
          <w:lang w:val="en-GB"/>
        </w:rPr>
        <w:object w:dxaOrig="8939" w:dyaOrig="6750">
          <v:shape id="_x0000_i1026" type="#_x0000_t75" style="width:447pt;height:337.5pt" o:ole="">
            <v:imagedata r:id="rId7" o:title=""/>
          </v:shape>
          <o:OLEObject Type="Embed" ProgID="STATISTICA.Graph" ShapeID="_x0000_i1026" DrawAspect="Content" ObjectID="_1625113619" r:id="rId8">
            <o:FieldCodes>\s</o:FieldCodes>
          </o:OLEObject>
        </w:object>
      </w:r>
    </w:p>
    <w:p w:rsidR="00D23449" w:rsidRPr="00266BE9" w:rsidRDefault="00D23449" w:rsidP="00266BE9">
      <w:pPr>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 xml:space="preserve">Once again, the distribution of points is characterized by the characteristic drawdown of funds within individual regions. Rather lower volumes of funds then relate to the drawing of subsidies in the South Moravian Region. Also the Moravian-Silesian Region is closer to this lowest quartile. Higher amounts of funds allocated to individual projects are related to the </w:t>
      </w:r>
      <w:proofErr w:type="spellStart"/>
      <w:r w:rsidRPr="00266BE9">
        <w:rPr>
          <w:rFonts w:ascii="Times New Roman" w:eastAsia="Times New Roman" w:hAnsi="Times New Roman" w:cs="Times New Roman"/>
          <w:sz w:val="20"/>
          <w:szCs w:val="20"/>
          <w:lang w:val="en-GB" w:bidi="en-US"/>
        </w:rPr>
        <w:t>Zlínský</w:t>
      </w:r>
      <w:proofErr w:type="spellEnd"/>
      <w:r w:rsidRPr="00266BE9">
        <w:rPr>
          <w:rFonts w:ascii="Times New Roman" w:eastAsia="Times New Roman" w:hAnsi="Times New Roman" w:cs="Times New Roman"/>
          <w:sz w:val="20"/>
          <w:szCs w:val="20"/>
          <w:lang w:val="en-GB" w:bidi="en-US"/>
        </w:rPr>
        <w:t xml:space="preserve"> Region, the </w:t>
      </w:r>
      <w:proofErr w:type="spellStart"/>
      <w:r w:rsidRPr="00266BE9">
        <w:rPr>
          <w:rFonts w:ascii="Times New Roman" w:eastAsia="Times New Roman" w:hAnsi="Times New Roman" w:cs="Times New Roman"/>
          <w:sz w:val="20"/>
          <w:szCs w:val="20"/>
          <w:lang w:val="en-GB" w:bidi="en-US"/>
        </w:rPr>
        <w:t>Vysočina</w:t>
      </w:r>
      <w:proofErr w:type="spellEnd"/>
      <w:r w:rsidRPr="00266BE9">
        <w:rPr>
          <w:rFonts w:ascii="Times New Roman" w:eastAsia="Times New Roman" w:hAnsi="Times New Roman" w:cs="Times New Roman"/>
          <w:sz w:val="20"/>
          <w:szCs w:val="20"/>
          <w:lang w:val="en-GB" w:bidi="en-US"/>
        </w:rPr>
        <w:t xml:space="preserve"> Region, the </w:t>
      </w:r>
      <w:proofErr w:type="spellStart"/>
      <w:r w:rsidRPr="00266BE9">
        <w:rPr>
          <w:rFonts w:ascii="Times New Roman" w:eastAsia="Times New Roman" w:hAnsi="Times New Roman" w:cs="Times New Roman"/>
          <w:sz w:val="20"/>
          <w:szCs w:val="20"/>
          <w:lang w:val="en-GB" w:bidi="en-US"/>
        </w:rPr>
        <w:t>Kralovarský</w:t>
      </w:r>
      <w:proofErr w:type="spellEnd"/>
      <w:r w:rsidRPr="00266BE9">
        <w:rPr>
          <w:rFonts w:ascii="Times New Roman" w:eastAsia="Times New Roman" w:hAnsi="Times New Roman" w:cs="Times New Roman"/>
          <w:sz w:val="20"/>
          <w:szCs w:val="20"/>
          <w:lang w:val="en-GB" w:bidi="en-US"/>
        </w:rPr>
        <w:t xml:space="preserve"> Region or the Pardubice Region. The third quartile can include the </w:t>
      </w:r>
      <w:proofErr w:type="spellStart"/>
      <w:r w:rsidRPr="00266BE9">
        <w:rPr>
          <w:rFonts w:ascii="Times New Roman" w:eastAsia="Times New Roman" w:hAnsi="Times New Roman" w:cs="Times New Roman"/>
          <w:sz w:val="20"/>
          <w:szCs w:val="20"/>
          <w:lang w:val="en-GB" w:bidi="en-US"/>
        </w:rPr>
        <w:t>Olomoucký</w:t>
      </w:r>
      <w:proofErr w:type="spellEnd"/>
      <w:r w:rsidRPr="00266BE9">
        <w:rPr>
          <w:rFonts w:ascii="Times New Roman" w:eastAsia="Times New Roman" w:hAnsi="Times New Roman" w:cs="Times New Roman"/>
          <w:sz w:val="20"/>
          <w:szCs w:val="20"/>
          <w:lang w:val="en-GB" w:bidi="en-US"/>
        </w:rPr>
        <w:t xml:space="preserve"> and </w:t>
      </w:r>
      <w:proofErr w:type="spellStart"/>
      <w:r w:rsidRPr="00266BE9">
        <w:rPr>
          <w:rFonts w:ascii="Times New Roman" w:eastAsia="Times New Roman" w:hAnsi="Times New Roman" w:cs="Times New Roman"/>
          <w:sz w:val="20"/>
          <w:szCs w:val="20"/>
          <w:lang w:val="en-GB" w:bidi="en-US"/>
        </w:rPr>
        <w:t>Liberecký</w:t>
      </w:r>
      <w:proofErr w:type="spellEnd"/>
      <w:r w:rsidRPr="00266BE9">
        <w:rPr>
          <w:rFonts w:ascii="Times New Roman" w:eastAsia="Times New Roman" w:hAnsi="Times New Roman" w:cs="Times New Roman"/>
          <w:sz w:val="20"/>
          <w:szCs w:val="20"/>
          <w:lang w:val="en-GB" w:bidi="en-US"/>
        </w:rPr>
        <w:t xml:space="preserve">, </w:t>
      </w:r>
      <w:proofErr w:type="spellStart"/>
      <w:r w:rsidRPr="00266BE9">
        <w:rPr>
          <w:rFonts w:ascii="Times New Roman" w:eastAsia="Times New Roman" w:hAnsi="Times New Roman" w:cs="Times New Roman"/>
          <w:sz w:val="20"/>
          <w:szCs w:val="20"/>
          <w:lang w:val="en-GB" w:bidi="en-US"/>
        </w:rPr>
        <w:t>Jihočeský</w:t>
      </w:r>
      <w:proofErr w:type="spellEnd"/>
      <w:r w:rsidRPr="00266BE9">
        <w:rPr>
          <w:rFonts w:ascii="Times New Roman" w:eastAsia="Times New Roman" w:hAnsi="Times New Roman" w:cs="Times New Roman"/>
          <w:sz w:val="20"/>
          <w:szCs w:val="20"/>
          <w:lang w:val="en-GB" w:bidi="en-US"/>
        </w:rPr>
        <w:t xml:space="preserve"> and </w:t>
      </w:r>
      <w:proofErr w:type="spellStart"/>
      <w:r w:rsidRPr="00266BE9">
        <w:rPr>
          <w:rFonts w:ascii="Times New Roman" w:eastAsia="Times New Roman" w:hAnsi="Times New Roman" w:cs="Times New Roman"/>
          <w:sz w:val="20"/>
          <w:szCs w:val="20"/>
          <w:lang w:val="en-GB" w:bidi="en-US"/>
        </w:rPr>
        <w:t>Královéhradecký</w:t>
      </w:r>
      <w:proofErr w:type="spellEnd"/>
      <w:r w:rsidRPr="00266BE9">
        <w:rPr>
          <w:rFonts w:ascii="Times New Roman" w:eastAsia="Times New Roman" w:hAnsi="Times New Roman" w:cs="Times New Roman"/>
          <w:sz w:val="20"/>
          <w:szCs w:val="20"/>
          <w:lang w:val="en-GB" w:bidi="en-US"/>
        </w:rPr>
        <w:t xml:space="preserve"> regions. However, the highest amounts were allocated to projects that were implemented in the Central Bohemian Region. In the case of the </w:t>
      </w:r>
      <w:proofErr w:type="spellStart"/>
      <w:r w:rsidRPr="00266BE9">
        <w:rPr>
          <w:rFonts w:ascii="Times New Roman" w:eastAsia="Times New Roman" w:hAnsi="Times New Roman" w:cs="Times New Roman"/>
          <w:sz w:val="20"/>
          <w:szCs w:val="20"/>
          <w:lang w:val="en-GB" w:bidi="en-US"/>
        </w:rPr>
        <w:t>Ústí</w:t>
      </w:r>
      <w:proofErr w:type="spellEnd"/>
      <w:r w:rsidRPr="00266BE9">
        <w:rPr>
          <w:rFonts w:ascii="Times New Roman" w:eastAsia="Times New Roman" w:hAnsi="Times New Roman" w:cs="Times New Roman"/>
          <w:sz w:val="20"/>
          <w:szCs w:val="20"/>
          <w:lang w:val="en-GB" w:bidi="en-US"/>
        </w:rPr>
        <w:t xml:space="preserve"> Region there is a problem with its unequivocal inclusion in the relevant quartile. Its position is on the imaginary line between the third and fourth quartiles.</w:t>
      </w:r>
    </w:p>
    <w:p w:rsidR="00D23449" w:rsidRPr="00266BE9" w:rsidRDefault="00D23449" w:rsidP="0045301D">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Like the previous Priority Axis, it was assessed through other statistical indicators, and in this case we are also interested in documenting the relevant impacts.</w:t>
      </w:r>
    </w:p>
    <w:p w:rsidR="00143B5C" w:rsidRPr="00266BE9" w:rsidRDefault="00143B5C">
      <w:pPr>
        <w:spacing w:after="160" w:line="259" w:lineRule="auto"/>
        <w:jc w:val="left"/>
        <w:rPr>
          <w:rFonts w:ascii="Times New Roman" w:eastAsia="Times New Roman" w:hAnsi="Times New Roman" w:cs="Times New Roman"/>
          <w:b/>
          <w:sz w:val="20"/>
          <w:lang w:val="en-GB" w:bidi="en-US"/>
        </w:rPr>
      </w:pPr>
      <w:r w:rsidRPr="00266BE9">
        <w:rPr>
          <w:rFonts w:ascii="Times New Roman" w:eastAsia="Times New Roman" w:hAnsi="Times New Roman" w:cs="Times New Roman"/>
          <w:b/>
          <w:sz w:val="20"/>
          <w:lang w:val="en-GB" w:bidi="en-US"/>
        </w:rPr>
        <w:br w:type="page"/>
      </w:r>
    </w:p>
    <w:p w:rsidR="00D23449" w:rsidRPr="00266BE9" w:rsidRDefault="00D23449" w:rsidP="0045301D">
      <w:pPr>
        <w:spacing w:after="120"/>
        <w:rPr>
          <w:rFonts w:ascii="Times New Roman" w:eastAsia="Times New Roman" w:hAnsi="Times New Roman" w:cs="Times New Roman"/>
          <w:b/>
          <w:sz w:val="20"/>
          <w:lang w:val="en-GB" w:bidi="en-US"/>
        </w:rPr>
      </w:pPr>
      <w:r w:rsidRPr="00266BE9">
        <w:rPr>
          <w:rFonts w:ascii="Times New Roman" w:eastAsia="Times New Roman" w:hAnsi="Times New Roman" w:cs="Times New Roman"/>
          <w:b/>
          <w:sz w:val="20"/>
          <w:lang w:val="en-GB" w:bidi="en-US"/>
        </w:rPr>
        <w:lastRenderedPageBreak/>
        <w:t>Table 2: Average increase in industrial waste production between 2014 and 2017</w:t>
      </w:r>
    </w:p>
    <w:tbl>
      <w:tblPr>
        <w:tblW w:w="69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313"/>
        <w:gridCol w:w="2314"/>
        <w:gridCol w:w="2314"/>
      </w:tblGrid>
      <w:tr w:rsidR="00D23449" w:rsidRPr="00266BE9" w:rsidTr="00976FA6">
        <w:trPr>
          <w:trHeight w:val="300"/>
        </w:trPr>
        <w:tc>
          <w:tcPr>
            <w:tcW w:w="2313" w:type="dxa"/>
            <w:shd w:val="clear" w:color="auto" w:fill="auto"/>
            <w:noWrap/>
            <w:vAlign w:val="bottom"/>
            <w:hideMark/>
          </w:tcPr>
          <w:p w:rsidR="00D23449" w:rsidRPr="00266BE9" w:rsidRDefault="0045301D" w:rsidP="0045301D">
            <w:pPr>
              <w:jc w:val="center"/>
              <w:rPr>
                <w:rFonts w:ascii="Times New Roman" w:eastAsia="Times New Roman" w:hAnsi="Times New Roman" w:cs="Times New Roman"/>
                <w:b/>
                <w:color w:val="000000"/>
                <w:sz w:val="20"/>
                <w:szCs w:val="20"/>
                <w:lang w:val="en-GB" w:eastAsia="cs-CZ"/>
              </w:rPr>
            </w:pPr>
            <w:r w:rsidRPr="00266BE9">
              <w:rPr>
                <w:rFonts w:ascii="Times New Roman" w:eastAsia="Times New Roman" w:hAnsi="Times New Roman" w:cs="Times New Roman"/>
                <w:b/>
                <w:color w:val="000000"/>
                <w:sz w:val="20"/>
                <w:szCs w:val="20"/>
                <w:lang w:val="en-GB" w:eastAsia="cs-CZ"/>
              </w:rPr>
              <w:t>Region</w:t>
            </w:r>
          </w:p>
        </w:tc>
        <w:tc>
          <w:tcPr>
            <w:tcW w:w="2314" w:type="dxa"/>
            <w:shd w:val="clear" w:color="auto" w:fill="auto"/>
            <w:noWrap/>
            <w:vAlign w:val="bottom"/>
            <w:hideMark/>
          </w:tcPr>
          <w:p w:rsidR="00D23449" w:rsidRPr="00266BE9" w:rsidRDefault="0045301D" w:rsidP="0045301D">
            <w:pPr>
              <w:jc w:val="center"/>
              <w:rPr>
                <w:rFonts w:ascii="Times New Roman" w:eastAsia="Times New Roman" w:hAnsi="Times New Roman" w:cs="Times New Roman"/>
                <w:b/>
                <w:color w:val="000000"/>
                <w:sz w:val="20"/>
                <w:szCs w:val="20"/>
                <w:lang w:val="en-GB" w:eastAsia="cs-CZ"/>
              </w:rPr>
            </w:pPr>
            <w:r w:rsidRPr="00266BE9">
              <w:rPr>
                <w:rFonts w:ascii="Times New Roman" w:eastAsia="Times New Roman" w:hAnsi="Times New Roman" w:cs="Times New Roman"/>
                <w:b/>
                <w:color w:val="000000"/>
                <w:sz w:val="20"/>
                <w:szCs w:val="20"/>
                <w:lang w:val="en-GB" w:eastAsia="cs-CZ"/>
              </w:rPr>
              <w:t>Average increase in waste production</w:t>
            </w:r>
          </w:p>
        </w:tc>
        <w:tc>
          <w:tcPr>
            <w:tcW w:w="2314" w:type="dxa"/>
            <w:shd w:val="clear" w:color="auto" w:fill="auto"/>
            <w:noWrap/>
            <w:vAlign w:val="bottom"/>
            <w:hideMark/>
          </w:tcPr>
          <w:p w:rsidR="00D23449" w:rsidRPr="00266BE9" w:rsidRDefault="0045301D" w:rsidP="0045301D">
            <w:pPr>
              <w:jc w:val="center"/>
              <w:rPr>
                <w:rFonts w:ascii="Times New Roman" w:eastAsia="Times New Roman" w:hAnsi="Times New Roman" w:cs="Times New Roman"/>
                <w:b/>
                <w:color w:val="000000"/>
                <w:sz w:val="20"/>
                <w:szCs w:val="20"/>
                <w:lang w:val="en-GB" w:eastAsia="cs-CZ"/>
              </w:rPr>
            </w:pPr>
            <w:r w:rsidRPr="00266BE9">
              <w:rPr>
                <w:rFonts w:ascii="Times New Roman" w:eastAsia="Times New Roman" w:hAnsi="Times New Roman" w:cs="Times New Roman"/>
                <w:b/>
                <w:color w:val="000000"/>
                <w:sz w:val="20"/>
                <w:szCs w:val="20"/>
                <w:lang w:val="en-GB" w:eastAsia="cs-CZ"/>
              </w:rPr>
              <w:t>Order</w:t>
            </w:r>
          </w:p>
        </w:tc>
      </w:tr>
      <w:tr w:rsidR="00D23449" w:rsidRPr="00266BE9" w:rsidTr="00976FA6">
        <w:trPr>
          <w:trHeight w:val="300"/>
        </w:trPr>
        <w:tc>
          <w:tcPr>
            <w:tcW w:w="2313" w:type="dxa"/>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B</w:t>
            </w:r>
          </w:p>
        </w:tc>
        <w:tc>
          <w:tcPr>
            <w:tcW w:w="2314" w:type="dxa"/>
            <w:shd w:val="clear" w:color="auto" w:fill="auto"/>
            <w:noWrap/>
            <w:vAlign w:val="bottom"/>
            <w:hideMark/>
          </w:tcPr>
          <w:p w:rsidR="00D23449" w:rsidRPr="00266BE9" w:rsidRDefault="00D23449" w:rsidP="009A0172">
            <w:pPr>
              <w:jc w:val="center"/>
              <w:rPr>
                <w:rFonts w:ascii="Times New Roman" w:hAnsi="Times New Roman" w:cs="Times New Roman"/>
                <w:color w:val="000000"/>
                <w:sz w:val="20"/>
                <w:szCs w:val="20"/>
                <w:lang w:val="en-GB"/>
              </w:rPr>
            </w:pPr>
            <w:r w:rsidRPr="00266BE9">
              <w:rPr>
                <w:rFonts w:ascii="Times New Roman" w:hAnsi="Times New Roman" w:cs="Times New Roman"/>
                <w:color w:val="000000"/>
                <w:sz w:val="20"/>
                <w:szCs w:val="20"/>
                <w:lang w:val="en-GB"/>
              </w:rPr>
              <w:t>1,0913</w:t>
            </w:r>
          </w:p>
        </w:tc>
        <w:tc>
          <w:tcPr>
            <w:tcW w:w="2314" w:type="dxa"/>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w:t>
            </w:r>
          </w:p>
        </w:tc>
      </w:tr>
      <w:tr w:rsidR="00D23449" w:rsidRPr="00266BE9" w:rsidTr="00976FA6">
        <w:trPr>
          <w:trHeight w:val="300"/>
        </w:trPr>
        <w:tc>
          <w:tcPr>
            <w:tcW w:w="2313" w:type="dxa"/>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H</w:t>
            </w:r>
          </w:p>
        </w:tc>
        <w:tc>
          <w:tcPr>
            <w:tcW w:w="2314" w:type="dxa"/>
            <w:shd w:val="clear" w:color="auto" w:fill="auto"/>
            <w:noWrap/>
            <w:vAlign w:val="bottom"/>
            <w:hideMark/>
          </w:tcPr>
          <w:p w:rsidR="00D23449" w:rsidRPr="00266BE9" w:rsidRDefault="00D23449" w:rsidP="009A0172">
            <w:pPr>
              <w:jc w:val="center"/>
              <w:rPr>
                <w:rFonts w:ascii="Times New Roman" w:hAnsi="Times New Roman" w:cs="Times New Roman"/>
                <w:color w:val="000000"/>
                <w:sz w:val="20"/>
                <w:szCs w:val="20"/>
                <w:lang w:val="en-GB"/>
              </w:rPr>
            </w:pPr>
            <w:r w:rsidRPr="00266BE9">
              <w:rPr>
                <w:rFonts w:ascii="Times New Roman" w:hAnsi="Times New Roman" w:cs="Times New Roman"/>
                <w:color w:val="000000"/>
                <w:sz w:val="20"/>
                <w:szCs w:val="20"/>
                <w:lang w:val="en-GB"/>
              </w:rPr>
              <w:t>1,0905</w:t>
            </w:r>
          </w:p>
        </w:tc>
        <w:tc>
          <w:tcPr>
            <w:tcW w:w="2314" w:type="dxa"/>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2</w:t>
            </w:r>
          </w:p>
        </w:tc>
      </w:tr>
      <w:tr w:rsidR="00D23449" w:rsidRPr="00266BE9" w:rsidTr="00976FA6">
        <w:trPr>
          <w:trHeight w:val="300"/>
        </w:trPr>
        <w:tc>
          <w:tcPr>
            <w:tcW w:w="2313" w:type="dxa"/>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C</w:t>
            </w:r>
          </w:p>
        </w:tc>
        <w:tc>
          <w:tcPr>
            <w:tcW w:w="2314" w:type="dxa"/>
            <w:shd w:val="clear" w:color="auto" w:fill="auto"/>
            <w:noWrap/>
            <w:vAlign w:val="bottom"/>
            <w:hideMark/>
          </w:tcPr>
          <w:p w:rsidR="00D23449" w:rsidRPr="00266BE9" w:rsidRDefault="00D23449" w:rsidP="009A0172">
            <w:pPr>
              <w:jc w:val="center"/>
              <w:rPr>
                <w:rFonts w:ascii="Times New Roman" w:hAnsi="Times New Roman" w:cs="Times New Roman"/>
                <w:color w:val="000000"/>
                <w:sz w:val="20"/>
                <w:szCs w:val="20"/>
                <w:lang w:val="en-GB"/>
              </w:rPr>
            </w:pPr>
            <w:r w:rsidRPr="00266BE9">
              <w:rPr>
                <w:rFonts w:ascii="Times New Roman" w:hAnsi="Times New Roman" w:cs="Times New Roman"/>
                <w:color w:val="000000"/>
                <w:sz w:val="20"/>
                <w:szCs w:val="20"/>
                <w:lang w:val="en-GB"/>
              </w:rPr>
              <w:t>1,0758</w:t>
            </w:r>
          </w:p>
        </w:tc>
        <w:tc>
          <w:tcPr>
            <w:tcW w:w="2314" w:type="dxa"/>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3</w:t>
            </w:r>
          </w:p>
        </w:tc>
      </w:tr>
      <w:tr w:rsidR="00D23449" w:rsidRPr="00266BE9" w:rsidTr="00976FA6">
        <w:trPr>
          <w:trHeight w:val="300"/>
        </w:trPr>
        <w:tc>
          <w:tcPr>
            <w:tcW w:w="2313" w:type="dxa"/>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U</w:t>
            </w:r>
          </w:p>
        </w:tc>
        <w:tc>
          <w:tcPr>
            <w:tcW w:w="2314" w:type="dxa"/>
            <w:shd w:val="clear" w:color="auto" w:fill="auto"/>
            <w:noWrap/>
            <w:vAlign w:val="bottom"/>
            <w:hideMark/>
          </w:tcPr>
          <w:p w:rsidR="00D23449" w:rsidRPr="00266BE9" w:rsidRDefault="00D23449" w:rsidP="009A0172">
            <w:pPr>
              <w:jc w:val="center"/>
              <w:rPr>
                <w:rFonts w:ascii="Times New Roman" w:hAnsi="Times New Roman" w:cs="Times New Roman"/>
                <w:color w:val="000000"/>
                <w:sz w:val="20"/>
                <w:szCs w:val="20"/>
                <w:lang w:val="en-GB"/>
              </w:rPr>
            </w:pPr>
            <w:r w:rsidRPr="00266BE9">
              <w:rPr>
                <w:rFonts w:ascii="Times New Roman" w:hAnsi="Times New Roman" w:cs="Times New Roman"/>
                <w:color w:val="000000"/>
                <w:sz w:val="20"/>
                <w:szCs w:val="20"/>
                <w:lang w:val="en-GB"/>
              </w:rPr>
              <w:t>1,0739</w:t>
            </w:r>
          </w:p>
        </w:tc>
        <w:tc>
          <w:tcPr>
            <w:tcW w:w="2314" w:type="dxa"/>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4</w:t>
            </w:r>
          </w:p>
        </w:tc>
      </w:tr>
      <w:tr w:rsidR="00D23449" w:rsidRPr="00266BE9" w:rsidTr="00976FA6">
        <w:trPr>
          <w:trHeight w:val="300"/>
        </w:trPr>
        <w:tc>
          <w:tcPr>
            <w:tcW w:w="2313" w:type="dxa"/>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Z</w:t>
            </w:r>
          </w:p>
        </w:tc>
        <w:tc>
          <w:tcPr>
            <w:tcW w:w="2314" w:type="dxa"/>
            <w:shd w:val="clear" w:color="auto" w:fill="auto"/>
            <w:noWrap/>
            <w:vAlign w:val="bottom"/>
            <w:hideMark/>
          </w:tcPr>
          <w:p w:rsidR="00D23449" w:rsidRPr="00266BE9" w:rsidRDefault="00D23449" w:rsidP="009A0172">
            <w:pPr>
              <w:jc w:val="center"/>
              <w:rPr>
                <w:rFonts w:ascii="Times New Roman" w:hAnsi="Times New Roman" w:cs="Times New Roman"/>
                <w:color w:val="000000"/>
                <w:sz w:val="20"/>
                <w:szCs w:val="20"/>
                <w:lang w:val="en-GB"/>
              </w:rPr>
            </w:pPr>
            <w:r w:rsidRPr="00266BE9">
              <w:rPr>
                <w:rFonts w:ascii="Times New Roman" w:hAnsi="Times New Roman" w:cs="Times New Roman"/>
                <w:color w:val="000000"/>
                <w:sz w:val="20"/>
                <w:szCs w:val="20"/>
                <w:lang w:val="en-GB"/>
              </w:rPr>
              <w:t>1,0731</w:t>
            </w:r>
          </w:p>
        </w:tc>
        <w:tc>
          <w:tcPr>
            <w:tcW w:w="2314" w:type="dxa"/>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5</w:t>
            </w:r>
          </w:p>
        </w:tc>
      </w:tr>
      <w:tr w:rsidR="00D23449" w:rsidRPr="00266BE9" w:rsidTr="00976FA6">
        <w:trPr>
          <w:trHeight w:val="300"/>
        </w:trPr>
        <w:tc>
          <w:tcPr>
            <w:tcW w:w="2313" w:type="dxa"/>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T</w:t>
            </w:r>
          </w:p>
        </w:tc>
        <w:tc>
          <w:tcPr>
            <w:tcW w:w="2314" w:type="dxa"/>
            <w:shd w:val="clear" w:color="auto" w:fill="auto"/>
            <w:noWrap/>
            <w:vAlign w:val="bottom"/>
            <w:hideMark/>
          </w:tcPr>
          <w:p w:rsidR="00D23449" w:rsidRPr="00266BE9" w:rsidRDefault="00D23449" w:rsidP="009A0172">
            <w:pPr>
              <w:jc w:val="center"/>
              <w:rPr>
                <w:rFonts w:ascii="Times New Roman" w:hAnsi="Times New Roman" w:cs="Times New Roman"/>
                <w:color w:val="000000"/>
                <w:sz w:val="20"/>
                <w:szCs w:val="20"/>
                <w:lang w:val="en-GB"/>
              </w:rPr>
            </w:pPr>
            <w:r w:rsidRPr="00266BE9">
              <w:rPr>
                <w:rFonts w:ascii="Times New Roman" w:hAnsi="Times New Roman" w:cs="Times New Roman"/>
                <w:color w:val="000000"/>
                <w:sz w:val="20"/>
                <w:szCs w:val="20"/>
                <w:lang w:val="en-GB"/>
              </w:rPr>
              <w:t>1,0128</w:t>
            </w:r>
          </w:p>
        </w:tc>
        <w:tc>
          <w:tcPr>
            <w:tcW w:w="2314" w:type="dxa"/>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6</w:t>
            </w:r>
          </w:p>
        </w:tc>
      </w:tr>
      <w:tr w:rsidR="00D23449" w:rsidRPr="00266BE9" w:rsidTr="00976FA6">
        <w:trPr>
          <w:trHeight w:val="300"/>
        </w:trPr>
        <w:tc>
          <w:tcPr>
            <w:tcW w:w="2313" w:type="dxa"/>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J</w:t>
            </w:r>
          </w:p>
        </w:tc>
        <w:tc>
          <w:tcPr>
            <w:tcW w:w="2314" w:type="dxa"/>
            <w:shd w:val="clear" w:color="auto" w:fill="auto"/>
            <w:noWrap/>
            <w:vAlign w:val="bottom"/>
            <w:hideMark/>
          </w:tcPr>
          <w:p w:rsidR="00D23449" w:rsidRPr="00266BE9" w:rsidRDefault="00D23449" w:rsidP="009A0172">
            <w:pPr>
              <w:jc w:val="center"/>
              <w:rPr>
                <w:rFonts w:ascii="Times New Roman" w:hAnsi="Times New Roman" w:cs="Times New Roman"/>
                <w:color w:val="000000"/>
                <w:sz w:val="20"/>
                <w:szCs w:val="20"/>
                <w:lang w:val="en-GB"/>
              </w:rPr>
            </w:pPr>
            <w:r w:rsidRPr="00266BE9">
              <w:rPr>
                <w:rFonts w:ascii="Times New Roman" w:hAnsi="Times New Roman" w:cs="Times New Roman"/>
                <w:color w:val="000000"/>
                <w:sz w:val="20"/>
                <w:szCs w:val="20"/>
                <w:lang w:val="en-GB"/>
              </w:rPr>
              <w:t>1,0080</w:t>
            </w:r>
          </w:p>
        </w:tc>
        <w:tc>
          <w:tcPr>
            <w:tcW w:w="2314" w:type="dxa"/>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7</w:t>
            </w:r>
          </w:p>
        </w:tc>
      </w:tr>
      <w:tr w:rsidR="00D23449" w:rsidRPr="00266BE9" w:rsidTr="00976FA6">
        <w:trPr>
          <w:trHeight w:val="300"/>
        </w:trPr>
        <w:tc>
          <w:tcPr>
            <w:tcW w:w="2313" w:type="dxa"/>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S</w:t>
            </w:r>
          </w:p>
        </w:tc>
        <w:tc>
          <w:tcPr>
            <w:tcW w:w="2314" w:type="dxa"/>
            <w:shd w:val="clear" w:color="auto" w:fill="auto"/>
            <w:noWrap/>
            <w:vAlign w:val="bottom"/>
            <w:hideMark/>
          </w:tcPr>
          <w:p w:rsidR="00D23449" w:rsidRPr="00266BE9" w:rsidRDefault="00D23449" w:rsidP="009A0172">
            <w:pPr>
              <w:jc w:val="center"/>
              <w:rPr>
                <w:rFonts w:ascii="Times New Roman" w:hAnsi="Times New Roman" w:cs="Times New Roman"/>
                <w:color w:val="000000"/>
                <w:sz w:val="20"/>
                <w:szCs w:val="20"/>
                <w:lang w:val="en-GB"/>
              </w:rPr>
            </w:pPr>
            <w:r w:rsidRPr="00266BE9">
              <w:rPr>
                <w:rFonts w:ascii="Times New Roman" w:hAnsi="Times New Roman" w:cs="Times New Roman"/>
                <w:color w:val="000000"/>
                <w:sz w:val="20"/>
                <w:szCs w:val="20"/>
                <w:lang w:val="en-GB"/>
              </w:rPr>
              <w:t>1,0047</w:t>
            </w:r>
          </w:p>
        </w:tc>
        <w:tc>
          <w:tcPr>
            <w:tcW w:w="2314" w:type="dxa"/>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8</w:t>
            </w:r>
          </w:p>
        </w:tc>
      </w:tr>
      <w:tr w:rsidR="00D23449" w:rsidRPr="00266BE9" w:rsidTr="00976FA6">
        <w:trPr>
          <w:trHeight w:val="300"/>
        </w:trPr>
        <w:tc>
          <w:tcPr>
            <w:tcW w:w="2313" w:type="dxa"/>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L</w:t>
            </w:r>
          </w:p>
        </w:tc>
        <w:tc>
          <w:tcPr>
            <w:tcW w:w="2314" w:type="dxa"/>
            <w:shd w:val="clear" w:color="auto" w:fill="auto"/>
            <w:noWrap/>
            <w:vAlign w:val="bottom"/>
            <w:hideMark/>
          </w:tcPr>
          <w:p w:rsidR="00D23449" w:rsidRPr="00266BE9" w:rsidRDefault="00D23449" w:rsidP="009A0172">
            <w:pPr>
              <w:jc w:val="center"/>
              <w:rPr>
                <w:rFonts w:ascii="Times New Roman" w:hAnsi="Times New Roman" w:cs="Times New Roman"/>
                <w:color w:val="000000"/>
                <w:sz w:val="20"/>
                <w:szCs w:val="20"/>
                <w:lang w:val="en-GB"/>
              </w:rPr>
            </w:pPr>
            <w:r w:rsidRPr="00266BE9">
              <w:rPr>
                <w:rFonts w:ascii="Times New Roman" w:hAnsi="Times New Roman" w:cs="Times New Roman"/>
                <w:color w:val="000000"/>
                <w:sz w:val="20"/>
                <w:szCs w:val="20"/>
                <w:lang w:val="en-GB"/>
              </w:rPr>
              <w:t>1,0006</w:t>
            </w:r>
          </w:p>
        </w:tc>
        <w:tc>
          <w:tcPr>
            <w:tcW w:w="2314" w:type="dxa"/>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9</w:t>
            </w:r>
          </w:p>
        </w:tc>
      </w:tr>
      <w:tr w:rsidR="00D23449" w:rsidRPr="00266BE9" w:rsidTr="00976FA6">
        <w:trPr>
          <w:trHeight w:val="300"/>
        </w:trPr>
        <w:tc>
          <w:tcPr>
            <w:tcW w:w="2313" w:type="dxa"/>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K</w:t>
            </w:r>
          </w:p>
        </w:tc>
        <w:tc>
          <w:tcPr>
            <w:tcW w:w="2314" w:type="dxa"/>
            <w:shd w:val="clear" w:color="auto" w:fill="auto"/>
            <w:noWrap/>
            <w:vAlign w:val="bottom"/>
            <w:hideMark/>
          </w:tcPr>
          <w:p w:rsidR="00D23449" w:rsidRPr="00266BE9" w:rsidRDefault="00D23449" w:rsidP="009A0172">
            <w:pPr>
              <w:jc w:val="center"/>
              <w:rPr>
                <w:rFonts w:ascii="Times New Roman" w:hAnsi="Times New Roman" w:cs="Times New Roman"/>
                <w:color w:val="000000"/>
                <w:sz w:val="20"/>
                <w:szCs w:val="20"/>
                <w:lang w:val="en-GB"/>
              </w:rPr>
            </w:pPr>
            <w:r w:rsidRPr="00266BE9">
              <w:rPr>
                <w:rFonts w:ascii="Times New Roman" w:hAnsi="Times New Roman" w:cs="Times New Roman"/>
                <w:color w:val="000000"/>
                <w:sz w:val="20"/>
                <w:szCs w:val="20"/>
                <w:lang w:val="en-GB"/>
              </w:rPr>
              <w:t>1,0000</w:t>
            </w:r>
          </w:p>
        </w:tc>
        <w:tc>
          <w:tcPr>
            <w:tcW w:w="2314" w:type="dxa"/>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10</w:t>
            </w:r>
          </w:p>
        </w:tc>
      </w:tr>
      <w:tr w:rsidR="00D23449" w:rsidRPr="00266BE9" w:rsidTr="00976FA6">
        <w:trPr>
          <w:trHeight w:val="300"/>
        </w:trPr>
        <w:tc>
          <w:tcPr>
            <w:tcW w:w="2313" w:type="dxa"/>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M</w:t>
            </w:r>
          </w:p>
        </w:tc>
        <w:tc>
          <w:tcPr>
            <w:tcW w:w="2314" w:type="dxa"/>
            <w:shd w:val="clear" w:color="auto" w:fill="auto"/>
            <w:noWrap/>
            <w:vAlign w:val="bottom"/>
            <w:hideMark/>
          </w:tcPr>
          <w:p w:rsidR="00D23449" w:rsidRPr="00266BE9" w:rsidRDefault="00D23449" w:rsidP="009A0172">
            <w:pPr>
              <w:jc w:val="center"/>
              <w:rPr>
                <w:rFonts w:ascii="Times New Roman" w:hAnsi="Times New Roman" w:cs="Times New Roman"/>
                <w:color w:val="000000"/>
                <w:sz w:val="20"/>
                <w:szCs w:val="20"/>
                <w:lang w:val="en-GB"/>
              </w:rPr>
            </w:pPr>
            <w:r w:rsidRPr="00266BE9">
              <w:rPr>
                <w:rFonts w:ascii="Times New Roman" w:hAnsi="Times New Roman" w:cs="Times New Roman"/>
                <w:color w:val="000000"/>
                <w:sz w:val="20"/>
                <w:szCs w:val="20"/>
                <w:lang w:val="en-GB"/>
              </w:rPr>
              <w:t>0,9774</w:t>
            </w:r>
          </w:p>
        </w:tc>
        <w:tc>
          <w:tcPr>
            <w:tcW w:w="2314" w:type="dxa"/>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11</w:t>
            </w:r>
          </w:p>
        </w:tc>
      </w:tr>
      <w:tr w:rsidR="00D23449" w:rsidRPr="00266BE9" w:rsidTr="00976FA6">
        <w:trPr>
          <w:trHeight w:val="300"/>
        </w:trPr>
        <w:tc>
          <w:tcPr>
            <w:tcW w:w="2313" w:type="dxa"/>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E</w:t>
            </w:r>
          </w:p>
        </w:tc>
        <w:tc>
          <w:tcPr>
            <w:tcW w:w="2314" w:type="dxa"/>
            <w:shd w:val="clear" w:color="auto" w:fill="auto"/>
            <w:noWrap/>
            <w:vAlign w:val="bottom"/>
            <w:hideMark/>
          </w:tcPr>
          <w:p w:rsidR="00D23449" w:rsidRPr="00266BE9" w:rsidRDefault="00D23449" w:rsidP="009A0172">
            <w:pPr>
              <w:jc w:val="center"/>
              <w:rPr>
                <w:rFonts w:ascii="Times New Roman" w:hAnsi="Times New Roman" w:cs="Times New Roman"/>
                <w:color w:val="000000"/>
                <w:sz w:val="20"/>
                <w:szCs w:val="20"/>
                <w:lang w:val="en-GB"/>
              </w:rPr>
            </w:pPr>
            <w:r w:rsidRPr="00266BE9">
              <w:rPr>
                <w:rFonts w:ascii="Times New Roman" w:hAnsi="Times New Roman" w:cs="Times New Roman"/>
                <w:color w:val="000000"/>
                <w:sz w:val="20"/>
                <w:szCs w:val="20"/>
                <w:lang w:val="en-GB"/>
              </w:rPr>
              <w:t>0,9719</w:t>
            </w:r>
          </w:p>
        </w:tc>
        <w:tc>
          <w:tcPr>
            <w:tcW w:w="2314" w:type="dxa"/>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12</w:t>
            </w:r>
          </w:p>
        </w:tc>
      </w:tr>
      <w:tr w:rsidR="00D23449" w:rsidRPr="00266BE9" w:rsidTr="00976FA6">
        <w:trPr>
          <w:trHeight w:val="300"/>
        </w:trPr>
        <w:tc>
          <w:tcPr>
            <w:tcW w:w="2313" w:type="dxa"/>
            <w:shd w:val="clear" w:color="auto" w:fill="auto"/>
            <w:noWrap/>
            <w:vAlign w:val="bottom"/>
            <w:hideMark/>
          </w:tcPr>
          <w:p w:rsidR="00D23449" w:rsidRPr="00266BE9" w:rsidRDefault="00D23449" w:rsidP="009A0172">
            <w:pPr>
              <w:jc w:val="left"/>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P</w:t>
            </w:r>
          </w:p>
        </w:tc>
        <w:tc>
          <w:tcPr>
            <w:tcW w:w="2314" w:type="dxa"/>
            <w:shd w:val="clear" w:color="auto" w:fill="auto"/>
            <w:noWrap/>
            <w:vAlign w:val="bottom"/>
            <w:hideMark/>
          </w:tcPr>
          <w:p w:rsidR="00D23449" w:rsidRPr="00266BE9" w:rsidRDefault="00D23449" w:rsidP="009A0172">
            <w:pPr>
              <w:jc w:val="center"/>
              <w:rPr>
                <w:rFonts w:ascii="Times New Roman" w:hAnsi="Times New Roman" w:cs="Times New Roman"/>
                <w:color w:val="000000"/>
                <w:sz w:val="20"/>
                <w:szCs w:val="20"/>
                <w:lang w:val="en-GB"/>
              </w:rPr>
            </w:pPr>
            <w:r w:rsidRPr="00266BE9">
              <w:rPr>
                <w:rFonts w:ascii="Times New Roman" w:hAnsi="Times New Roman" w:cs="Times New Roman"/>
                <w:color w:val="000000"/>
                <w:sz w:val="20"/>
                <w:szCs w:val="20"/>
                <w:lang w:val="en-GB"/>
              </w:rPr>
              <w:t>0,9654</w:t>
            </w:r>
          </w:p>
        </w:tc>
        <w:tc>
          <w:tcPr>
            <w:tcW w:w="2314" w:type="dxa"/>
            <w:shd w:val="clear" w:color="auto" w:fill="auto"/>
            <w:noWrap/>
            <w:vAlign w:val="bottom"/>
            <w:hideMark/>
          </w:tcPr>
          <w:p w:rsidR="00D23449" w:rsidRPr="00266BE9" w:rsidRDefault="00D23449" w:rsidP="009A0172">
            <w:pPr>
              <w:jc w:val="center"/>
              <w:rPr>
                <w:rFonts w:ascii="Times New Roman" w:eastAsia="Times New Roman" w:hAnsi="Times New Roman" w:cs="Times New Roman"/>
                <w:color w:val="000000"/>
                <w:sz w:val="20"/>
                <w:szCs w:val="20"/>
                <w:lang w:val="en-GB" w:eastAsia="cs-CZ"/>
              </w:rPr>
            </w:pPr>
            <w:r w:rsidRPr="00266BE9">
              <w:rPr>
                <w:rFonts w:ascii="Times New Roman" w:eastAsia="Times New Roman" w:hAnsi="Times New Roman" w:cs="Times New Roman"/>
                <w:color w:val="000000"/>
                <w:sz w:val="20"/>
                <w:szCs w:val="20"/>
                <w:lang w:val="en-GB" w:eastAsia="cs-CZ"/>
              </w:rPr>
              <w:t>13</w:t>
            </w:r>
          </w:p>
        </w:tc>
      </w:tr>
    </w:tbl>
    <w:p w:rsidR="0045301D" w:rsidRPr="00266BE9" w:rsidRDefault="0045301D" w:rsidP="00266BE9">
      <w:pPr>
        <w:spacing w:after="120"/>
        <w:rPr>
          <w:rFonts w:ascii="Times New Roman" w:eastAsia="Times New Roman" w:hAnsi="Times New Roman" w:cs="Times New Roman"/>
          <w:sz w:val="20"/>
          <w:lang w:val="en-GB" w:bidi="en-US"/>
        </w:rPr>
      </w:pPr>
      <w:r w:rsidRPr="00266BE9">
        <w:rPr>
          <w:rFonts w:ascii="Times New Roman" w:eastAsia="Times New Roman" w:hAnsi="Times New Roman" w:cs="Times New Roman"/>
          <w:sz w:val="20"/>
          <w:lang w:val="en-GB" w:bidi="en-US"/>
        </w:rPr>
        <w:t>Source: CZSO, own calculation</w:t>
      </w:r>
    </w:p>
    <w:p w:rsidR="00D23449" w:rsidRPr="00266BE9" w:rsidRDefault="00D23449" w:rsidP="0045301D">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 xml:space="preserve">For comparison, the indicator Industrial Waste Production, which is monitored by the Czech Statistical Office, was chosen. As this indicator includes the total waste production in tonnes, it will certainly be influenced also by the size of the region concerned (whether measured by the Region's area or by the number of entities). For this reason, the average increase (decrease) of waste production within individual regions was found between 2014 and 2017. In particular, the distribution of regions into two groups can be seen from Table 2. The larger group includes regions where waste production is increasing, while the average reduction in waste production can be combined with only three regions. The link between the volume of subsidies drawn and changes in waste production cannot be described as unambiguously proven in this case either. While the increase in production by less than 1% is proven in the South Moravian Region, which also drew very small volumes of subsidies, the Hradec </w:t>
      </w:r>
      <w:proofErr w:type="spellStart"/>
      <w:r w:rsidRPr="00266BE9">
        <w:rPr>
          <w:rFonts w:ascii="Times New Roman" w:eastAsia="Times New Roman" w:hAnsi="Times New Roman" w:cs="Times New Roman"/>
          <w:sz w:val="20"/>
          <w:szCs w:val="20"/>
          <w:lang w:val="en-GB" w:bidi="en-US"/>
        </w:rPr>
        <w:t>Králové</w:t>
      </w:r>
      <w:proofErr w:type="spellEnd"/>
      <w:r w:rsidRPr="00266BE9">
        <w:rPr>
          <w:rFonts w:ascii="Times New Roman" w:eastAsia="Times New Roman" w:hAnsi="Times New Roman" w:cs="Times New Roman"/>
          <w:sz w:val="20"/>
          <w:szCs w:val="20"/>
          <w:lang w:val="en-GB" w:bidi="en-US"/>
        </w:rPr>
        <w:t xml:space="preserve"> Region, which was included in the third quartile, was also located here. The decrease in waste production is evident in the </w:t>
      </w:r>
      <w:proofErr w:type="spellStart"/>
      <w:r w:rsidRPr="00266BE9">
        <w:rPr>
          <w:rFonts w:ascii="Times New Roman" w:eastAsia="Times New Roman" w:hAnsi="Times New Roman" w:cs="Times New Roman"/>
          <w:sz w:val="20"/>
          <w:szCs w:val="20"/>
          <w:lang w:val="en-GB" w:bidi="en-US"/>
        </w:rPr>
        <w:t>Olomoucký</w:t>
      </w:r>
      <w:proofErr w:type="spellEnd"/>
      <w:r w:rsidRPr="00266BE9">
        <w:rPr>
          <w:rFonts w:ascii="Times New Roman" w:eastAsia="Times New Roman" w:hAnsi="Times New Roman" w:cs="Times New Roman"/>
          <w:sz w:val="20"/>
          <w:szCs w:val="20"/>
          <w:lang w:val="en-GB" w:bidi="en-US"/>
        </w:rPr>
        <w:t xml:space="preserve">, </w:t>
      </w:r>
      <w:proofErr w:type="spellStart"/>
      <w:r w:rsidRPr="00266BE9">
        <w:rPr>
          <w:rFonts w:ascii="Times New Roman" w:eastAsia="Times New Roman" w:hAnsi="Times New Roman" w:cs="Times New Roman"/>
          <w:sz w:val="20"/>
          <w:szCs w:val="20"/>
          <w:lang w:val="en-GB" w:bidi="en-US"/>
        </w:rPr>
        <w:t>Pardubický</w:t>
      </w:r>
      <w:proofErr w:type="spellEnd"/>
      <w:r w:rsidRPr="00266BE9">
        <w:rPr>
          <w:rFonts w:ascii="Times New Roman" w:eastAsia="Times New Roman" w:hAnsi="Times New Roman" w:cs="Times New Roman"/>
          <w:sz w:val="20"/>
          <w:szCs w:val="20"/>
          <w:lang w:val="en-GB" w:bidi="en-US"/>
        </w:rPr>
        <w:t xml:space="preserve"> and </w:t>
      </w:r>
      <w:proofErr w:type="spellStart"/>
      <w:r w:rsidRPr="00266BE9">
        <w:rPr>
          <w:rFonts w:ascii="Times New Roman" w:eastAsia="Times New Roman" w:hAnsi="Times New Roman" w:cs="Times New Roman"/>
          <w:sz w:val="20"/>
          <w:szCs w:val="20"/>
          <w:lang w:val="en-GB" w:bidi="en-US"/>
        </w:rPr>
        <w:t>Plzeňský</w:t>
      </w:r>
      <w:proofErr w:type="spellEnd"/>
      <w:r w:rsidRPr="00266BE9">
        <w:rPr>
          <w:rFonts w:ascii="Times New Roman" w:eastAsia="Times New Roman" w:hAnsi="Times New Roman" w:cs="Times New Roman"/>
          <w:sz w:val="20"/>
          <w:szCs w:val="20"/>
          <w:lang w:val="en-GB" w:bidi="en-US"/>
        </w:rPr>
        <w:t xml:space="preserve"> regions. Again, however, these are the regions that we ranked above in terms of drawing subsidies into various quartiles. Therefore, we cannot unambiguously determine the relevant context with the volume of drawing subsidies.</w:t>
      </w:r>
    </w:p>
    <w:p w:rsidR="00D23449" w:rsidRPr="00266BE9" w:rsidRDefault="0045301D" w:rsidP="0045301D">
      <w:pPr>
        <w:pStyle w:val="Nadpis1"/>
        <w:spacing w:after="120"/>
        <w:jc w:val="left"/>
        <w:rPr>
          <w:rFonts w:ascii="Times New Roman" w:eastAsia="Times New Roman" w:hAnsi="Times New Roman" w:cs="Times New Roman"/>
          <w:b/>
          <w:bCs/>
          <w:color w:val="auto"/>
          <w:sz w:val="22"/>
          <w:szCs w:val="28"/>
          <w:lang w:val="en-GB" w:eastAsia="x-none" w:bidi="en-US"/>
        </w:rPr>
      </w:pPr>
      <w:r w:rsidRPr="00266BE9">
        <w:rPr>
          <w:rFonts w:ascii="Times New Roman" w:eastAsia="Times New Roman" w:hAnsi="Times New Roman" w:cs="Times New Roman"/>
          <w:b/>
          <w:bCs/>
          <w:color w:val="auto"/>
          <w:sz w:val="22"/>
          <w:szCs w:val="28"/>
          <w:lang w:val="en-GB" w:eastAsia="x-none" w:bidi="en-US"/>
        </w:rPr>
        <w:t xml:space="preserve">6 </w:t>
      </w:r>
      <w:r w:rsidR="00D23449" w:rsidRPr="00266BE9">
        <w:rPr>
          <w:rFonts w:ascii="Times New Roman" w:eastAsia="Times New Roman" w:hAnsi="Times New Roman" w:cs="Times New Roman"/>
          <w:b/>
          <w:bCs/>
          <w:color w:val="auto"/>
          <w:sz w:val="22"/>
          <w:szCs w:val="28"/>
          <w:lang w:val="en-GB" w:eastAsia="x-none" w:bidi="en-US"/>
        </w:rPr>
        <w:t>Conclusion</w:t>
      </w:r>
    </w:p>
    <w:p w:rsidR="00D23449" w:rsidRPr="00266BE9" w:rsidRDefault="00D23449" w:rsidP="0045301D">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The article focused on assessing the impact of subsidies provision through statistical indicators. As the objective of subsidies is to achieve development support in the territory, it can be expected that the impact of the aid will be evident. The article focused on support for private sector businesses. Therefore, this is not a widely provided subsidy, which makes their relevant impact as measured by statistical indicators less evident. Another complicating factor is the fact that most subsidies are provided for a longer period of time, which makes it impossible to carry out a common time trend analysis. For this reason, the article has focused on the spatial impacts when the use of subsidies within the respective regions is compared.</w:t>
      </w:r>
    </w:p>
    <w:p w:rsidR="00D23449" w:rsidRPr="00266BE9" w:rsidRDefault="00D23449" w:rsidP="0045301D">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Correspondence analysis was used for comparison, which simplified the evaluation of subsidies through their grading according to the above. As a result, the impact of extremely large subsidies, which could distort results in other types of analysis, has also decreased. Correspondence analysis thus enabled to divide the regions of the Czech Republic according to the prevailing amount of subsidies drawn.</w:t>
      </w:r>
    </w:p>
    <w:p w:rsidR="00D23449" w:rsidRPr="00266BE9" w:rsidRDefault="00D23449" w:rsidP="0045301D">
      <w:pPr>
        <w:spacing w:after="120"/>
        <w:rPr>
          <w:rFonts w:ascii="Times New Roman" w:eastAsia="Times New Roman" w:hAnsi="Times New Roman" w:cs="Times New Roman"/>
          <w:sz w:val="20"/>
          <w:szCs w:val="20"/>
          <w:lang w:val="en-GB" w:bidi="en-US"/>
        </w:rPr>
      </w:pPr>
      <w:r w:rsidRPr="00266BE9">
        <w:rPr>
          <w:rFonts w:ascii="Times New Roman" w:eastAsia="Times New Roman" w:hAnsi="Times New Roman" w:cs="Times New Roman"/>
          <w:sz w:val="20"/>
          <w:szCs w:val="20"/>
          <w:lang w:val="en-GB" w:bidi="en-US"/>
        </w:rPr>
        <w:t>With the help of statistical indicators, it was assessed whether visible impacts could be observed, which would indicate support for competitiveness or innovation associated with the volume of subsidies provided. This correlation has not been demonstrated in either case. This opens the door to discussing whether the positive impacts of granting subsidies can be captured in general, or how to justify granting subsidies.</w:t>
      </w:r>
    </w:p>
    <w:p w:rsidR="0045301D" w:rsidRPr="00266BE9" w:rsidRDefault="0045301D" w:rsidP="00266BE9">
      <w:pPr>
        <w:spacing w:before="240" w:after="120"/>
        <w:rPr>
          <w:rFonts w:ascii="Times New Roman" w:eastAsia="Times New Roman" w:hAnsi="Times New Roman" w:cs="Times New Roman"/>
          <w:b/>
          <w:sz w:val="20"/>
          <w:szCs w:val="20"/>
          <w:lang w:val="en-GB" w:bidi="en-US"/>
        </w:rPr>
      </w:pPr>
      <w:r w:rsidRPr="00266BE9">
        <w:rPr>
          <w:rFonts w:ascii="Times New Roman" w:eastAsia="Times New Roman" w:hAnsi="Times New Roman" w:cs="Times New Roman"/>
          <w:b/>
          <w:sz w:val="20"/>
          <w:szCs w:val="20"/>
          <w:lang w:val="en-GB" w:bidi="en-US"/>
        </w:rPr>
        <w:t>Acknowledgements</w:t>
      </w:r>
    </w:p>
    <w:p w:rsidR="00903392" w:rsidRDefault="00D23449" w:rsidP="0045301D">
      <w:pPr>
        <w:spacing w:after="120"/>
        <w:rPr>
          <w:rFonts w:ascii="Times New Roman" w:eastAsia="Times New Roman" w:hAnsi="Times New Roman" w:cs="Times New Roman"/>
          <w:sz w:val="20"/>
          <w:lang w:val="en-GB" w:bidi="en-US"/>
        </w:rPr>
      </w:pPr>
      <w:r w:rsidRPr="00266BE9">
        <w:rPr>
          <w:rFonts w:ascii="Times New Roman" w:eastAsia="Times New Roman" w:hAnsi="Times New Roman" w:cs="Times New Roman"/>
          <w:sz w:val="20"/>
          <w:lang w:val="en-GB" w:bidi="en-US"/>
        </w:rPr>
        <w:t xml:space="preserve">The article was supported by SGS_2019_018-Dynamics of economic aspects of public policies in the context of efficiency and sustainability. </w:t>
      </w:r>
    </w:p>
    <w:p w:rsidR="00903392" w:rsidRDefault="00903392">
      <w:pPr>
        <w:spacing w:after="160" w:line="259" w:lineRule="auto"/>
        <w:jc w:val="left"/>
        <w:rPr>
          <w:rFonts w:ascii="Times New Roman" w:eastAsia="Times New Roman" w:hAnsi="Times New Roman" w:cs="Times New Roman"/>
          <w:sz w:val="20"/>
          <w:lang w:val="en-GB" w:bidi="en-US"/>
        </w:rPr>
      </w:pPr>
      <w:r>
        <w:rPr>
          <w:rFonts w:ascii="Times New Roman" w:eastAsia="Times New Roman" w:hAnsi="Times New Roman" w:cs="Times New Roman"/>
          <w:sz w:val="20"/>
          <w:lang w:val="en-GB" w:bidi="en-US"/>
        </w:rPr>
        <w:br w:type="page"/>
      </w:r>
    </w:p>
    <w:p w:rsidR="0045301D" w:rsidRPr="00266BE9" w:rsidRDefault="0045301D" w:rsidP="0045301D">
      <w:pPr>
        <w:spacing w:after="120"/>
        <w:rPr>
          <w:rFonts w:ascii="Times New Roman" w:eastAsia="Times New Roman" w:hAnsi="Times New Roman" w:cs="Times New Roman"/>
          <w:b/>
          <w:sz w:val="20"/>
          <w:szCs w:val="20"/>
          <w:lang w:val="en-GB" w:bidi="en-US"/>
        </w:rPr>
      </w:pPr>
      <w:r w:rsidRPr="00266BE9">
        <w:rPr>
          <w:rFonts w:ascii="Times New Roman" w:eastAsia="Times New Roman" w:hAnsi="Times New Roman" w:cs="Times New Roman"/>
          <w:b/>
          <w:sz w:val="20"/>
          <w:szCs w:val="20"/>
          <w:lang w:val="en-GB" w:bidi="en-US"/>
        </w:rPr>
        <w:lastRenderedPageBreak/>
        <w:t>References</w:t>
      </w:r>
    </w:p>
    <w:p w:rsidR="002B0A13" w:rsidRPr="00266BE9" w:rsidRDefault="002B0A13" w:rsidP="00BA071A">
      <w:pPr>
        <w:pStyle w:val="Citation"/>
        <w:numPr>
          <w:ilvl w:val="0"/>
          <w:numId w:val="6"/>
        </w:numPr>
        <w:ind w:left="714" w:hanging="357"/>
        <w:rPr>
          <w:lang w:val="en-GB"/>
        </w:rPr>
      </w:pPr>
      <w:r w:rsidRPr="00266BE9">
        <w:rPr>
          <w:lang w:val="en-GB"/>
        </w:rPr>
        <w:t xml:space="preserve">ARMSTRONG, H., TAYLOR, J. (2000) </w:t>
      </w:r>
      <w:r w:rsidRPr="00266BE9">
        <w:rPr>
          <w:i/>
          <w:lang w:val="en-GB"/>
        </w:rPr>
        <w:t>Regional economics and policy</w:t>
      </w:r>
      <w:r w:rsidRPr="00266BE9">
        <w:rPr>
          <w:lang w:val="en-GB"/>
        </w:rPr>
        <w:t>. Oxford: Blackwell.</w:t>
      </w:r>
    </w:p>
    <w:p w:rsidR="002B0A13" w:rsidRPr="00266BE9" w:rsidRDefault="002B0A13" w:rsidP="00BA071A">
      <w:pPr>
        <w:pStyle w:val="Citation"/>
        <w:numPr>
          <w:ilvl w:val="0"/>
          <w:numId w:val="6"/>
        </w:numPr>
        <w:ind w:left="714" w:hanging="357"/>
        <w:rPr>
          <w:lang w:val="en-GB"/>
        </w:rPr>
      </w:pPr>
      <w:r w:rsidRPr="00266BE9">
        <w:rPr>
          <w:lang w:val="en-GB"/>
        </w:rPr>
        <w:t xml:space="preserve">BALDWIN, R., WYPLOSZ, Ch. (2015) </w:t>
      </w:r>
      <w:proofErr w:type="gramStart"/>
      <w:r w:rsidRPr="00266BE9">
        <w:rPr>
          <w:i/>
          <w:lang w:val="en-GB"/>
        </w:rPr>
        <w:t>The</w:t>
      </w:r>
      <w:proofErr w:type="gramEnd"/>
      <w:r w:rsidRPr="00266BE9">
        <w:rPr>
          <w:i/>
          <w:lang w:val="en-GB"/>
        </w:rPr>
        <w:t xml:space="preserve"> Economics of European Integration</w:t>
      </w:r>
      <w:r w:rsidRPr="00266BE9">
        <w:rPr>
          <w:lang w:val="en-GB"/>
        </w:rPr>
        <w:t xml:space="preserve">. London: McGraw </w:t>
      </w:r>
      <w:proofErr w:type="spellStart"/>
      <w:r w:rsidRPr="00266BE9">
        <w:rPr>
          <w:lang w:val="en-GB"/>
        </w:rPr>
        <w:t>Hil</w:t>
      </w:r>
      <w:proofErr w:type="spellEnd"/>
      <w:r w:rsidRPr="00266BE9">
        <w:rPr>
          <w:lang w:val="en-GB"/>
        </w:rPr>
        <w:t xml:space="preserve"> Education. </w:t>
      </w:r>
    </w:p>
    <w:p w:rsidR="002B0A13" w:rsidRPr="00266BE9" w:rsidRDefault="002B0A13" w:rsidP="00BA071A">
      <w:pPr>
        <w:pStyle w:val="Citation"/>
        <w:numPr>
          <w:ilvl w:val="0"/>
          <w:numId w:val="6"/>
        </w:numPr>
        <w:ind w:left="714" w:hanging="357"/>
        <w:rPr>
          <w:lang w:val="en-GB"/>
        </w:rPr>
      </w:pPr>
      <w:r w:rsidRPr="00266BE9">
        <w:rPr>
          <w:lang w:val="en-GB"/>
        </w:rPr>
        <w:t xml:space="preserve">BARRO, R.J., SALA-I-MARTIN, X. (1992) Convergence. </w:t>
      </w:r>
      <w:r w:rsidRPr="00266BE9">
        <w:rPr>
          <w:i/>
          <w:lang w:val="en-GB"/>
        </w:rPr>
        <w:t>The Journal of Political Economy</w:t>
      </w:r>
      <w:r w:rsidRPr="00266BE9">
        <w:rPr>
          <w:lang w:val="en-GB"/>
        </w:rPr>
        <w:t xml:space="preserve">. </w:t>
      </w:r>
      <w:r w:rsidR="001F7D65">
        <w:rPr>
          <w:lang w:val="en-GB"/>
        </w:rPr>
        <w:t xml:space="preserve">Vol. </w:t>
      </w:r>
      <w:r w:rsidRPr="00266BE9">
        <w:rPr>
          <w:lang w:val="en-GB"/>
        </w:rPr>
        <w:t>100 (2), pp. 223 – 251.</w:t>
      </w:r>
    </w:p>
    <w:p w:rsidR="002B0A13" w:rsidRPr="00266BE9" w:rsidRDefault="002B0A13" w:rsidP="002B0A13">
      <w:pPr>
        <w:pStyle w:val="Citation"/>
        <w:numPr>
          <w:ilvl w:val="0"/>
          <w:numId w:val="6"/>
        </w:numPr>
        <w:ind w:left="714" w:hanging="357"/>
        <w:rPr>
          <w:lang w:val="en-GB"/>
        </w:rPr>
      </w:pPr>
      <w:r w:rsidRPr="00266BE9">
        <w:rPr>
          <w:lang w:val="en-GB"/>
        </w:rPr>
        <w:t xml:space="preserve">BAYONA-SÁEZ, C., GARCÍA-MARCO, T. (2010) Assessing the effectiveness of the Eureka Program. </w:t>
      </w:r>
      <w:r w:rsidRPr="00266BE9">
        <w:rPr>
          <w:i/>
          <w:lang w:val="en-GB"/>
        </w:rPr>
        <w:t>Research Policy</w:t>
      </w:r>
      <w:r w:rsidRPr="00266BE9">
        <w:rPr>
          <w:lang w:val="en-GB"/>
        </w:rPr>
        <w:t xml:space="preserve">. </w:t>
      </w:r>
      <w:r w:rsidR="001F7D65">
        <w:rPr>
          <w:lang w:val="en-GB"/>
        </w:rPr>
        <w:t xml:space="preserve">Vol. </w:t>
      </w:r>
      <w:r w:rsidRPr="00266BE9">
        <w:rPr>
          <w:lang w:val="en-GB"/>
        </w:rPr>
        <w:t>39 (10), pp. 1375 – 1386.</w:t>
      </w:r>
    </w:p>
    <w:p w:rsidR="002B0A13" w:rsidRPr="00266BE9" w:rsidRDefault="002B0A13" w:rsidP="00BA071A">
      <w:pPr>
        <w:pStyle w:val="Citation"/>
        <w:numPr>
          <w:ilvl w:val="0"/>
          <w:numId w:val="6"/>
        </w:numPr>
        <w:ind w:left="714" w:hanging="357"/>
        <w:rPr>
          <w:lang w:val="en-GB"/>
        </w:rPr>
      </w:pPr>
      <w:r w:rsidRPr="00266BE9">
        <w:rPr>
          <w:lang w:val="en-GB"/>
        </w:rPr>
        <w:t xml:space="preserve">CLAUSEN, S. E. (1998) </w:t>
      </w:r>
      <w:r w:rsidRPr="00266BE9">
        <w:rPr>
          <w:i/>
          <w:lang w:val="en-GB"/>
        </w:rPr>
        <w:t xml:space="preserve">Applied </w:t>
      </w:r>
      <w:proofErr w:type="spellStart"/>
      <w:r w:rsidRPr="00266BE9">
        <w:rPr>
          <w:i/>
          <w:lang w:val="en-GB"/>
        </w:rPr>
        <w:t>Corrrespondence</w:t>
      </w:r>
      <w:proofErr w:type="spellEnd"/>
      <w:r w:rsidRPr="00266BE9">
        <w:rPr>
          <w:i/>
          <w:lang w:val="en-GB"/>
        </w:rPr>
        <w:t xml:space="preserve"> Analysis</w:t>
      </w:r>
      <w:r w:rsidRPr="00266BE9">
        <w:rPr>
          <w:lang w:val="en-GB"/>
        </w:rPr>
        <w:t>. Thousand Oaks: Sage Publication.</w:t>
      </w:r>
    </w:p>
    <w:p w:rsidR="002B0A13" w:rsidRPr="00266BE9" w:rsidRDefault="002B0A13" w:rsidP="00BA071A">
      <w:pPr>
        <w:pStyle w:val="Citation"/>
        <w:numPr>
          <w:ilvl w:val="0"/>
          <w:numId w:val="6"/>
        </w:numPr>
        <w:ind w:left="714" w:hanging="357"/>
        <w:rPr>
          <w:lang w:val="en-GB"/>
        </w:rPr>
      </w:pPr>
      <w:r w:rsidRPr="00266BE9">
        <w:rPr>
          <w:lang w:val="en-GB"/>
        </w:rPr>
        <w:t xml:space="preserve">COM, (2005). </w:t>
      </w:r>
      <w:r w:rsidRPr="001F7D65">
        <w:rPr>
          <w:i/>
          <w:lang w:val="en-GB"/>
        </w:rPr>
        <w:t>Communication from the Commission, Cohesion Policy in Support of Growth and Jobs: Community Strategic Guidelines, 2007-2013</w:t>
      </w:r>
      <w:r w:rsidRPr="00266BE9">
        <w:rPr>
          <w:lang w:val="en-GB"/>
        </w:rPr>
        <w:t>. Brussels: Commission of the European Communities.</w:t>
      </w:r>
    </w:p>
    <w:p w:rsidR="002B0A13" w:rsidRPr="00266BE9" w:rsidRDefault="002B0A13" w:rsidP="00BA071A">
      <w:pPr>
        <w:pStyle w:val="Citation"/>
        <w:numPr>
          <w:ilvl w:val="0"/>
          <w:numId w:val="6"/>
        </w:numPr>
        <w:ind w:left="714" w:hanging="357"/>
        <w:rPr>
          <w:lang w:val="en-GB"/>
        </w:rPr>
      </w:pPr>
      <w:r w:rsidRPr="00266BE9">
        <w:rPr>
          <w:lang w:val="en-GB"/>
        </w:rPr>
        <w:t xml:space="preserve">CZSO. (2019) </w:t>
      </w:r>
      <w:proofErr w:type="spellStart"/>
      <w:r w:rsidRPr="001F7D65">
        <w:rPr>
          <w:i/>
          <w:lang w:val="en-GB"/>
        </w:rPr>
        <w:t>Veřejná</w:t>
      </w:r>
      <w:proofErr w:type="spellEnd"/>
      <w:r w:rsidRPr="001F7D65">
        <w:rPr>
          <w:i/>
          <w:lang w:val="en-GB"/>
        </w:rPr>
        <w:t xml:space="preserve"> </w:t>
      </w:r>
      <w:proofErr w:type="spellStart"/>
      <w:r w:rsidRPr="001F7D65">
        <w:rPr>
          <w:i/>
          <w:lang w:val="en-GB"/>
        </w:rPr>
        <w:t>databáze</w:t>
      </w:r>
      <w:proofErr w:type="spellEnd"/>
      <w:r w:rsidRPr="00266BE9">
        <w:rPr>
          <w:lang w:val="en-GB"/>
        </w:rPr>
        <w:t xml:space="preserve"> [online]. [cit. 2019-05-25] Available</w:t>
      </w:r>
      <w:r w:rsidR="001F7D65">
        <w:rPr>
          <w:lang w:val="en-GB"/>
        </w:rPr>
        <w:t xml:space="preserve"> from</w:t>
      </w:r>
      <w:r w:rsidRPr="00266BE9">
        <w:rPr>
          <w:lang w:val="en-GB"/>
        </w:rPr>
        <w:t>: https://vdb.czso.cz/vdbvo2/faces/cs/index.jsf?page=statistiky.</w:t>
      </w:r>
    </w:p>
    <w:p w:rsidR="002B0A13" w:rsidRPr="00266BE9" w:rsidRDefault="002B0A13" w:rsidP="00BA071A">
      <w:pPr>
        <w:pStyle w:val="Citation"/>
        <w:numPr>
          <w:ilvl w:val="0"/>
          <w:numId w:val="6"/>
        </w:numPr>
        <w:ind w:left="714" w:hanging="357"/>
        <w:rPr>
          <w:lang w:val="en-GB"/>
        </w:rPr>
      </w:pPr>
      <w:r w:rsidRPr="00266BE9">
        <w:rPr>
          <w:lang w:val="en-GB"/>
        </w:rPr>
        <w:t xml:space="preserve">EC. (2014). </w:t>
      </w:r>
      <w:proofErr w:type="spellStart"/>
      <w:r w:rsidRPr="001F7D65">
        <w:rPr>
          <w:i/>
          <w:lang w:val="en-GB"/>
        </w:rPr>
        <w:t>Regionální</w:t>
      </w:r>
      <w:proofErr w:type="spellEnd"/>
      <w:r w:rsidRPr="001F7D65">
        <w:rPr>
          <w:i/>
          <w:lang w:val="en-GB"/>
        </w:rPr>
        <w:t xml:space="preserve"> </w:t>
      </w:r>
      <w:proofErr w:type="spellStart"/>
      <w:r w:rsidRPr="001F7D65">
        <w:rPr>
          <w:i/>
          <w:lang w:val="en-GB"/>
        </w:rPr>
        <w:t>politika</w:t>
      </w:r>
      <w:proofErr w:type="spellEnd"/>
      <w:r w:rsidRPr="00266BE9">
        <w:rPr>
          <w:lang w:val="en-GB"/>
        </w:rPr>
        <w:t>. [</w:t>
      </w:r>
      <w:proofErr w:type="gramStart"/>
      <w:r w:rsidRPr="00266BE9">
        <w:rPr>
          <w:lang w:val="en-GB"/>
        </w:rPr>
        <w:t>online</w:t>
      </w:r>
      <w:proofErr w:type="gramEnd"/>
      <w:r w:rsidRPr="00266BE9">
        <w:rPr>
          <w:lang w:val="en-GB"/>
        </w:rPr>
        <w:t>]. [</w:t>
      </w:r>
      <w:proofErr w:type="gramStart"/>
      <w:r w:rsidRPr="00266BE9">
        <w:rPr>
          <w:lang w:val="en-GB"/>
        </w:rPr>
        <w:t>cit</w:t>
      </w:r>
      <w:proofErr w:type="gramEnd"/>
      <w:r w:rsidRPr="00266BE9">
        <w:rPr>
          <w:lang w:val="en-GB"/>
        </w:rPr>
        <w:t>. 2019-05-20]. Available</w:t>
      </w:r>
      <w:r w:rsidR="001F7D65">
        <w:rPr>
          <w:lang w:val="en-GB"/>
        </w:rPr>
        <w:t xml:space="preserve"> from</w:t>
      </w:r>
      <w:r w:rsidRPr="00266BE9">
        <w:rPr>
          <w:lang w:val="en-GB"/>
        </w:rPr>
        <w:t xml:space="preserve">: </w:t>
      </w:r>
      <w:hyperlink r:id="rId9" w:history="1">
        <w:r w:rsidRPr="00266BE9">
          <w:rPr>
            <w:lang w:val="en-GB"/>
          </w:rPr>
          <w:t>http://europa.eu/pol/index_cs.htm</w:t>
        </w:r>
      </w:hyperlink>
    </w:p>
    <w:p w:rsidR="002B0A13" w:rsidRPr="00266BE9" w:rsidRDefault="002B0A13" w:rsidP="00BA071A">
      <w:pPr>
        <w:pStyle w:val="Citation"/>
        <w:numPr>
          <w:ilvl w:val="0"/>
          <w:numId w:val="6"/>
        </w:numPr>
        <w:ind w:left="714" w:hanging="357"/>
        <w:rPr>
          <w:lang w:val="en-GB"/>
        </w:rPr>
      </w:pPr>
      <w:r w:rsidRPr="00266BE9">
        <w:rPr>
          <w:lang w:val="en-GB"/>
        </w:rPr>
        <w:t xml:space="preserve">EL-AGRAA, A. M. (2011) </w:t>
      </w:r>
      <w:proofErr w:type="gramStart"/>
      <w:r w:rsidRPr="00266BE9">
        <w:rPr>
          <w:i/>
          <w:lang w:val="en-GB"/>
        </w:rPr>
        <w:t>The</w:t>
      </w:r>
      <w:proofErr w:type="gramEnd"/>
      <w:r w:rsidRPr="00266BE9">
        <w:rPr>
          <w:i/>
          <w:lang w:val="en-GB"/>
        </w:rPr>
        <w:t xml:space="preserve"> European Union. Economics and Policies</w:t>
      </w:r>
      <w:r w:rsidRPr="00266BE9">
        <w:rPr>
          <w:lang w:val="en-GB"/>
        </w:rPr>
        <w:t xml:space="preserve">. Cambridge: Cambridge </w:t>
      </w:r>
      <w:proofErr w:type="spellStart"/>
      <w:r w:rsidRPr="00266BE9">
        <w:rPr>
          <w:lang w:val="en-GB"/>
        </w:rPr>
        <w:t>Univesity</w:t>
      </w:r>
      <w:proofErr w:type="spellEnd"/>
      <w:r w:rsidRPr="00266BE9">
        <w:rPr>
          <w:lang w:val="en-GB"/>
        </w:rPr>
        <w:t xml:space="preserve"> Press.</w:t>
      </w:r>
    </w:p>
    <w:p w:rsidR="002B0A13" w:rsidRPr="00266BE9" w:rsidRDefault="002B0A13" w:rsidP="00BA071A">
      <w:pPr>
        <w:pStyle w:val="Citation"/>
        <w:numPr>
          <w:ilvl w:val="0"/>
          <w:numId w:val="6"/>
        </w:numPr>
        <w:ind w:left="714" w:hanging="357"/>
        <w:rPr>
          <w:lang w:val="en-GB"/>
        </w:rPr>
      </w:pPr>
      <w:r w:rsidRPr="00266BE9">
        <w:rPr>
          <w:lang w:val="en-GB"/>
        </w:rPr>
        <w:t xml:space="preserve">EU. (2012) </w:t>
      </w:r>
      <w:proofErr w:type="spellStart"/>
      <w:r w:rsidRPr="001F7D65">
        <w:rPr>
          <w:i/>
          <w:lang w:val="en-GB"/>
        </w:rPr>
        <w:t>Smlouva</w:t>
      </w:r>
      <w:proofErr w:type="spellEnd"/>
      <w:r w:rsidRPr="001F7D65">
        <w:rPr>
          <w:i/>
          <w:lang w:val="en-GB"/>
        </w:rPr>
        <w:t xml:space="preserve"> o </w:t>
      </w:r>
      <w:proofErr w:type="spellStart"/>
      <w:r w:rsidRPr="001F7D65">
        <w:rPr>
          <w:i/>
          <w:lang w:val="en-GB"/>
        </w:rPr>
        <w:t>fungování</w:t>
      </w:r>
      <w:proofErr w:type="spellEnd"/>
      <w:r w:rsidRPr="001F7D65">
        <w:rPr>
          <w:i/>
          <w:lang w:val="en-GB"/>
        </w:rPr>
        <w:t xml:space="preserve"> EU</w:t>
      </w:r>
      <w:r w:rsidRPr="00266BE9">
        <w:rPr>
          <w:lang w:val="en-GB"/>
        </w:rPr>
        <w:t xml:space="preserve">. </w:t>
      </w:r>
      <w:proofErr w:type="spellStart"/>
      <w:r w:rsidRPr="00266BE9">
        <w:rPr>
          <w:lang w:val="en-GB"/>
        </w:rPr>
        <w:t>Úřední</w:t>
      </w:r>
      <w:proofErr w:type="spellEnd"/>
      <w:r w:rsidRPr="00266BE9">
        <w:rPr>
          <w:lang w:val="en-GB"/>
        </w:rPr>
        <w:t xml:space="preserve"> </w:t>
      </w:r>
      <w:proofErr w:type="spellStart"/>
      <w:r w:rsidRPr="00266BE9">
        <w:rPr>
          <w:lang w:val="en-GB"/>
        </w:rPr>
        <w:t>věstník</w:t>
      </w:r>
      <w:proofErr w:type="spellEnd"/>
      <w:r w:rsidRPr="00266BE9">
        <w:rPr>
          <w:lang w:val="en-GB"/>
        </w:rPr>
        <w:t xml:space="preserve"> EU, [online]. [cit. 2019-05-20] Available</w:t>
      </w:r>
      <w:r w:rsidR="001F7D65">
        <w:rPr>
          <w:lang w:val="en-GB"/>
        </w:rPr>
        <w:t xml:space="preserve"> from</w:t>
      </w:r>
      <w:r w:rsidRPr="00266BE9">
        <w:rPr>
          <w:lang w:val="en-GB"/>
        </w:rPr>
        <w:t>: https://eur-lex.europa.eu/legal-content/CS/TXT/PDF/?uri=CELEX:12012E/TXT&amp;from=CS</w:t>
      </w:r>
    </w:p>
    <w:p w:rsidR="002B0A13" w:rsidRPr="00266BE9" w:rsidRDefault="002B0A13" w:rsidP="00BA071A">
      <w:pPr>
        <w:pStyle w:val="Citation"/>
        <w:numPr>
          <w:ilvl w:val="0"/>
          <w:numId w:val="6"/>
        </w:numPr>
        <w:ind w:left="714" w:hanging="357"/>
        <w:rPr>
          <w:lang w:val="en-GB"/>
        </w:rPr>
      </w:pPr>
      <w:r w:rsidRPr="00266BE9">
        <w:rPr>
          <w:lang w:val="en-GB"/>
        </w:rPr>
        <w:t xml:space="preserve">EUROSTAT (2015) </w:t>
      </w:r>
      <w:r w:rsidRPr="001F7D65">
        <w:rPr>
          <w:i/>
          <w:lang w:val="en-GB"/>
        </w:rPr>
        <w:t xml:space="preserve">HDP </w:t>
      </w:r>
      <w:proofErr w:type="spellStart"/>
      <w:proofErr w:type="gramStart"/>
      <w:r w:rsidRPr="001F7D65">
        <w:rPr>
          <w:i/>
          <w:lang w:val="en-GB"/>
        </w:rPr>
        <w:t>na</w:t>
      </w:r>
      <w:proofErr w:type="spellEnd"/>
      <w:proofErr w:type="gramEnd"/>
      <w:r w:rsidRPr="001F7D65">
        <w:rPr>
          <w:i/>
          <w:lang w:val="en-GB"/>
        </w:rPr>
        <w:t xml:space="preserve"> </w:t>
      </w:r>
      <w:proofErr w:type="spellStart"/>
      <w:r w:rsidRPr="001F7D65">
        <w:rPr>
          <w:i/>
          <w:lang w:val="en-GB"/>
        </w:rPr>
        <w:t>regionální</w:t>
      </w:r>
      <w:proofErr w:type="spellEnd"/>
      <w:r w:rsidRPr="001F7D65">
        <w:rPr>
          <w:i/>
          <w:lang w:val="en-GB"/>
        </w:rPr>
        <w:t xml:space="preserve"> </w:t>
      </w:r>
      <w:proofErr w:type="spellStart"/>
      <w:r w:rsidRPr="001F7D65">
        <w:rPr>
          <w:i/>
          <w:lang w:val="en-GB"/>
        </w:rPr>
        <w:t>úrovni</w:t>
      </w:r>
      <w:proofErr w:type="spellEnd"/>
      <w:r w:rsidRPr="00266BE9">
        <w:rPr>
          <w:lang w:val="en-GB"/>
        </w:rPr>
        <w:t>. [</w:t>
      </w:r>
      <w:proofErr w:type="gramStart"/>
      <w:r w:rsidRPr="00266BE9">
        <w:rPr>
          <w:lang w:val="en-GB"/>
        </w:rPr>
        <w:t>online</w:t>
      </w:r>
      <w:proofErr w:type="gramEnd"/>
      <w:r w:rsidRPr="00266BE9">
        <w:rPr>
          <w:lang w:val="en-GB"/>
        </w:rPr>
        <w:t>]. [cit. 2019-05-25] Available</w:t>
      </w:r>
      <w:r w:rsidR="001F7D65">
        <w:rPr>
          <w:lang w:val="en-GB"/>
        </w:rPr>
        <w:t xml:space="preserve"> from</w:t>
      </w:r>
      <w:r w:rsidRPr="00266BE9">
        <w:rPr>
          <w:lang w:val="en-GB"/>
        </w:rPr>
        <w:t>: https://ec.europa.eu/eurostat/statistics-explained/index.php?title=GDP_at_regional_level/cs&amp;oldid=216236#Region.C3.A1ln.C3.AD_HDP_na_1_obyvatele</w:t>
      </w:r>
    </w:p>
    <w:p w:rsidR="002B0A13" w:rsidRPr="00266BE9" w:rsidRDefault="002B0A13" w:rsidP="00BA071A">
      <w:pPr>
        <w:pStyle w:val="Citation"/>
        <w:numPr>
          <w:ilvl w:val="0"/>
          <w:numId w:val="6"/>
        </w:numPr>
        <w:ind w:left="714" w:hanging="357"/>
        <w:rPr>
          <w:lang w:val="en-GB"/>
        </w:rPr>
      </w:pPr>
      <w:r w:rsidRPr="00266BE9">
        <w:rPr>
          <w:lang w:val="en-GB"/>
        </w:rPr>
        <w:t xml:space="preserve">FIALA, P., KRUTILEK, O., PITROVÁ, M. (2018) </w:t>
      </w:r>
      <w:proofErr w:type="spellStart"/>
      <w:r w:rsidRPr="00266BE9">
        <w:rPr>
          <w:i/>
          <w:lang w:val="en-GB"/>
        </w:rPr>
        <w:t>Evropská</w:t>
      </w:r>
      <w:proofErr w:type="spellEnd"/>
      <w:r w:rsidRPr="00266BE9">
        <w:rPr>
          <w:i/>
          <w:lang w:val="en-GB"/>
        </w:rPr>
        <w:t xml:space="preserve"> </w:t>
      </w:r>
      <w:proofErr w:type="spellStart"/>
      <w:r w:rsidRPr="00266BE9">
        <w:rPr>
          <w:i/>
          <w:lang w:val="en-GB"/>
        </w:rPr>
        <w:t>unie</w:t>
      </w:r>
      <w:proofErr w:type="spellEnd"/>
      <w:r w:rsidRPr="00266BE9">
        <w:rPr>
          <w:lang w:val="en-GB"/>
        </w:rPr>
        <w:t xml:space="preserve">. Brno: Centrum pro </w:t>
      </w:r>
      <w:proofErr w:type="spellStart"/>
      <w:r w:rsidRPr="00266BE9">
        <w:rPr>
          <w:lang w:val="en-GB"/>
        </w:rPr>
        <w:t>studium</w:t>
      </w:r>
      <w:proofErr w:type="spellEnd"/>
      <w:r w:rsidRPr="00266BE9">
        <w:rPr>
          <w:lang w:val="en-GB"/>
        </w:rPr>
        <w:t xml:space="preserve"> </w:t>
      </w:r>
      <w:proofErr w:type="spellStart"/>
      <w:r w:rsidRPr="00266BE9">
        <w:rPr>
          <w:lang w:val="en-GB"/>
        </w:rPr>
        <w:t>demokracie</w:t>
      </w:r>
      <w:proofErr w:type="spellEnd"/>
      <w:r w:rsidRPr="00266BE9">
        <w:rPr>
          <w:lang w:val="en-GB"/>
        </w:rPr>
        <w:t xml:space="preserve"> a </w:t>
      </w:r>
      <w:proofErr w:type="spellStart"/>
      <w:r w:rsidRPr="00266BE9">
        <w:rPr>
          <w:lang w:val="en-GB"/>
        </w:rPr>
        <w:t>kultury</w:t>
      </w:r>
      <w:proofErr w:type="spellEnd"/>
      <w:r w:rsidRPr="00266BE9">
        <w:rPr>
          <w:lang w:val="en-GB"/>
        </w:rPr>
        <w:t>.</w:t>
      </w:r>
    </w:p>
    <w:p w:rsidR="002B0A13" w:rsidRPr="00266BE9" w:rsidRDefault="002B0A13" w:rsidP="003659D4">
      <w:pPr>
        <w:pStyle w:val="Citation"/>
        <w:numPr>
          <w:ilvl w:val="0"/>
          <w:numId w:val="6"/>
        </w:numPr>
        <w:ind w:left="714" w:hanging="357"/>
        <w:rPr>
          <w:lang w:val="en-GB"/>
        </w:rPr>
      </w:pPr>
      <w:r w:rsidRPr="00266BE9">
        <w:rPr>
          <w:lang w:val="en-GB"/>
        </w:rPr>
        <w:t xml:space="preserve">FOTOPOULOS, G., STOREY, D. J. Public policies to enhance regional entrepreneurship: another programme failing to deliver? </w:t>
      </w:r>
      <w:r w:rsidRPr="00266BE9">
        <w:rPr>
          <w:i/>
          <w:lang w:val="en-GB"/>
        </w:rPr>
        <w:t>Small Business Economics</w:t>
      </w:r>
      <w:r w:rsidRPr="00266BE9">
        <w:rPr>
          <w:lang w:val="en-GB"/>
        </w:rPr>
        <w:t>.</w:t>
      </w:r>
      <w:r w:rsidR="001F7D65">
        <w:rPr>
          <w:lang w:val="en-GB"/>
        </w:rPr>
        <w:t xml:space="preserve"> Vol.</w:t>
      </w:r>
      <w:r w:rsidRPr="00266BE9">
        <w:rPr>
          <w:lang w:val="en-GB"/>
        </w:rPr>
        <w:t xml:space="preserve"> 53 (1), pp 189 – 209.</w:t>
      </w:r>
    </w:p>
    <w:p w:rsidR="002B0A13" w:rsidRPr="00266BE9" w:rsidRDefault="002B0A13" w:rsidP="00BA071A">
      <w:pPr>
        <w:pStyle w:val="Citation"/>
        <w:numPr>
          <w:ilvl w:val="0"/>
          <w:numId w:val="6"/>
        </w:numPr>
        <w:ind w:left="714" w:hanging="357"/>
        <w:rPr>
          <w:lang w:val="en-GB"/>
        </w:rPr>
      </w:pPr>
      <w:r w:rsidRPr="00266BE9">
        <w:rPr>
          <w:lang w:val="en-GB"/>
        </w:rPr>
        <w:t xml:space="preserve">GREENACRE, M. (2007) </w:t>
      </w:r>
      <w:r w:rsidRPr="00266BE9">
        <w:rPr>
          <w:i/>
          <w:lang w:val="en-GB"/>
        </w:rPr>
        <w:t>Correspondence Analysis in Practice</w:t>
      </w:r>
      <w:r w:rsidRPr="00266BE9">
        <w:rPr>
          <w:lang w:val="en-GB"/>
        </w:rPr>
        <w:t>. Boca Raton: Chapman &amp; Hall/CRC.</w:t>
      </w:r>
    </w:p>
    <w:p w:rsidR="002B0A13" w:rsidRPr="00266BE9" w:rsidRDefault="002B0A13" w:rsidP="00BA071A">
      <w:pPr>
        <w:pStyle w:val="Citation"/>
        <w:numPr>
          <w:ilvl w:val="0"/>
          <w:numId w:val="6"/>
        </w:numPr>
        <w:ind w:left="714" w:hanging="357"/>
        <w:rPr>
          <w:lang w:val="en-GB"/>
        </w:rPr>
      </w:pPr>
      <w:r w:rsidRPr="00266BE9">
        <w:rPr>
          <w:lang w:val="en-GB"/>
        </w:rPr>
        <w:t xml:space="preserve">HEBÁK, P. a </w:t>
      </w:r>
      <w:proofErr w:type="spellStart"/>
      <w:r w:rsidRPr="00266BE9">
        <w:rPr>
          <w:lang w:val="en-GB"/>
        </w:rPr>
        <w:t>kol</w:t>
      </w:r>
      <w:proofErr w:type="spellEnd"/>
      <w:r w:rsidRPr="00266BE9">
        <w:rPr>
          <w:lang w:val="en-GB"/>
        </w:rPr>
        <w:t xml:space="preserve">. (2007) </w:t>
      </w:r>
      <w:proofErr w:type="spellStart"/>
      <w:r w:rsidRPr="00266BE9">
        <w:rPr>
          <w:i/>
          <w:lang w:val="en-GB"/>
        </w:rPr>
        <w:t>Vícerozměrné</w:t>
      </w:r>
      <w:proofErr w:type="spellEnd"/>
      <w:r w:rsidRPr="00266BE9">
        <w:rPr>
          <w:i/>
          <w:lang w:val="en-GB"/>
        </w:rPr>
        <w:t xml:space="preserve"> </w:t>
      </w:r>
      <w:proofErr w:type="spellStart"/>
      <w:r w:rsidRPr="00266BE9">
        <w:rPr>
          <w:i/>
          <w:lang w:val="en-GB"/>
        </w:rPr>
        <w:t>statistické</w:t>
      </w:r>
      <w:proofErr w:type="spellEnd"/>
      <w:r w:rsidRPr="00266BE9">
        <w:rPr>
          <w:i/>
          <w:lang w:val="en-GB"/>
        </w:rPr>
        <w:t xml:space="preserve"> </w:t>
      </w:r>
      <w:proofErr w:type="spellStart"/>
      <w:r w:rsidRPr="00266BE9">
        <w:rPr>
          <w:i/>
          <w:lang w:val="en-GB"/>
        </w:rPr>
        <w:t>metody</w:t>
      </w:r>
      <w:proofErr w:type="spellEnd"/>
      <w:r w:rsidRPr="00266BE9">
        <w:rPr>
          <w:i/>
          <w:lang w:val="en-GB"/>
        </w:rPr>
        <w:t xml:space="preserve"> [3]</w:t>
      </w:r>
      <w:r w:rsidRPr="00266BE9">
        <w:rPr>
          <w:lang w:val="en-GB"/>
        </w:rPr>
        <w:t>. Praha: INFORMATORIUM.</w:t>
      </w:r>
    </w:p>
    <w:p w:rsidR="002B0A13" w:rsidRPr="00266BE9" w:rsidRDefault="002B0A13" w:rsidP="00BA071A">
      <w:pPr>
        <w:pStyle w:val="Citation"/>
        <w:numPr>
          <w:ilvl w:val="0"/>
          <w:numId w:val="6"/>
        </w:numPr>
        <w:ind w:left="714" w:hanging="357"/>
        <w:rPr>
          <w:lang w:val="en-GB"/>
        </w:rPr>
      </w:pPr>
      <w:r w:rsidRPr="00266BE9">
        <w:rPr>
          <w:lang w:val="en-GB"/>
        </w:rPr>
        <w:t xml:space="preserve">MINAŘÍK, B., BORŮVKOVÁ, J., VYSTRČIL, M., (2013). </w:t>
      </w:r>
      <w:proofErr w:type="spellStart"/>
      <w:r w:rsidRPr="00266BE9">
        <w:rPr>
          <w:i/>
          <w:lang w:val="en-GB"/>
        </w:rPr>
        <w:t>Analýzy</w:t>
      </w:r>
      <w:proofErr w:type="spellEnd"/>
      <w:r w:rsidRPr="00266BE9">
        <w:rPr>
          <w:i/>
          <w:lang w:val="en-GB"/>
        </w:rPr>
        <w:t xml:space="preserve"> v </w:t>
      </w:r>
      <w:proofErr w:type="spellStart"/>
      <w:r w:rsidRPr="00266BE9">
        <w:rPr>
          <w:i/>
          <w:lang w:val="en-GB"/>
        </w:rPr>
        <w:t>regionálním</w:t>
      </w:r>
      <w:proofErr w:type="spellEnd"/>
      <w:r w:rsidRPr="00266BE9">
        <w:rPr>
          <w:i/>
          <w:lang w:val="en-GB"/>
        </w:rPr>
        <w:t xml:space="preserve"> </w:t>
      </w:r>
      <w:proofErr w:type="spellStart"/>
      <w:r w:rsidRPr="00266BE9">
        <w:rPr>
          <w:i/>
          <w:lang w:val="en-GB"/>
        </w:rPr>
        <w:t>rozvoji</w:t>
      </w:r>
      <w:proofErr w:type="spellEnd"/>
      <w:r w:rsidRPr="00266BE9">
        <w:rPr>
          <w:lang w:val="en-GB"/>
        </w:rPr>
        <w:t xml:space="preserve">. Praha: </w:t>
      </w:r>
      <w:proofErr w:type="spellStart"/>
      <w:r w:rsidRPr="00266BE9">
        <w:rPr>
          <w:lang w:val="en-GB"/>
        </w:rPr>
        <w:t>Kamil</w:t>
      </w:r>
      <w:proofErr w:type="spellEnd"/>
      <w:r w:rsidRPr="00266BE9">
        <w:rPr>
          <w:lang w:val="en-GB"/>
        </w:rPr>
        <w:t xml:space="preserve"> </w:t>
      </w:r>
      <w:proofErr w:type="spellStart"/>
      <w:r w:rsidRPr="00266BE9">
        <w:rPr>
          <w:lang w:val="en-GB"/>
        </w:rPr>
        <w:t>Mařík</w:t>
      </w:r>
      <w:proofErr w:type="spellEnd"/>
      <w:r w:rsidRPr="00266BE9">
        <w:rPr>
          <w:lang w:val="en-GB"/>
        </w:rPr>
        <w:t xml:space="preserve"> – Professional Publishing.</w:t>
      </w:r>
    </w:p>
    <w:p w:rsidR="002B0A13" w:rsidRPr="00266BE9" w:rsidRDefault="002B0A13" w:rsidP="00BA071A">
      <w:pPr>
        <w:pStyle w:val="Citation"/>
        <w:numPr>
          <w:ilvl w:val="0"/>
          <w:numId w:val="6"/>
        </w:numPr>
        <w:ind w:left="714" w:hanging="357"/>
        <w:rPr>
          <w:lang w:val="en-GB"/>
        </w:rPr>
      </w:pPr>
      <w:r w:rsidRPr="00266BE9">
        <w:rPr>
          <w:lang w:val="en-GB"/>
        </w:rPr>
        <w:t xml:space="preserve">MMR. (2019) </w:t>
      </w:r>
      <w:proofErr w:type="spellStart"/>
      <w:r w:rsidRPr="001F7D65">
        <w:rPr>
          <w:i/>
          <w:lang w:val="en-GB"/>
        </w:rPr>
        <w:t>Informace</w:t>
      </w:r>
      <w:proofErr w:type="spellEnd"/>
      <w:r w:rsidRPr="001F7D65">
        <w:rPr>
          <w:i/>
          <w:lang w:val="en-GB"/>
        </w:rPr>
        <w:t xml:space="preserve"> o </w:t>
      </w:r>
      <w:proofErr w:type="spellStart"/>
      <w:r w:rsidRPr="001F7D65">
        <w:rPr>
          <w:i/>
          <w:lang w:val="en-GB"/>
        </w:rPr>
        <w:t>fondech</w:t>
      </w:r>
      <w:proofErr w:type="spellEnd"/>
      <w:r w:rsidRPr="00266BE9">
        <w:rPr>
          <w:lang w:val="en-GB"/>
        </w:rPr>
        <w:t>. [</w:t>
      </w:r>
      <w:proofErr w:type="gramStart"/>
      <w:r w:rsidRPr="00266BE9">
        <w:rPr>
          <w:lang w:val="en-GB"/>
        </w:rPr>
        <w:t>online</w:t>
      </w:r>
      <w:proofErr w:type="gramEnd"/>
      <w:r w:rsidRPr="00266BE9">
        <w:rPr>
          <w:lang w:val="en-GB"/>
        </w:rPr>
        <w:t>]. [</w:t>
      </w:r>
      <w:proofErr w:type="gramStart"/>
      <w:r w:rsidRPr="00266BE9">
        <w:rPr>
          <w:lang w:val="en-GB"/>
        </w:rPr>
        <w:t>cit</w:t>
      </w:r>
      <w:proofErr w:type="gramEnd"/>
      <w:r w:rsidRPr="00266BE9">
        <w:rPr>
          <w:lang w:val="en-GB"/>
        </w:rPr>
        <w:t>. 2019-05-05]. Available from: https://www.dotaceeu.cz/cs/Fondy-EU/Informace-o-fondech-EU.</w:t>
      </w:r>
    </w:p>
    <w:p w:rsidR="002B0A13" w:rsidRPr="00266BE9" w:rsidRDefault="002B0A13" w:rsidP="002B0A13">
      <w:pPr>
        <w:pStyle w:val="Citation"/>
        <w:numPr>
          <w:ilvl w:val="0"/>
          <w:numId w:val="6"/>
        </w:numPr>
        <w:ind w:left="714" w:hanging="357"/>
        <w:rPr>
          <w:lang w:val="en-GB"/>
        </w:rPr>
      </w:pPr>
      <w:r w:rsidRPr="00266BE9">
        <w:rPr>
          <w:lang w:val="en-GB"/>
        </w:rPr>
        <w:t xml:space="preserve">VANINO, E., ROPER, S., BECKER, B. (2019) Knowledge to money: Assessing the business performance effects of publicly-funded R&amp;D grants. </w:t>
      </w:r>
      <w:r w:rsidRPr="00266BE9">
        <w:rPr>
          <w:i/>
          <w:lang w:val="en-GB"/>
        </w:rPr>
        <w:t>Research Policy</w:t>
      </w:r>
      <w:r w:rsidRPr="00266BE9">
        <w:rPr>
          <w:lang w:val="en-GB"/>
        </w:rPr>
        <w:t xml:space="preserve">. </w:t>
      </w:r>
      <w:r w:rsidR="001F7D65">
        <w:rPr>
          <w:lang w:val="en-GB"/>
        </w:rPr>
        <w:t xml:space="preserve">Vol. </w:t>
      </w:r>
      <w:r w:rsidRPr="00266BE9">
        <w:rPr>
          <w:lang w:val="en-GB"/>
        </w:rPr>
        <w:t>48 (7), pp. 1714 – 1737.</w:t>
      </w:r>
    </w:p>
    <w:p w:rsidR="002B0A13" w:rsidRPr="00266BE9" w:rsidRDefault="002B0A13" w:rsidP="00903392">
      <w:pPr>
        <w:pStyle w:val="Citation"/>
        <w:numPr>
          <w:ilvl w:val="0"/>
          <w:numId w:val="6"/>
        </w:numPr>
        <w:spacing w:after="0"/>
        <w:ind w:left="714" w:hanging="357"/>
        <w:rPr>
          <w:lang w:val="en-GB"/>
        </w:rPr>
      </w:pPr>
      <w:r w:rsidRPr="00266BE9">
        <w:rPr>
          <w:lang w:val="en-GB"/>
        </w:rPr>
        <w:t xml:space="preserve">ZAHRADNÍK, P. (2017) </w:t>
      </w:r>
      <w:proofErr w:type="spellStart"/>
      <w:r w:rsidRPr="00266BE9">
        <w:rPr>
          <w:i/>
          <w:lang w:val="en-GB"/>
        </w:rPr>
        <w:t>Kohezní</w:t>
      </w:r>
      <w:proofErr w:type="spellEnd"/>
      <w:r w:rsidRPr="00266BE9">
        <w:rPr>
          <w:i/>
          <w:lang w:val="en-GB"/>
        </w:rPr>
        <w:t xml:space="preserve"> </w:t>
      </w:r>
      <w:proofErr w:type="spellStart"/>
      <w:r w:rsidRPr="00266BE9">
        <w:rPr>
          <w:i/>
          <w:lang w:val="en-GB"/>
        </w:rPr>
        <w:t>politika</w:t>
      </w:r>
      <w:proofErr w:type="spellEnd"/>
      <w:r w:rsidRPr="00266BE9">
        <w:rPr>
          <w:i/>
          <w:lang w:val="en-GB"/>
        </w:rPr>
        <w:t xml:space="preserve"> </w:t>
      </w:r>
      <w:proofErr w:type="spellStart"/>
      <w:r w:rsidRPr="00266BE9">
        <w:rPr>
          <w:i/>
          <w:lang w:val="en-GB"/>
        </w:rPr>
        <w:t>Evropské</w:t>
      </w:r>
      <w:proofErr w:type="spellEnd"/>
      <w:r w:rsidRPr="00266BE9">
        <w:rPr>
          <w:i/>
          <w:lang w:val="en-GB"/>
        </w:rPr>
        <w:t xml:space="preserve"> </w:t>
      </w:r>
      <w:proofErr w:type="spellStart"/>
      <w:r w:rsidRPr="00266BE9">
        <w:rPr>
          <w:i/>
          <w:lang w:val="en-GB"/>
        </w:rPr>
        <w:t>unie</w:t>
      </w:r>
      <w:proofErr w:type="spellEnd"/>
      <w:r w:rsidRPr="00266BE9">
        <w:rPr>
          <w:lang w:val="en-GB"/>
        </w:rPr>
        <w:t xml:space="preserve">. Praha: </w:t>
      </w:r>
      <w:proofErr w:type="spellStart"/>
      <w:r w:rsidRPr="00266BE9">
        <w:rPr>
          <w:lang w:val="en-GB"/>
        </w:rPr>
        <w:t>C.H.Beck</w:t>
      </w:r>
      <w:proofErr w:type="spellEnd"/>
      <w:r w:rsidRPr="00266BE9">
        <w:rPr>
          <w:lang w:val="en-GB"/>
        </w:rPr>
        <w:t>.</w:t>
      </w:r>
    </w:p>
    <w:p w:rsidR="00D23449" w:rsidRPr="00266BE9" w:rsidRDefault="00D23449" w:rsidP="00903392">
      <w:pPr>
        <w:rPr>
          <w:rFonts w:ascii="Times New Roman" w:eastAsia="Times New Roman" w:hAnsi="Times New Roman" w:cs="Times New Roman"/>
          <w:sz w:val="20"/>
          <w:lang w:val="en-GB" w:bidi="en-US"/>
        </w:rPr>
      </w:pPr>
    </w:p>
    <w:p w:rsidR="0040706D" w:rsidRPr="00266BE9" w:rsidRDefault="0040706D" w:rsidP="0040706D">
      <w:pPr>
        <w:spacing w:after="120"/>
        <w:jc w:val="left"/>
        <w:rPr>
          <w:rFonts w:ascii="Times New Roman" w:eastAsia="Times New Roman" w:hAnsi="Times New Roman" w:cs="Times New Roman"/>
          <w:b/>
          <w:sz w:val="20"/>
          <w:szCs w:val="20"/>
          <w:lang w:val="en-GB" w:bidi="en-US"/>
        </w:rPr>
      </w:pPr>
      <w:r w:rsidRPr="00266BE9">
        <w:rPr>
          <w:rFonts w:ascii="Times New Roman" w:eastAsia="Times New Roman" w:hAnsi="Times New Roman" w:cs="Times New Roman"/>
          <w:b/>
          <w:sz w:val="20"/>
          <w:szCs w:val="20"/>
          <w:lang w:val="en-GB" w:bidi="en-US"/>
        </w:rPr>
        <w:t>Contact information</w:t>
      </w:r>
    </w:p>
    <w:p w:rsidR="0040706D" w:rsidRPr="00266BE9" w:rsidRDefault="0040706D" w:rsidP="0040706D">
      <w:pPr>
        <w:spacing w:after="120"/>
        <w:rPr>
          <w:rFonts w:ascii="Times New Roman" w:eastAsia="Times New Roman" w:hAnsi="Times New Roman" w:cs="Times New Roman"/>
          <w:sz w:val="20"/>
          <w:lang w:val="en-GB" w:bidi="en-US"/>
        </w:rPr>
      </w:pPr>
      <w:r w:rsidRPr="00266BE9">
        <w:rPr>
          <w:rFonts w:ascii="Times New Roman" w:eastAsia="Times New Roman" w:hAnsi="Times New Roman" w:cs="Times New Roman"/>
          <w:sz w:val="20"/>
          <w:lang w:val="en-GB" w:bidi="en-US"/>
        </w:rPr>
        <w:t xml:space="preserve">Ing. Lucie </w:t>
      </w:r>
      <w:proofErr w:type="spellStart"/>
      <w:r w:rsidRPr="00266BE9">
        <w:rPr>
          <w:rFonts w:ascii="Times New Roman" w:eastAsia="Times New Roman" w:hAnsi="Times New Roman" w:cs="Times New Roman"/>
          <w:sz w:val="20"/>
          <w:lang w:val="en-GB" w:bidi="en-US"/>
        </w:rPr>
        <w:t>Sobotková</w:t>
      </w:r>
      <w:proofErr w:type="spellEnd"/>
      <w:r w:rsidRPr="00266BE9">
        <w:rPr>
          <w:rFonts w:ascii="Times New Roman" w:eastAsia="Times New Roman" w:hAnsi="Times New Roman" w:cs="Times New Roman"/>
          <w:sz w:val="20"/>
          <w:lang w:val="en-GB" w:bidi="en-US"/>
        </w:rPr>
        <w:t>, Ph.D.</w:t>
      </w:r>
    </w:p>
    <w:p w:rsidR="0040706D" w:rsidRPr="00266BE9" w:rsidRDefault="0040706D" w:rsidP="0040706D">
      <w:pPr>
        <w:spacing w:after="120"/>
        <w:rPr>
          <w:rFonts w:ascii="Times New Roman" w:eastAsia="Times New Roman" w:hAnsi="Times New Roman" w:cs="Times New Roman"/>
          <w:sz w:val="20"/>
          <w:lang w:val="en-GB" w:bidi="en-US"/>
        </w:rPr>
      </w:pPr>
      <w:r w:rsidRPr="00266BE9">
        <w:rPr>
          <w:rFonts w:ascii="Times New Roman" w:eastAsia="Times New Roman" w:hAnsi="Times New Roman" w:cs="Times New Roman"/>
          <w:sz w:val="20"/>
          <w:lang w:val="en-GB" w:bidi="en-US"/>
        </w:rPr>
        <w:t>University of Pardubice, Faculty of Economics and Administration, Institute of Economic Sciences</w:t>
      </w:r>
    </w:p>
    <w:p w:rsidR="0040706D" w:rsidRPr="00266BE9" w:rsidRDefault="0040706D" w:rsidP="0040706D">
      <w:pPr>
        <w:spacing w:after="120"/>
        <w:rPr>
          <w:rFonts w:ascii="Times New Roman" w:eastAsia="Times New Roman" w:hAnsi="Times New Roman" w:cs="Times New Roman"/>
          <w:sz w:val="20"/>
          <w:lang w:val="en-GB" w:bidi="en-US"/>
        </w:rPr>
      </w:pPr>
      <w:proofErr w:type="spellStart"/>
      <w:r w:rsidRPr="00266BE9">
        <w:rPr>
          <w:rFonts w:ascii="Times New Roman" w:eastAsia="Times New Roman" w:hAnsi="Times New Roman" w:cs="Times New Roman"/>
          <w:sz w:val="20"/>
          <w:lang w:val="en-GB" w:bidi="en-US"/>
        </w:rPr>
        <w:t>Studentská</w:t>
      </w:r>
      <w:proofErr w:type="spellEnd"/>
      <w:r w:rsidRPr="00266BE9">
        <w:rPr>
          <w:rFonts w:ascii="Times New Roman" w:eastAsia="Times New Roman" w:hAnsi="Times New Roman" w:cs="Times New Roman"/>
          <w:sz w:val="20"/>
          <w:lang w:val="en-GB" w:bidi="en-US"/>
        </w:rPr>
        <w:t xml:space="preserve"> 8</w:t>
      </w:r>
      <w:r w:rsidR="00E65196" w:rsidRPr="00266BE9">
        <w:rPr>
          <w:rFonts w:ascii="Times New Roman" w:eastAsia="Times New Roman" w:hAnsi="Times New Roman" w:cs="Times New Roman"/>
          <w:sz w:val="20"/>
          <w:lang w:val="en-GB" w:bidi="en-US"/>
        </w:rPr>
        <w:t>4</w:t>
      </w:r>
      <w:r w:rsidRPr="00266BE9">
        <w:rPr>
          <w:rFonts w:ascii="Times New Roman" w:eastAsia="Times New Roman" w:hAnsi="Times New Roman" w:cs="Times New Roman"/>
          <w:sz w:val="20"/>
          <w:lang w:val="en-GB" w:bidi="en-US"/>
        </w:rPr>
        <w:t>, 532 10 Pardubice</w:t>
      </w:r>
    </w:p>
    <w:p w:rsidR="0040706D" w:rsidRPr="00143B5C" w:rsidRDefault="0040706D" w:rsidP="00903392">
      <w:pPr>
        <w:rPr>
          <w:rFonts w:ascii="Times New Roman" w:eastAsia="Times New Roman" w:hAnsi="Times New Roman" w:cs="Times New Roman"/>
          <w:sz w:val="20"/>
          <w:lang w:val="en-GB" w:bidi="en-US"/>
        </w:rPr>
      </w:pPr>
      <w:r w:rsidRPr="00266BE9">
        <w:rPr>
          <w:rFonts w:ascii="Times New Roman" w:eastAsia="Times New Roman" w:hAnsi="Times New Roman" w:cs="Times New Roman"/>
          <w:sz w:val="20"/>
          <w:lang w:val="en-GB" w:bidi="en-US"/>
        </w:rPr>
        <w:t>E-mail: lucie.sobotkova@upce.cz</w:t>
      </w:r>
    </w:p>
    <w:p w:rsidR="0040706D" w:rsidRPr="00903392" w:rsidRDefault="0040706D">
      <w:pPr>
        <w:rPr>
          <w:rFonts w:ascii="Times New Roman" w:eastAsia="Times New Roman" w:hAnsi="Times New Roman" w:cs="Times New Roman"/>
          <w:sz w:val="20"/>
          <w:lang w:val="en-GB" w:bidi="en-US"/>
        </w:rPr>
      </w:pPr>
    </w:p>
    <w:p w:rsidR="00903392" w:rsidRPr="00903392" w:rsidRDefault="00903392" w:rsidP="00903392">
      <w:pPr>
        <w:spacing w:after="120"/>
        <w:rPr>
          <w:rFonts w:ascii="Times New Roman" w:eastAsia="Times New Roman" w:hAnsi="Times New Roman" w:cs="Times New Roman"/>
          <w:sz w:val="20"/>
          <w:lang w:val="en-GB" w:bidi="en-US"/>
        </w:rPr>
      </w:pPr>
      <w:proofErr w:type="spellStart"/>
      <w:r w:rsidRPr="00903392">
        <w:rPr>
          <w:rFonts w:ascii="Times New Roman" w:eastAsia="Times New Roman" w:hAnsi="Times New Roman" w:cs="Times New Roman"/>
          <w:sz w:val="20"/>
          <w:lang w:val="en-GB" w:bidi="en-US"/>
        </w:rPr>
        <w:t>Ing</w:t>
      </w:r>
      <w:proofErr w:type="spellEnd"/>
      <w:r w:rsidRPr="00903392">
        <w:rPr>
          <w:rFonts w:ascii="Times New Roman" w:eastAsia="Times New Roman" w:hAnsi="Times New Roman" w:cs="Times New Roman"/>
          <w:sz w:val="20"/>
          <w:lang w:val="en-GB" w:bidi="en-US"/>
        </w:rPr>
        <w:t xml:space="preserve">. Ondřej </w:t>
      </w:r>
      <w:proofErr w:type="spellStart"/>
      <w:r w:rsidRPr="00903392">
        <w:rPr>
          <w:rFonts w:ascii="Times New Roman" w:eastAsia="Times New Roman" w:hAnsi="Times New Roman" w:cs="Times New Roman"/>
          <w:sz w:val="20"/>
          <w:lang w:val="en-GB" w:bidi="en-US"/>
        </w:rPr>
        <w:t>Kočí</w:t>
      </w:r>
      <w:proofErr w:type="spellEnd"/>
    </w:p>
    <w:p w:rsidR="00903392" w:rsidRPr="00266BE9" w:rsidRDefault="00903392" w:rsidP="00903392">
      <w:pPr>
        <w:spacing w:after="120"/>
        <w:rPr>
          <w:rFonts w:ascii="Times New Roman" w:eastAsia="Times New Roman" w:hAnsi="Times New Roman" w:cs="Times New Roman"/>
          <w:sz w:val="20"/>
          <w:lang w:val="en-GB" w:bidi="en-US"/>
        </w:rPr>
      </w:pPr>
      <w:r w:rsidRPr="00266BE9">
        <w:rPr>
          <w:rFonts w:ascii="Times New Roman" w:eastAsia="Times New Roman" w:hAnsi="Times New Roman" w:cs="Times New Roman"/>
          <w:sz w:val="20"/>
          <w:lang w:val="en-GB" w:bidi="en-US"/>
        </w:rPr>
        <w:t>University of Pardubice, Faculty of Economics and Administration, Institute of Economic Sciences</w:t>
      </w:r>
    </w:p>
    <w:p w:rsidR="00903392" w:rsidRDefault="00903392" w:rsidP="00903392">
      <w:pPr>
        <w:spacing w:after="120"/>
        <w:rPr>
          <w:rFonts w:ascii="Times New Roman" w:eastAsia="Times New Roman" w:hAnsi="Times New Roman" w:cs="Times New Roman"/>
          <w:sz w:val="20"/>
          <w:lang w:val="en-GB" w:bidi="en-US"/>
        </w:rPr>
      </w:pPr>
      <w:proofErr w:type="spellStart"/>
      <w:r w:rsidRPr="00266BE9">
        <w:rPr>
          <w:rFonts w:ascii="Times New Roman" w:eastAsia="Times New Roman" w:hAnsi="Times New Roman" w:cs="Times New Roman"/>
          <w:sz w:val="20"/>
          <w:lang w:val="en-GB" w:bidi="en-US"/>
        </w:rPr>
        <w:t>Studentská</w:t>
      </w:r>
      <w:proofErr w:type="spellEnd"/>
      <w:r w:rsidRPr="00266BE9">
        <w:rPr>
          <w:rFonts w:ascii="Times New Roman" w:eastAsia="Times New Roman" w:hAnsi="Times New Roman" w:cs="Times New Roman"/>
          <w:sz w:val="20"/>
          <w:lang w:val="en-GB" w:bidi="en-US"/>
        </w:rPr>
        <w:t xml:space="preserve"> 84, 532 10 Pardubice</w:t>
      </w:r>
    </w:p>
    <w:p w:rsidR="00903392" w:rsidRPr="00266BE9" w:rsidRDefault="00903392" w:rsidP="00903392">
      <w:pPr>
        <w:spacing w:after="120"/>
        <w:rPr>
          <w:rFonts w:ascii="Times New Roman" w:eastAsia="Times New Roman" w:hAnsi="Times New Roman" w:cs="Times New Roman"/>
          <w:sz w:val="20"/>
          <w:lang w:val="en-GB" w:bidi="en-US"/>
        </w:rPr>
      </w:pPr>
      <w:r>
        <w:rPr>
          <w:rFonts w:ascii="Times New Roman" w:eastAsia="Times New Roman" w:hAnsi="Times New Roman" w:cs="Times New Roman"/>
          <w:sz w:val="20"/>
          <w:lang w:val="en-GB" w:bidi="en-US"/>
        </w:rPr>
        <w:t>E-mail: st44899@student.upce.cz</w:t>
      </w:r>
      <w:bookmarkStart w:id="2" w:name="_GoBack"/>
      <w:bookmarkEnd w:id="2"/>
    </w:p>
    <w:sectPr w:rsidR="00903392" w:rsidRPr="00266BE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4D444E"/>
    <w:multiLevelType w:val="hybridMultilevel"/>
    <w:tmpl w:val="4FE0DC3A"/>
    <w:lvl w:ilvl="0" w:tplc="E2D24C10">
      <w:numFmt w:val="bullet"/>
      <w:lvlText w:val="•"/>
      <w:lvlJc w:val="left"/>
      <w:pPr>
        <w:ind w:left="720" w:hanging="360"/>
      </w:pPr>
      <w:rPr>
        <w:rFonts w:ascii="Calibri" w:eastAsiaTheme="minorHAnsi"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1C3A1CDE"/>
    <w:multiLevelType w:val="hybridMultilevel"/>
    <w:tmpl w:val="305E081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 w15:restartNumberingAfterBreak="0">
    <w:nsid w:val="3D220C53"/>
    <w:multiLevelType w:val="hybridMultilevel"/>
    <w:tmpl w:val="E23EE020"/>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15:restartNumberingAfterBreak="0">
    <w:nsid w:val="3D563A25"/>
    <w:multiLevelType w:val="hybridMultilevel"/>
    <w:tmpl w:val="9508BBC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15:restartNumberingAfterBreak="0">
    <w:nsid w:val="55C774E0"/>
    <w:multiLevelType w:val="hybridMultilevel"/>
    <w:tmpl w:val="2A64B1E0"/>
    <w:lvl w:ilvl="0" w:tplc="3FA0492E">
      <w:start w:val="1"/>
      <w:numFmt w:val="decimal"/>
      <w:lvlText w:val="[%1]"/>
      <w:lvlJc w:val="left"/>
      <w:pPr>
        <w:ind w:left="1077" w:hanging="360"/>
      </w:pPr>
      <w:rPr>
        <w:rFonts w:hint="default"/>
      </w:rPr>
    </w:lvl>
    <w:lvl w:ilvl="1" w:tplc="04050019">
      <w:start w:val="1"/>
      <w:numFmt w:val="lowerLetter"/>
      <w:lvlText w:val="%2."/>
      <w:lvlJc w:val="left"/>
      <w:pPr>
        <w:ind w:left="1797" w:hanging="360"/>
      </w:pPr>
    </w:lvl>
    <w:lvl w:ilvl="2" w:tplc="0405001B" w:tentative="1">
      <w:start w:val="1"/>
      <w:numFmt w:val="lowerRoman"/>
      <w:lvlText w:val="%3."/>
      <w:lvlJc w:val="right"/>
      <w:pPr>
        <w:ind w:left="2517" w:hanging="180"/>
      </w:pPr>
    </w:lvl>
    <w:lvl w:ilvl="3" w:tplc="0405000F" w:tentative="1">
      <w:start w:val="1"/>
      <w:numFmt w:val="decimal"/>
      <w:lvlText w:val="%4."/>
      <w:lvlJc w:val="left"/>
      <w:pPr>
        <w:ind w:left="3237" w:hanging="360"/>
      </w:pPr>
    </w:lvl>
    <w:lvl w:ilvl="4" w:tplc="04050019" w:tentative="1">
      <w:start w:val="1"/>
      <w:numFmt w:val="lowerLetter"/>
      <w:lvlText w:val="%5."/>
      <w:lvlJc w:val="left"/>
      <w:pPr>
        <w:ind w:left="3957" w:hanging="360"/>
      </w:pPr>
    </w:lvl>
    <w:lvl w:ilvl="5" w:tplc="0405001B" w:tentative="1">
      <w:start w:val="1"/>
      <w:numFmt w:val="lowerRoman"/>
      <w:lvlText w:val="%6."/>
      <w:lvlJc w:val="right"/>
      <w:pPr>
        <w:ind w:left="4677" w:hanging="180"/>
      </w:pPr>
    </w:lvl>
    <w:lvl w:ilvl="6" w:tplc="0405000F" w:tentative="1">
      <w:start w:val="1"/>
      <w:numFmt w:val="decimal"/>
      <w:lvlText w:val="%7."/>
      <w:lvlJc w:val="left"/>
      <w:pPr>
        <w:ind w:left="5397" w:hanging="360"/>
      </w:pPr>
    </w:lvl>
    <w:lvl w:ilvl="7" w:tplc="04050019" w:tentative="1">
      <w:start w:val="1"/>
      <w:numFmt w:val="lowerLetter"/>
      <w:lvlText w:val="%8."/>
      <w:lvlJc w:val="left"/>
      <w:pPr>
        <w:ind w:left="6117" w:hanging="360"/>
      </w:pPr>
    </w:lvl>
    <w:lvl w:ilvl="8" w:tplc="0405001B" w:tentative="1">
      <w:start w:val="1"/>
      <w:numFmt w:val="lowerRoman"/>
      <w:lvlText w:val="%9."/>
      <w:lvlJc w:val="right"/>
      <w:pPr>
        <w:ind w:left="6837" w:hanging="180"/>
      </w:pPr>
    </w:lvl>
  </w:abstractNum>
  <w:abstractNum w:abstractNumId="5" w15:restartNumberingAfterBreak="0">
    <w:nsid w:val="65217EA4"/>
    <w:multiLevelType w:val="hybridMultilevel"/>
    <w:tmpl w:val="4AD435A4"/>
    <w:lvl w:ilvl="0" w:tplc="3FA0492E">
      <w:start w:val="1"/>
      <w:numFmt w:val="decimal"/>
      <w:lvlText w:val="[%1]"/>
      <w:lvlJc w:val="left"/>
      <w:pPr>
        <w:tabs>
          <w:tab w:val="num" w:pos="567"/>
        </w:tabs>
        <w:ind w:left="567" w:hanging="56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7C860247"/>
    <w:multiLevelType w:val="hybridMultilevel"/>
    <w:tmpl w:val="F5DCB8A2"/>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6"/>
  </w:num>
  <w:num w:numId="4">
    <w:abstractNumId w:val="2"/>
  </w:num>
  <w:num w:numId="5">
    <w:abstractNumId w:val="5"/>
  </w:num>
  <w:num w:numId="6">
    <w:abstractNumId w:val="4"/>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3449"/>
    <w:rsid w:val="00092020"/>
    <w:rsid w:val="00143B5C"/>
    <w:rsid w:val="001F1724"/>
    <w:rsid w:val="001F7D65"/>
    <w:rsid w:val="00266BE9"/>
    <w:rsid w:val="002B0A13"/>
    <w:rsid w:val="003659D4"/>
    <w:rsid w:val="0040706D"/>
    <w:rsid w:val="0045301D"/>
    <w:rsid w:val="006F6043"/>
    <w:rsid w:val="00811947"/>
    <w:rsid w:val="00903392"/>
    <w:rsid w:val="0091430A"/>
    <w:rsid w:val="00976FA6"/>
    <w:rsid w:val="00A71346"/>
    <w:rsid w:val="00BA071A"/>
    <w:rsid w:val="00BC70F4"/>
    <w:rsid w:val="00D23449"/>
    <w:rsid w:val="00D535C2"/>
    <w:rsid w:val="00E65196"/>
    <w:rsid w:val="00ED2920"/>
    <w:rsid w:val="00F8554A"/>
    <w:rsid w:val="00FB2AE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324B5FE"/>
  <w15:docId w15:val="{D2B831FE-EB57-4DF2-9F5D-38E189658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D23449"/>
    <w:pPr>
      <w:spacing w:after="0" w:line="240" w:lineRule="auto"/>
      <w:jc w:val="both"/>
    </w:pPr>
  </w:style>
  <w:style w:type="paragraph" w:styleId="Nadpis1">
    <w:name w:val="heading 1"/>
    <w:basedOn w:val="Normln"/>
    <w:next w:val="Normln"/>
    <w:link w:val="Nadpis1Char"/>
    <w:uiPriority w:val="9"/>
    <w:qFormat/>
    <w:rsid w:val="00D23449"/>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Nadpis2">
    <w:name w:val="heading 2"/>
    <w:basedOn w:val="Normln"/>
    <w:next w:val="Normln"/>
    <w:link w:val="Nadpis2Char"/>
    <w:uiPriority w:val="9"/>
    <w:unhideWhenUsed/>
    <w:qFormat/>
    <w:rsid w:val="00D23449"/>
    <w:pPr>
      <w:keepNext/>
      <w:keepLines/>
      <w:spacing w:before="240" w:after="120"/>
      <w:outlineLvl w:val="1"/>
    </w:pPr>
    <w:rPr>
      <w:rFonts w:ascii="Times New Roman" w:eastAsia="Times New Roman" w:hAnsi="Times New Roman" w:cs="Times New Roman"/>
      <w:b/>
      <w:bCs/>
      <w:sz w:val="20"/>
      <w:szCs w:val="26"/>
      <w:lang w:val="en-US" w:eastAsia="x-none" w:bidi="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D23449"/>
    <w:pPr>
      <w:ind w:left="720"/>
      <w:contextualSpacing/>
    </w:pPr>
  </w:style>
  <w:style w:type="character" w:customStyle="1" w:styleId="Nadpis2Char">
    <w:name w:val="Nadpis 2 Char"/>
    <w:basedOn w:val="Standardnpsmoodstavce"/>
    <w:link w:val="Nadpis2"/>
    <w:uiPriority w:val="9"/>
    <w:rsid w:val="00D23449"/>
    <w:rPr>
      <w:rFonts w:ascii="Times New Roman" w:eastAsia="Times New Roman" w:hAnsi="Times New Roman" w:cs="Times New Roman"/>
      <w:b/>
      <w:bCs/>
      <w:sz w:val="20"/>
      <w:szCs w:val="26"/>
      <w:lang w:val="en-US" w:eastAsia="x-none" w:bidi="en-US"/>
    </w:rPr>
  </w:style>
  <w:style w:type="character" w:customStyle="1" w:styleId="Nadpis1Char">
    <w:name w:val="Nadpis 1 Char"/>
    <w:basedOn w:val="Standardnpsmoodstavce"/>
    <w:link w:val="Nadpis1"/>
    <w:uiPriority w:val="9"/>
    <w:rsid w:val="00D23449"/>
    <w:rPr>
      <w:rFonts w:asciiTheme="majorHAnsi" w:eastAsiaTheme="majorEastAsia" w:hAnsiTheme="majorHAnsi" w:cstheme="majorBidi"/>
      <w:color w:val="2E74B5" w:themeColor="accent1" w:themeShade="BF"/>
      <w:sz w:val="32"/>
      <w:szCs w:val="32"/>
    </w:rPr>
  </w:style>
  <w:style w:type="character" w:styleId="Hypertextovodkaz">
    <w:name w:val="Hyperlink"/>
    <w:basedOn w:val="Standardnpsmoodstavce"/>
    <w:uiPriority w:val="99"/>
    <w:unhideWhenUsed/>
    <w:rsid w:val="0045301D"/>
    <w:rPr>
      <w:color w:val="0563C1" w:themeColor="hyperlink"/>
      <w:u w:val="single"/>
    </w:rPr>
  </w:style>
  <w:style w:type="paragraph" w:customStyle="1" w:styleId="Citation">
    <w:name w:val="Citation"/>
    <w:basedOn w:val="Normln"/>
    <w:qFormat/>
    <w:rsid w:val="0045301D"/>
    <w:pPr>
      <w:spacing w:after="120"/>
      <w:ind w:left="714" w:hanging="357"/>
    </w:pPr>
    <w:rPr>
      <w:rFonts w:ascii="Times New Roman" w:eastAsia="Calibri" w:hAnsi="Times New Roman" w:cs="Times New Roman"/>
      <w:sz w:val="20"/>
      <w:szCs w:val="20"/>
      <w:lang w:val="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2.bin"/><Relationship Id="rId3" Type="http://schemas.openxmlformats.org/officeDocument/2006/relationships/settings" Target="settings.xml"/><Relationship Id="rId7" Type="http://schemas.openxmlformats.org/officeDocument/2006/relationships/image" Target="media/image2.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oleObject1.bin"/><Relationship Id="rId11" Type="http://schemas.openxmlformats.org/officeDocument/2006/relationships/theme" Target="theme/theme1.xml"/><Relationship Id="rId5" Type="http://schemas.openxmlformats.org/officeDocument/2006/relationships/image" Target="media/image1.emf"/><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europa.eu/pol/index_cs.htm" TargetMode="Externa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9</Pages>
  <Words>4901</Words>
  <Characters>28922</Characters>
  <Application>Microsoft Office Word</Application>
  <DocSecurity>0</DocSecurity>
  <Lines>241</Lines>
  <Paragraphs>67</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33756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Sobotka Martin</dc:creator>
  <cp:lastModifiedBy>Sobotka Martin</cp:lastModifiedBy>
  <cp:revision>3</cp:revision>
  <dcterms:created xsi:type="dcterms:W3CDTF">2019-07-19T07:05:00Z</dcterms:created>
  <dcterms:modified xsi:type="dcterms:W3CDTF">2019-07-20T05:41:00Z</dcterms:modified>
</cp:coreProperties>
</file>