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Default Extension="ti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628E1D" w14:textId="77777777" w:rsidR="00F62C8B" w:rsidRPr="007C45C4" w:rsidRDefault="004F46E6" w:rsidP="004C531E">
      <w:pPr>
        <w:pStyle w:val="RSCM01ReceivedAccepted"/>
        <w:rPr>
          <w:lang w:val="en-US"/>
        </w:rPr>
      </w:pPr>
      <w:r w:rsidRPr="007C45C4">
        <w:rPr>
          <w:lang w:val="en-US" w:eastAsia="en-US"/>
        </w:rPr>
        <mc:AlternateContent>
          <mc:Choice Requires="wps">
            <w:drawing>
              <wp:anchor distT="180340" distB="0" distL="114300" distR="114300" simplePos="0" relativeHeight="251658240" behindDoc="1" locked="1" layoutInCell="0" allowOverlap="0" wp14:anchorId="1B297720" wp14:editId="20CBC125">
                <wp:simplePos x="0" y="0"/>
                <wp:positionH relativeFrom="column">
                  <wp:posOffset>0</wp:posOffset>
                </wp:positionH>
                <wp:positionV relativeFrom="margin">
                  <wp:align>bottom</wp:align>
                </wp:positionV>
                <wp:extent cx="3159125" cy="1628140"/>
                <wp:effectExtent l="0" t="0" r="0" b="0"/>
                <wp:wrapTopAndBottom/>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59125" cy="1628140"/>
                        </a:xfrm>
                        <a:prstGeom prst="rect">
                          <a:avLst/>
                        </a:prstGeom>
                        <a:solidFill>
                          <a:srgbClr val="FFFFFF"/>
                        </a:solidFill>
                        <a:ln w="9525">
                          <a:noFill/>
                          <a:miter lim="800000"/>
                          <a:headEnd/>
                          <a:tailEnd/>
                        </a:ln>
                      </wps:spPr>
                      <wps:txbx>
                        <w:txbxContent>
                          <w:p w14:paraId="3C3358D8" w14:textId="33DBF016" w:rsidR="00CA7AD4" w:rsidRDefault="00CA7AD4" w:rsidP="00FD0BF2">
                            <w:pPr>
                              <w:pStyle w:val="RSCF01FootnoteAuthorAddress"/>
                            </w:pPr>
                            <w:r>
                              <w:t xml:space="preserve">Department of General and Inorganic Chemistry, Faculty of Chemical Technology, University of Pardubice, Studentská 573, 532 10 Pardubice, Czech Republic. E-mail: jaromir.vinklarek@upce.cz </w:t>
                            </w:r>
                          </w:p>
                          <w:p w14:paraId="18E4193C" w14:textId="77777777" w:rsidR="00CA7AD4" w:rsidRDefault="00CA7AD4" w:rsidP="00FD0BF2">
                            <w:pPr>
                              <w:pStyle w:val="RSCF01FootnoteAuthorAddress"/>
                            </w:pPr>
                            <w:r>
                              <w:t>Department of Analytical Chemistry, Faculty of Chemical Technology, University of Pardubice, Studentská 573, 53210 Pardubice, Czech Republic.</w:t>
                            </w:r>
                            <w:r>
                              <w:tab/>
                            </w:r>
                          </w:p>
                          <w:p w14:paraId="01A8C035" w14:textId="7B986740" w:rsidR="00CA7AD4" w:rsidRDefault="00CA7AD4" w:rsidP="00AE37FC">
                            <w:pPr>
                              <w:pStyle w:val="RSCF01FootnoteAuthorAddress"/>
                            </w:pPr>
                            <w:r>
                              <w:t xml:space="preserve">Department of Medical Biochemistry, Faculty of Medicine in Hradec </w:t>
                            </w:r>
                            <w:proofErr w:type="spellStart"/>
                            <w:r>
                              <w:t>Králové</w:t>
                            </w:r>
                            <w:proofErr w:type="spellEnd"/>
                            <w:r>
                              <w:t xml:space="preserve">, Charles University in Prague, </w:t>
                            </w:r>
                            <w:proofErr w:type="spellStart"/>
                            <w:r>
                              <w:t>Šimkova</w:t>
                            </w:r>
                            <w:proofErr w:type="spellEnd"/>
                            <w:r>
                              <w:t xml:space="preserve"> 870, 500 01 Hradec </w:t>
                            </w:r>
                            <w:proofErr w:type="spellStart"/>
                            <w:r>
                              <w:t>Králové</w:t>
                            </w:r>
                            <w:proofErr w:type="spellEnd"/>
                            <w:r>
                              <w:t>, Czech Republic.</w:t>
                            </w:r>
                          </w:p>
                          <w:p w14:paraId="41E26794" w14:textId="153C7808" w:rsidR="00CA7AD4" w:rsidRDefault="00CA7AD4" w:rsidP="00AE37FC">
                            <w:pPr>
                              <w:pStyle w:val="RSCF01FootnoteAuthorAddress"/>
                            </w:pPr>
                            <w:r>
                              <w:t xml:space="preserve">Department of Inorganic Chemistry, Faculty of Science, Charles University in Prague, </w:t>
                            </w:r>
                            <w:proofErr w:type="spellStart"/>
                            <w:r>
                              <w:t>Hlavova</w:t>
                            </w:r>
                            <w:proofErr w:type="spellEnd"/>
                            <w:r>
                              <w:t xml:space="preserve"> 2030/8, 128 43 Prague 2, Czech Republic</w:t>
                            </w:r>
                          </w:p>
                          <w:p w14:paraId="4BD599F5" w14:textId="0E1ABF42" w:rsidR="00CA7AD4" w:rsidRDefault="00CA7AD4" w:rsidP="00D47B05">
                            <w:pPr>
                              <w:pStyle w:val="RSCF01FootnoteAuthorAddress"/>
                            </w:pPr>
                            <w:r w:rsidRPr="009D5953">
                              <w:t xml:space="preserve">2nd Department of Internal Medicine - Gastroenterology, Charles University, Faculty of Medicine in Hradec </w:t>
                            </w:r>
                            <w:proofErr w:type="spellStart"/>
                            <w:r w:rsidRPr="009D5953">
                              <w:t>Králové</w:t>
                            </w:r>
                            <w:proofErr w:type="spellEnd"/>
                            <w:r w:rsidRPr="009D5953">
                              <w:t xml:space="preserve">, University Hospital Hradec </w:t>
                            </w:r>
                            <w:proofErr w:type="spellStart"/>
                            <w:r w:rsidRPr="009D5953">
                              <w:t>Králové</w:t>
                            </w:r>
                            <w:proofErr w:type="spellEnd"/>
                            <w:r w:rsidRPr="009D5953">
                              <w:t>, Czech Republic</w:t>
                            </w:r>
                          </w:p>
                          <w:p w14:paraId="25AC66B2" w14:textId="77777777" w:rsidR="00CA7AD4" w:rsidRPr="00832F13" w:rsidRDefault="00CA7AD4" w:rsidP="00FD0BF2">
                            <w:pPr>
                              <w:pStyle w:val="RSCF01FootnoteAuthorAddress"/>
                            </w:pPr>
                            <w:r>
                              <w:t xml:space="preserve">Institute of Chemistry and Technology of Macromolecular Materials, Faculty of Chemical Technology, University of Pardubice, Studentská 573, 532 10 Pardubice, </w:t>
                            </w:r>
                            <w:r w:rsidRPr="00832F13">
                              <w:t>Czech Republic.</w:t>
                            </w:r>
                          </w:p>
                          <w:p w14:paraId="618509A8" w14:textId="566F6372" w:rsidR="00CA7AD4" w:rsidRPr="00241ACD" w:rsidRDefault="00CA7AD4" w:rsidP="00832F13">
                            <w:pPr>
                              <w:pStyle w:val="RSCF02FootnotestoTitleAuthors"/>
                            </w:pPr>
                            <w:r w:rsidRPr="00832F13">
                              <w:t xml:space="preserve">† Electronic Supplementary Information (ESI) available: CCDC-1853492, -1853493. For crystallographic data in CIF </w:t>
                            </w:r>
                            <w:proofErr w:type="gramStart"/>
                            <w:r w:rsidRPr="00832F13">
                              <w:t>format</w:t>
                            </w:r>
                            <w:proofErr w:type="gramEnd"/>
                            <w:r w:rsidRPr="00832F13">
                              <w:t xml:space="preserve"> see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1B297720" id="_x0000_t202" coordsize="21600,21600" o:spt="202" path="m,l,21600r21600,l21600,xe">
                <v:stroke joinstyle="miter"/>
                <v:path gradientshapeok="t" o:connecttype="rect"/>
              </v:shapetype>
              <v:shape id="Text Box 2" o:spid="_x0000_s1026" type="#_x0000_t202" style="position:absolute;margin-left:0;margin-top:0;width:248.75pt;height:128.2pt;z-index:-251658240;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" o:allowincell="f" o:allowoverlap="f" stroked="f">
                <v:path arrowok="t"/>
                <v:textbox style="mso-fit-shape-to-text:t" inset="0,1mm,0,1mm">
                  <w:txbxContent>
                    <w:p w14:paraId="3C3358D8" w14:textId="33DBF016" w:rsidR="00CA7AD4" w:rsidRDefault="00CA7AD4" w:rsidP="00FD0BF2">
                      <w:pPr>
                        <w:pStyle w:val="RSCF01FootnoteAuthorAddress"/>
                      </w:pPr>
                      <w:r>
                        <w:t xml:space="preserve">Department of General and Inorganic Chemistry, Faculty of Chemical Technology, University of Pardubice, Studentská 573, 532 10 Pardubice, Czech Republic. E-mail: jaromir.vinklarek@upce.cz </w:t>
                      </w:r>
                    </w:p>
                    <w:p w14:paraId="18E4193C" w14:textId="77777777" w:rsidR="00CA7AD4" w:rsidRDefault="00CA7AD4" w:rsidP="00FD0BF2">
                      <w:pPr>
                        <w:pStyle w:val="RSCF01FootnoteAuthorAddress"/>
                      </w:pPr>
                      <w:r>
                        <w:t>Department of Analytical Chemistry, Faculty of Chemical Technology, University of Pardubice, Studentská 573, 53210 Pardubice, Czech Republic.</w:t>
                      </w:r>
                      <w:r>
                        <w:tab/>
                      </w:r>
                    </w:p>
                    <w:p w14:paraId="01A8C035" w14:textId="7B986740" w:rsidR="00CA7AD4" w:rsidRDefault="00CA7AD4" w:rsidP="00AE37FC">
                      <w:pPr>
                        <w:pStyle w:val="RSCF01FootnoteAuthorAddress"/>
                      </w:pPr>
                      <w:r>
                        <w:t>Department of Medical Biochemistry, Faculty of Medicine in Hradec Králové, Charles University in Prague, Šimkova 870, 500 01 Hradec Králové, Czech Republic.</w:t>
                      </w:r>
                    </w:p>
                    <w:p w14:paraId="41E26794" w14:textId="153C7808" w:rsidR="00CA7AD4" w:rsidRDefault="00CA7AD4" w:rsidP="00AE37FC">
                      <w:pPr>
                        <w:pStyle w:val="RSCF01FootnoteAuthorAddress"/>
                      </w:pPr>
                      <w:r>
                        <w:t>Department of Inorganic Chemistry, Faculty of Science, Charles University in Prague, Hlavova 2030/8, 128 43 Prague 2, Czech Republic</w:t>
                      </w:r>
                    </w:p>
                    <w:p w14:paraId="4BD599F5" w14:textId="0E1ABF42" w:rsidR="00CA7AD4" w:rsidRDefault="00CA7AD4" w:rsidP="00D47B05">
                      <w:pPr>
                        <w:pStyle w:val="RSCF01FootnoteAuthorAddress"/>
                      </w:pPr>
                      <w:r w:rsidRPr="009D5953">
                        <w:t>2nd Department of Internal Medicine - Gastroenterology, Charles University, Faculty of Medicine in Hradec Králové, University Hospital Hradec Králové, Czech Republic</w:t>
                      </w:r>
                    </w:p>
                    <w:p w14:paraId="25AC66B2" w14:textId="77777777" w:rsidR="00CA7AD4" w:rsidRPr="00832F13" w:rsidRDefault="00CA7AD4" w:rsidP="00FD0BF2">
                      <w:pPr>
                        <w:pStyle w:val="RSCF01FootnoteAuthorAddress"/>
                      </w:pPr>
                      <w:r>
                        <w:t xml:space="preserve">Institute of Chemistry and Technology of Macromolecular Materials, Faculty of Chemical Technology, University of Pardubice, Studentská 573, 532 10 Pardubice, </w:t>
                      </w:r>
                      <w:r w:rsidRPr="00832F13">
                        <w:t>Czech Republic.</w:t>
                      </w:r>
                    </w:p>
                    <w:p w14:paraId="618509A8" w14:textId="566F6372" w:rsidR="00CA7AD4" w:rsidRPr="00241ACD" w:rsidRDefault="00CA7AD4" w:rsidP="00832F13">
                      <w:pPr>
                        <w:pStyle w:val="RSCF02FootnotestoTitleAuthors"/>
                      </w:pPr>
                      <w:r w:rsidRPr="00832F13">
                        <w:t>† Electronic Supplementary Information (ESI) available: CCDC-1853492, -1853493. For crystallographic data in CIF format see DOI: 10.1039/x0xx00000x</w:t>
                      </w:r>
                    </w:p>
                  </w:txbxContent>
                </v:textbox>
                <w10:wrap type="topAndBottom" anchory="margin"/>
                <w10:anchorlock/>
              </v:shape>
            </w:pict>
          </mc:Fallback>
        </mc:AlternateContent>
      </w:r>
      <w:r w:rsidR="00F62C8B" w:rsidRPr="007C45C4">
        <w:rPr>
          <w:lang w:val="en-US"/>
        </w:rPr>
        <w:t>Received 00th January 20</w:t>
      </w:r>
      <w:r w:rsidR="00F15F90" w:rsidRPr="007C45C4">
        <w:rPr>
          <w:lang w:val="en-US"/>
        </w:rPr>
        <w:t>xx</w:t>
      </w:r>
      <w:r w:rsidR="00F62C8B" w:rsidRPr="007C45C4">
        <w:rPr>
          <w:lang w:val="en-US"/>
        </w:rPr>
        <w:t>,</w:t>
      </w:r>
    </w:p>
    <w:p w14:paraId="27F2EA8B" w14:textId="77777777" w:rsidR="00F62C8B" w:rsidRPr="007C45C4" w:rsidRDefault="00F62C8B" w:rsidP="004C531E">
      <w:pPr>
        <w:pStyle w:val="RSCM01ReceivedAccepted"/>
        <w:rPr>
          <w:lang w:val="en-US"/>
        </w:rPr>
      </w:pPr>
      <w:r w:rsidRPr="007C45C4">
        <w:rPr>
          <w:lang w:val="en-US"/>
        </w:rPr>
        <w:t>Accepted 00th January 20</w:t>
      </w:r>
      <w:r w:rsidR="00F15F90" w:rsidRPr="007C45C4">
        <w:rPr>
          <w:lang w:val="en-US"/>
        </w:rPr>
        <w:t>xx</w:t>
      </w:r>
    </w:p>
    <w:p w14:paraId="2D1CA193" w14:textId="77777777" w:rsidR="00F62C8B" w:rsidRPr="007C45C4" w:rsidRDefault="00F62C8B" w:rsidP="004C531E">
      <w:pPr>
        <w:pStyle w:val="RSCM02DOI"/>
        <w:rPr>
          <w:lang w:val="en-US"/>
        </w:rPr>
      </w:pPr>
      <w:r w:rsidRPr="007C45C4">
        <w:rPr>
          <w:lang w:val="en-US"/>
        </w:rPr>
        <w:t>DOI: 10.1039/x0xx00000x</w:t>
      </w:r>
    </w:p>
    <w:p w14:paraId="3E6F5E64" w14:textId="77777777" w:rsidR="00A9649E" w:rsidRPr="007C45C4" w:rsidRDefault="00A9649E" w:rsidP="004C531E">
      <w:pPr>
        <w:pStyle w:val="RSCM03Website"/>
        <w:rPr>
          <w:lang w:val="en-US"/>
        </w:rPr>
      </w:pPr>
    </w:p>
    <w:p w14:paraId="518501F0" w14:textId="4E73540A" w:rsidR="004414A5" w:rsidRPr="007C45C4" w:rsidRDefault="00F62C8B" w:rsidP="00C32EDF">
      <w:pPr>
        <w:pStyle w:val="RSCH01PaperTitle"/>
        <w:rPr>
          <w:lang w:val="en-US"/>
        </w:rPr>
      </w:pPr>
      <w:r w:rsidRPr="007C45C4">
        <w:rPr>
          <w:lang w:val="en-US"/>
        </w:rPr>
        <w:br w:type="column"/>
      </w:r>
      <w:r w:rsidR="0037505D" w:rsidRPr="007C45C4">
        <w:rPr>
          <w:lang w:val="en-US"/>
        </w:rPr>
        <w:t xml:space="preserve">Enhanced cytotoxicity of indenyl </w:t>
      </w:r>
      <w:proofErr w:type="gramStart"/>
      <w:r w:rsidR="0037505D" w:rsidRPr="007C45C4">
        <w:rPr>
          <w:lang w:val="en-US"/>
        </w:rPr>
        <w:t>molybdenum(</w:t>
      </w:r>
      <w:proofErr w:type="gramEnd"/>
      <w:r w:rsidR="0037505D" w:rsidRPr="007C45C4">
        <w:rPr>
          <w:lang w:val="en-US"/>
        </w:rPr>
        <w:t>II) compounds bearing thiophene function</w:t>
      </w:r>
      <w:r w:rsidR="00832F13" w:rsidRPr="007C45C4">
        <w:rPr>
          <w:vertAlign w:val="superscript"/>
          <w:lang w:val="en-US"/>
        </w:rPr>
        <w:t>†</w:t>
      </w:r>
    </w:p>
    <w:p w14:paraId="76A82555" w14:textId="5F233F83" w:rsidR="008125A0" w:rsidRPr="007C45C4" w:rsidRDefault="0037505D" w:rsidP="008125A0">
      <w:pPr>
        <w:pStyle w:val="RSCB01ARTAbstract"/>
        <w:rPr>
          <w:rFonts w:cs="Times New Roman"/>
          <w:sz w:val="20"/>
          <w:vertAlign w:val="superscript"/>
          <w:lang w:val="en-US"/>
        </w:rPr>
      </w:pPr>
      <w:r w:rsidRPr="007C45C4">
        <w:rPr>
          <w:rFonts w:cs="Times New Roman"/>
          <w:sz w:val="20"/>
          <w:lang w:val="en-US"/>
        </w:rPr>
        <w:t>Ondřej Mrózek,</w:t>
      </w:r>
      <w:r w:rsidRPr="007C45C4">
        <w:rPr>
          <w:rFonts w:cs="Times New Roman"/>
          <w:sz w:val="20"/>
          <w:vertAlign w:val="superscript"/>
          <w:lang w:val="en-US"/>
        </w:rPr>
        <w:t>a</w:t>
      </w:r>
      <w:r w:rsidRPr="007C45C4">
        <w:rPr>
          <w:rFonts w:cs="Times New Roman"/>
          <w:sz w:val="20"/>
          <w:lang w:val="en-US"/>
        </w:rPr>
        <w:t xml:space="preserve"> Lucie Melounková,</w:t>
      </w:r>
      <w:r w:rsidRPr="007C45C4">
        <w:rPr>
          <w:rFonts w:cs="Times New Roman"/>
          <w:sz w:val="20"/>
          <w:vertAlign w:val="superscript"/>
          <w:lang w:val="en-US"/>
        </w:rPr>
        <w:t>b,c</w:t>
      </w:r>
      <w:r w:rsidRPr="007C45C4">
        <w:rPr>
          <w:rFonts w:cs="Times New Roman"/>
          <w:sz w:val="20"/>
          <w:lang w:val="en-US"/>
        </w:rPr>
        <w:t xml:space="preserve"> Libor Dostál,</w:t>
      </w:r>
      <w:r w:rsidRPr="007C45C4">
        <w:rPr>
          <w:rFonts w:cs="Times New Roman"/>
          <w:sz w:val="20"/>
          <w:vertAlign w:val="superscript"/>
          <w:lang w:val="en-US"/>
        </w:rPr>
        <w:t>a</w:t>
      </w:r>
      <w:r w:rsidRPr="007C45C4">
        <w:rPr>
          <w:rFonts w:cs="Times New Roman"/>
          <w:sz w:val="20"/>
          <w:lang w:val="en-US"/>
        </w:rPr>
        <w:t xml:space="preserve"> Ivana Císařová,</w:t>
      </w:r>
      <w:r w:rsidRPr="007C45C4">
        <w:rPr>
          <w:rFonts w:cs="Times New Roman"/>
          <w:sz w:val="20"/>
          <w:vertAlign w:val="superscript"/>
          <w:lang w:val="en-US"/>
        </w:rPr>
        <w:t>d</w:t>
      </w:r>
      <w:r w:rsidRPr="007C45C4">
        <w:rPr>
          <w:rFonts w:cs="Times New Roman"/>
          <w:sz w:val="20"/>
          <w:lang w:val="en-US"/>
        </w:rPr>
        <w:t xml:space="preserve"> Aleš Eisner,</w:t>
      </w:r>
      <w:r w:rsidRPr="007C45C4">
        <w:rPr>
          <w:rFonts w:cs="Times New Roman"/>
          <w:sz w:val="20"/>
          <w:vertAlign w:val="superscript"/>
          <w:lang w:val="en-US"/>
        </w:rPr>
        <w:t>b</w:t>
      </w:r>
      <w:r w:rsidR="001E60F9" w:rsidRPr="007C45C4">
        <w:rPr>
          <w:rFonts w:cs="Times New Roman"/>
          <w:sz w:val="20"/>
          <w:vertAlign w:val="superscript"/>
          <w:lang w:val="en-US"/>
        </w:rPr>
        <w:t xml:space="preserve"> </w:t>
      </w:r>
      <w:r w:rsidR="009D5953" w:rsidRPr="007C45C4">
        <w:rPr>
          <w:rFonts w:cs="Times New Roman"/>
          <w:sz w:val="20"/>
          <w:lang w:val="en-US"/>
        </w:rPr>
        <w:t>Radim Havelek,</w:t>
      </w:r>
      <w:r w:rsidR="001E60F9" w:rsidRPr="007C45C4">
        <w:rPr>
          <w:rFonts w:cs="Times New Roman"/>
          <w:sz w:val="20"/>
          <w:vertAlign w:val="superscript"/>
          <w:lang w:val="en-US"/>
        </w:rPr>
        <w:t>c</w:t>
      </w:r>
      <w:r w:rsidR="009D5953" w:rsidRPr="007C45C4">
        <w:rPr>
          <w:rFonts w:cs="Times New Roman"/>
          <w:sz w:val="20"/>
          <w:lang w:val="en-US"/>
        </w:rPr>
        <w:t xml:space="preserve"> Eva Peterová</w:t>
      </w:r>
      <w:r w:rsidR="001E60F9" w:rsidRPr="007C45C4">
        <w:rPr>
          <w:rFonts w:cs="Times New Roman"/>
          <w:sz w:val="20"/>
          <w:lang w:val="en-US"/>
        </w:rPr>
        <w:t>,</w:t>
      </w:r>
      <w:r w:rsidR="009D5953" w:rsidRPr="007C45C4">
        <w:rPr>
          <w:rFonts w:cs="Times New Roman"/>
          <w:sz w:val="20"/>
          <w:vertAlign w:val="superscript"/>
          <w:lang w:val="en-US"/>
        </w:rPr>
        <w:t>c,</w:t>
      </w:r>
      <w:r w:rsidR="001E60F9" w:rsidRPr="007C45C4">
        <w:rPr>
          <w:rFonts w:cs="Times New Roman"/>
          <w:sz w:val="20"/>
          <w:vertAlign w:val="superscript"/>
          <w:lang w:val="en-US"/>
        </w:rPr>
        <w:t xml:space="preserve">e </w:t>
      </w:r>
      <w:r w:rsidRPr="007C45C4">
        <w:rPr>
          <w:rFonts w:cs="Times New Roman"/>
          <w:sz w:val="20"/>
          <w:lang w:val="en-US"/>
        </w:rPr>
        <w:t xml:space="preserve">Jan Honzíček </w:t>
      </w:r>
      <w:r w:rsidRPr="007C45C4">
        <w:rPr>
          <w:rFonts w:cs="Times New Roman"/>
          <w:sz w:val="20"/>
          <w:vertAlign w:val="superscript"/>
          <w:lang w:val="en-US"/>
        </w:rPr>
        <w:t>*</w:t>
      </w:r>
      <w:r w:rsidR="001E60F9" w:rsidRPr="007C45C4">
        <w:rPr>
          <w:rFonts w:cs="Times New Roman"/>
          <w:sz w:val="20"/>
          <w:vertAlign w:val="superscript"/>
          <w:lang w:val="en-US"/>
        </w:rPr>
        <w:t>f</w:t>
      </w:r>
      <w:r w:rsidRPr="007C45C4">
        <w:rPr>
          <w:rFonts w:cs="Times New Roman"/>
          <w:sz w:val="20"/>
          <w:lang w:val="en-US"/>
        </w:rPr>
        <w:t xml:space="preserve"> and Jaromír Vinklárek </w:t>
      </w:r>
      <w:r w:rsidRPr="007C45C4">
        <w:rPr>
          <w:rFonts w:cs="Times New Roman"/>
          <w:sz w:val="20"/>
          <w:vertAlign w:val="superscript"/>
          <w:lang w:val="en-US"/>
        </w:rPr>
        <w:t>*a</w:t>
      </w:r>
    </w:p>
    <w:p w14:paraId="614C6F60" w14:textId="188A630D" w:rsidR="00870E54" w:rsidRDefault="0037505D" w:rsidP="00870E54">
      <w:pPr>
        <w:pStyle w:val="RSCB01ARTAbstract"/>
        <w:rPr>
          <w:lang w:val="en-US"/>
        </w:rPr>
      </w:pPr>
      <w:r w:rsidRPr="007C45C4">
        <w:rPr>
          <w:lang w:val="en-US"/>
        </w:rPr>
        <w:t xml:space="preserve">A series of the </w:t>
      </w:r>
      <w:r w:rsidR="00E63D72">
        <w:rPr>
          <w:lang w:val="en-US"/>
        </w:rPr>
        <w:t xml:space="preserve">six </w:t>
      </w:r>
      <w:r w:rsidRPr="007C45C4">
        <w:rPr>
          <w:lang w:val="en-US"/>
        </w:rPr>
        <w:t>indenyl molybdenum compounds bearing thiophe</w:t>
      </w:r>
      <w:r w:rsidR="00F633EC" w:rsidRPr="007C45C4">
        <w:rPr>
          <w:lang w:val="en-US"/>
        </w:rPr>
        <w:t xml:space="preserve">nyl function in the side chain </w:t>
      </w:r>
      <w:r w:rsidRPr="007C45C4">
        <w:rPr>
          <w:lang w:val="en-US"/>
        </w:rPr>
        <w:t>w</w:t>
      </w:r>
      <w:r w:rsidR="00DC2F2A">
        <w:rPr>
          <w:lang w:val="en-US"/>
        </w:rPr>
        <w:t>as</w:t>
      </w:r>
      <w:r w:rsidRPr="007C45C4">
        <w:rPr>
          <w:lang w:val="en-US"/>
        </w:rPr>
        <w:t xml:space="preserve"> prepared and characterized by the analytical and spectroscopic methods. Structures of </w:t>
      </w:r>
      <w:r w:rsidRPr="007C45C4">
        <w:rPr>
          <w:rFonts w:cs="Arial"/>
          <w:bCs/>
          <w:lang w:val="en-US"/>
        </w:rPr>
        <w:t>[(</w:t>
      </w:r>
      <w:r w:rsidRPr="007C45C4">
        <w:rPr>
          <w:rFonts w:cs="Arial"/>
          <w:bCs/>
          <w:i/>
          <w:lang w:val="en-US"/>
        </w:rPr>
        <w:t>η</w:t>
      </w:r>
      <w:r w:rsidRPr="007C45C4">
        <w:rPr>
          <w:rFonts w:cs="Arial"/>
          <w:bCs/>
          <w:vertAlign w:val="superscript"/>
          <w:lang w:val="en-US"/>
        </w:rPr>
        <w:t>5</w:t>
      </w:r>
      <w:r w:rsidRPr="007C45C4">
        <w:rPr>
          <w:rFonts w:cs="Arial"/>
          <w:bCs/>
          <w:lang w:val="en-US"/>
        </w:rPr>
        <w:t>-C</w:t>
      </w:r>
      <w:r w:rsidRPr="007C45C4">
        <w:rPr>
          <w:rFonts w:cs="Arial"/>
          <w:bCs/>
          <w:vertAlign w:val="subscript"/>
          <w:lang w:val="en-US"/>
        </w:rPr>
        <w:t>9</w:t>
      </w:r>
      <w:r w:rsidRPr="007C45C4">
        <w:rPr>
          <w:rFonts w:cs="Arial"/>
          <w:bCs/>
          <w:lang w:val="en-US"/>
        </w:rPr>
        <w:t>H</w:t>
      </w:r>
      <w:r w:rsidRPr="007C45C4">
        <w:rPr>
          <w:rFonts w:cs="Arial"/>
          <w:bCs/>
          <w:vertAlign w:val="subscript"/>
          <w:lang w:val="en-US"/>
        </w:rPr>
        <w:t>6</w:t>
      </w:r>
      <w:r w:rsidRPr="007C45C4">
        <w:rPr>
          <w:rFonts w:cs="Arial"/>
          <w:bCs/>
          <w:lang w:val="en-US"/>
        </w:rPr>
        <w:t>CH</w:t>
      </w:r>
      <w:r w:rsidRPr="007C45C4">
        <w:rPr>
          <w:rFonts w:cs="Arial"/>
          <w:bCs/>
          <w:vertAlign w:val="subscript"/>
          <w:lang w:val="en-US"/>
        </w:rPr>
        <w:t>2</w:t>
      </w:r>
      <w:r w:rsidRPr="007C45C4">
        <w:rPr>
          <w:rFonts w:cs="Arial"/>
          <w:bCs/>
          <w:lang w:val="en-US"/>
        </w:rPr>
        <w:t>C</w:t>
      </w:r>
      <w:r w:rsidRPr="007C45C4">
        <w:rPr>
          <w:rFonts w:cs="Arial"/>
          <w:bCs/>
          <w:vertAlign w:val="subscript"/>
          <w:lang w:val="en-US"/>
        </w:rPr>
        <w:t>4</w:t>
      </w:r>
      <w:r w:rsidRPr="007C45C4">
        <w:rPr>
          <w:rFonts w:cs="Arial"/>
          <w:bCs/>
          <w:lang w:val="en-US"/>
        </w:rPr>
        <w:t>H</w:t>
      </w:r>
      <w:r w:rsidRPr="007C45C4">
        <w:rPr>
          <w:rFonts w:cs="Arial"/>
          <w:bCs/>
          <w:vertAlign w:val="subscript"/>
          <w:lang w:val="en-US"/>
        </w:rPr>
        <w:t>3</w:t>
      </w:r>
      <w:r w:rsidRPr="007C45C4">
        <w:rPr>
          <w:rFonts w:cs="Arial"/>
          <w:bCs/>
          <w:lang w:val="en-US"/>
        </w:rPr>
        <w:t>S)(η</w:t>
      </w:r>
      <w:r w:rsidRPr="007C45C4">
        <w:rPr>
          <w:rFonts w:cs="Arial"/>
          <w:bCs/>
          <w:vertAlign w:val="superscript"/>
          <w:lang w:val="en-US"/>
        </w:rPr>
        <w:t>3</w:t>
      </w:r>
      <w:r w:rsidRPr="007C45C4">
        <w:rPr>
          <w:rFonts w:cs="Arial"/>
          <w:bCs/>
          <w:lang w:val="en-US"/>
        </w:rPr>
        <w:t>-C</w:t>
      </w:r>
      <w:r w:rsidRPr="007C45C4">
        <w:rPr>
          <w:rFonts w:cs="Arial"/>
          <w:bCs/>
          <w:vertAlign w:val="subscript"/>
          <w:lang w:val="en-US"/>
        </w:rPr>
        <w:t>3</w:t>
      </w:r>
      <w:r w:rsidRPr="007C45C4">
        <w:rPr>
          <w:rFonts w:cs="Arial"/>
          <w:bCs/>
          <w:lang w:val="en-US"/>
        </w:rPr>
        <w:t>H</w:t>
      </w:r>
      <w:r w:rsidRPr="007C45C4">
        <w:rPr>
          <w:rFonts w:cs="Arial"/>
          <w:bCs/>
          <w:vertAlign w:val="subscript"/>
          <w:lang w:val="en-US"/>
        </w:rPr>
        <w:t>5</w:t>
      </w:r>
      <w:r w:rsidRPr="007C45C4">
        <w:rPr>
          <w:rFonts w:cs="Arial"/>
          <w:bCs/>
          <w:lang w:val="en-US"/>
        </w:rPr>
        <w:t>)Mo(CO)</w:t>
      </w:r>
      <w:r w:rsidRPr="007C45C4">
        <w:rPr>
          <w:rFonts w:cs="Arial"/>
          <w:bCs/>
          <w:vertAlign w:val="subscript"/>
          <w:lang w:val="en-US"/>
        </w:rPr>
        <w:t>2</w:t>
      </w:r>
      <w:r w:rsidR="00E63D72">
        <w:rPr>
          <w:rFonts w:cs="Arial"/>
          <w:bCs/>
          <w:lang w:val="en-US"/>
        </w:rPr>
        <w:t>] a</w:t>
      </w:r>
      <w:r w:rsidRPr="007C45C4">
        <w:rPr>
          <w:lang w:val="en-US"/>
        </w:rPr>
        <w:t xml:space="preserve">nd </w:t>
      </w:r>
      <w:r w:rsidRPr="007C45C4">
        <w:rPr>
          <w:rFonts w:cs="Arial"/>
          <w:bCs/>
          <w:lang w:val="en-US"/>
        </w:rPr>
        <w:t>[(</w:t>
      </w:r>
      <w:r w:rsidRPr="007C45C4">
        <w:rPr>
          <w:rFonts w:cs="Arial"/>
          <w:bCs/>
          <w:i/>
          <w:lang w:val="en-US"/>
        </w:rPr>
        <w:t>η</w:t>
      </w:r>
      <w:r w:rsidRPr="007C45C4">
        <w:rPr>
          <w:rFonts w:cs="Arial"/>
          <w:bCs/>
          <w:vertAlign w:val="superscript"/>
          <w:lang w:val="en-US"/>
        </w:rPr>
        <w:t>5</w:t>
      </w:r>
      <w:r w:rsidRPr="007C45C4">
        <w:rPr>
          <w:rFonts w:cs="Arial"/>
          <w:bCs/>
          <w:lang w:val="en-US"/>
        </w:rPr>
        <w:t>-C</w:t>
      </w:r>
      <w:r w:rsidRPr="007C45C4">
        <w:rPr>
          <w:rFonts w:cs="Arial"/>
          <w:bCs/>
          <w:vertAlign w:val="subscript"/>
          <w:lang w:val="en-US"/>
        </w:rPr>
        <w:t>9</w:t>
      </w:r>
      <w:r w:rsidRPr="007C45C4">
        <w:rPr>
          <w:rFonts w:cs="Arial"/>
          <w:bCs/>
          <w:lang w:val="en-US"/>
        </w:rPr>
        <w:t>H</w:t>
      </w:r>
      <w:r w:rsidRPr="007C45C4">
        <w:rPr>
          <w:rFonts w:cs="Arial"/>
          <w:bCs/>
          <w:vertAlign w:val="subscript"/>
          <w:lang w:val="en-US"/>
        </w:rPr>
        <w:t>6</w:t>
      </w:r>
      <w:r w:rsidRPr="007C45C4">
        <w:rPr>
          <w:rFonts w:cs="Arial"/>
          <w:bCs/>
          <w:lang w:val="en-US"/>
        </w:rPr>
        <w:t>CH</w:t>
      </w:r>
      <w:r w:rsidRPr="007C45C4">
        <w:rPr>
          <w:rFonts w:cs="Arial"/>
          <w:bCs/>
          <w:vertAlign w:val="subscript"/>
          <w:lang w:val="en-US"/>
        </w:rPr>
        <w:t>2</w:t>
      </w:r>
      <w:r w:rsidRPr="007C45C4">
        <w:rPr>
          <w:rFonts w:cs="Arial"/>
          <w:bCs/>
          <w:lang w:val="en-US"/>
        </w:rPr>
        <w:t>C</w:t>
      </w:r>
      <w:r w:rsidRPr="007C45C4">
        <w:rPr>
          <w:rFonts w:cs="Arial"/>
          <w:bCs/>
          <w:vertAlign w:val="subscript"/>
          <w:lang w:val="en-US"/>
        </w:rPr>
        <w:t>4</w:t>
      </w:r>
      <w:r w:rsidRPr="007C45C4">
        <w:rPr>
          <w:rFonts w:cs="Arial"/>
          <w:bCs/>
          <w:lang w:val="en-US"/>
        </w:rPr>
        <w:t>H</w:t>
      </w:r>
      <w:r w:rsidRPr="007C45C4">
        <w:rPr>
          <w:rFonts w:cs="Arial"/>
          <w:bCs/>
          <w:vertAlign w:val="subscript"/>
          <w:lang w:val="en-US"/>
        </w:rPr>
        <w:t>3</w:t>
      </w:r>
      <w:r w:rsidRPr="007C45C4">
        <w:rPr>
          <w:rFonts w:cs="Arial"/>
          <w:bCs/>
          <w:lang w:val="en-US"/>
        </w:rPr>
        <w:t>S)Mo(CO)</w:t>
      </w:r>
      <w:r w:rsidRPr="007C45C4">
        <w:rPr>
          <w:rFonts w:cs="Arial"/>
          <w:bCs/>
          <w:vertAlign w:val="subscript"/>
          <w:lang w:val="en-US"/>
        </w:rPr>
        <w:t>2</w:t>
      </w:r>
      <w:r w:rsidRPr="007C45C4">
        <w:rPr>
          <w:rFonts w:cs="Arial"/>
          <w:bCs/>
          <w:lang w:val="en-US"/>
        </w:rPr>
        <w:t>(bpy)][BF</w:t>
      </w:r>
      <w:r w:rsidRPr="007C45C4">
        <w:rPr>
          <w:rFonts w:cs="Arial"/>
          <w:bCs/>
          <w:vertAlign w:val="subscript"/>
          <w:lang w:val="en-US"/>
        </w:rPr>
        <w:t>4</w:t>
      </w:r>
      <w:r w:rsidRPr="007C45C4">
        <w:rPr>
          <w:rFonts w:cs="Arial"/>
          <w:bCs/>
          <w:lang w:val="en-US"/>
        </w:rPr>
        <w:t xml:space="preserve">] </w:t>
      </w:r>
      <w:r w:rsidRPr="007C45C4">
        <w:rPr>
          <w:lang w:val="en-US"/>
        </w:rPr>
        <w:t>were determined by the single-crystal X-ray diffraction.</w:t>
      </w:r>
      <w:r w:rsidR="00E63D72">
        <w:rPr>
          <w:lang w:val="en-US"/>
        </w:rPr>
        <w:t xml:space="preserve"> The</w:t>
      </w:r>
      <w:r w:rsidRPr="007C45C4">
        <w:rPr>
          <w:lang w:val="en-US"/>
        </w:rPr>
        <w:t xml:space="preserve"> compounds </w:t>
      </w:r>
      <w:r w:rsidR="00E63D72">
        <w:rPr>
          <w:lang w:val="en-US"/>
        </w:rPr>
        <w:t xml:space="preserve">bearing </w:t>
      </w:r>
      <w:r w:rsidR="00E63D72" w:rsidRPr="00E63D72">
        <w:rPr>
          <w:i/>
          <w:lang w:val="en-US"/>
        </w:rPr>
        <w:t>N,N</w:t>
      </w:r>
      <w:r w:rsidR="00E63D72">
        <w:rPr>
          <w:lang w:val="en-US"/>
        </w:rPr>
        <w:t xml:space="preserve">-chelating ligands </w:t>
      </w:r>
      <w:r w:rsidRPr="007C45C4">
        <w:rPr>
          <w:lang w:val="en-US"/>
        </w:rPr>
        <w:t xml:space="preserve">exhibit </w:t>
      </w:r>
      <w:r w:rsidR="00E63D72" w:rsidRPr="007C45C4">
        <w:rPr>
          <w:lang w:val="en-US"/>
        </w:rPr>
        <w:t xml:space="preserve">increased </w:t>
      </w:r>
      <w:r w:rsidR="00E63D72">
        <w:rPr>
          <w:lang w:val="en-US"/>
        </w:rPr>
        <w:t xml:space="preserve">cytotoxic </w:t>
      </w:r>
      <w:r w:rsidR="00E63D72" w:rsidRPr="007C45C4">
        <w:rPr>
          <w:lang w:val="en-US"/>
        </w:rPr>
        <w:t>activity against human leukemia cell lines MOLT-4</w:t>
      </w:r>
      <w:r w:rsidR="00E63D72">
        <w:rPr>
          <w:lang w:val="en-US"/>
        </w:rPr>
        <w:t xml:space="preserve">; </w:t>
      </w:r>
      <w:r w:rsidRPr="007C45C4">
        <w:rPr>
          <w:lang w:val="en-US"/>
        </w:rPr>
        <w:t xml:space="preserve">approximately two orders of magnitude </w:t>
      </w:r>
      <w:r w:rsidR="00CA3891">
        <w:rPr>
          <w:lang w:val="en-US"/>
        </w:rPr>
        <w:t xml:space="preserve">lower </w:t>
      </w:r>
      <w:r w:rsidR="00D46DF3">
        <w:rPr>
          <w:lang w:val="en-US"/>
        </w:rPr>
        <w:t>IC</w:t>
      </w:r>
      <w:r w:rsidR="00D46DF3" w:rsidRPr="00CA3891">
        <w:rPr>
          <w:vertAlign w:val="subscript"/>
          <w:lang w:val="en-US"/>
        </w:rPr>
        <w:t>50</w:t>
      </w:r>
      <w:r w:rsidR="00D46DF3" w:rsidRPr="00D46DF3">
        <w:rPr>
          <w:lang w:val="en-US"/>
        </w:rPr>
        <w:t xml:space="preserve"> </w:t>
      </w:r>
      <w:r w:rsidR="00CA3891">
        <w:rPr>
          <w:lang w:val="en-US"/>
        </w:rPr>
        <w:t xml:space="preserve">values were observed </w:t>
      </w:r>
      <w:r w:rsidRPr="007C45C4">
        <w:rPr>
          <w:lang w:val="en-US"/>
        </w:rPr>
        <w:t xml:space="preserve">compared to </w:t>
      </w:r>
      <w:r w:rsidR="00CA3891">
        <w:rPr>
          <w:lang w:val="en-US"/>
        </w:rPr>
        <w:t>analogues</w:t>
      </w:r>
      <w:r w:rsidRPr="007C45C4">
        <w:rPr>
          <w:lang w:val="en-US"/>
        </w:rPr>
        <w:t xml:space="preserve"> with unsubstituted indenyl</w:t>
      </w:r>
      <w:r w:rsidR="00D46DF3">
        <w:rPr>
          <w:lang w:val="en-US"/>
        </w:rPr>
        <w:t xml:space="preserve">, which </w:t>
      </w:r>
      <w:r w:rsidR="00D46DF3" w:rsidRPr="007C45C4">
        <w:rPr>
          <w:lang w:val="en-US"/>
        </w:rPr>
        <w:t>clearly demonstrate</w:t>
      </w:r>
      <w:r w:rsidR="00D46DF3">
        <w:rPr>
          <w:lang w:val="en-US"/>
        </w:rPr>
        <w:t>s</w:t>
      </w:r>
      <w:r w:rsidR="00D46DF3" w:rsidRPr="007C45C4">
        <w:rPr>
          <w:lang w:val="en-US"/>
        </w:rPr>
        <w:t xml:space="preserve"> </w:t>
      </w:r>
      <w:r w:rsidR="00A5631D">
        <w:rPr>
          <w:lang w:val="en-US"/>
        </w:rPr>
        <w:t xml:space="preserve">the </w:t>
      </w:r>
      <w:r w:rsidR="00D46DF3">
        <w:rPr>
          <w:lang w:val="en-US"/>
        </w:rPr>
        <w:t xml:space="preserve">strong effect of </w:t>
      </w:r>
      <w:r w:rsidR="00D46DF3" w:rsidRPr="007C45C4">
        <w:rPr>
          <w:lang w:val="en-US"/>
        </w:rPr>
        <w:t>the indenyl</w:t>
      </w:r>
      <w:r w:rsidR="00D46DF3">
        <w:rPr>
          <w:lang w:val="en-US"/>
        </w:rPr>
        <w:t xml:space="preserve"> ligand</w:t>
      </w:r>
      <w:r w:rsidR="00D46DF3" w:rsidRPr="007C45C4">
        <w:rPr>
          <w:lang w:val="en-US"/>
        </w:rPr>
        <w:t xml:space="preserve"> modification</w:t>
      </w:r>
      <w:r w:rsidR="00D46DF3">
        <w:rPr>
          <w:lang w:val="en-US"/>
        </w:rPr>
        <w:t xml:space="preserve"> on</w:t>
      </w:r>
      <w:r w:rsidR="00D46DF3" w:rsidRPr="007C45C4">
        <w:rPr>
          <w:lang w:val="en-US"/>
        </w:rPr>
        <w:t xml:space="preserve"> biological activity of</w:t>
      </w:r>
      <w:r w:rsidR="00D46DF3">
        <w:rPr>
          <w:lang w:val="en-US"/>
        </w:rPr>
        <w:t xml:space="preserve"> the molybdenum(II) compounds.</w:t>
      </w:r>
      <w:r w:rsidR="00D46DF3" w:rsidRPr="00E63D72">
        <w:rPr>
          <w:rFonts w:cs="Arial"/>
          <w:bCs/>
          <w:lang w:val="en-US"/>
        </w:rPr>
        <w:t xml:space="preserve"> </w:t>
      </w:r>
      <w:r w:rsidR="007741C5">
        <w:rPr>
          <w:rFonts w:cs="Arial"/>
          <w:bCs/>
          <w:lang w:val="en-US"/>
        </w:rPr>
        <w:t xml:space="preserve">The highest </w:t>
      </w:r>
      <w:r w:rsidR="00A558BE">
        <w:rPr>
          <w:rFonts w:cs="Arial"/>
          <w:bCs/>
          <w:lang w:val="en-US"/>
        </w:rPr>
        <w:t>cytostatic</w:t>
      </w:r>
      <w:r w:rsidR="007741C5">
        <w:rPr>
          <w:rFonts w:cs="Arial"/>
          <w:bCs/>
          <w:lang w:val="en-US"/>
        </w:rPr>
        <w:t xml:space="preserve"> poten</w:t>
      </w:r>
      <w:r w:rsidR="00630DA5">
        <w:rPr>
          <w:rFonts w:cs="Arial"/>
          <w:bCs/>
          <w:lang w:val="en-US"/>
        </w:rPr>
        <w:t>t</w:t>
      </w:r>
      <w:r w:rsidR="007741C5">
        <w:rPr>
          <w:rFonts w:cs="Arial"/>
          <w:bCs/>
          <w:lang w:val="en-US"/>
        </w:rPr>
        <w:t xml:space="preserve">ial was recognized for the </w:t>
      </w:r>
      <w:r w:rsidR="00A558BE">
        <w:rPr>
          <w:rFonts w:cs="Arial"/>
          <w:bCs/>
          <w:lang w:val="en-US"/>
        </w:rPr>
        <w:t>complex</w:t>
      </w:r>
      <w:r w:rsidR="007741C5">
        <w:rPr>
          <w:rFonts w:cs="Arial"/>
          <w:bCs/>
          <w:lang w:val="en-US"/>
        </w:rPr>
        <w:t xml:space="preserve"> bearing 4,7-diphenyl-1,10-phenanthtoline </w:t>
      </w:r>
      <w:r w:rsidR="007741C5" w:rsidRPr="007C45C4">
        <w:rPr>
          <w:rFonts w:cs="Arial"/>
          <w:bCs/>
          <w:lang w:val="en-US"/>
        </w:rPr>
        <w:t>[(</w:t>
      </w:r>
      <w:r w:rsidR="007741C5" w:rsidRPr="007C45C4">
        <w:rPr>
          <w:rFonts w:cs="Arial"/>
          <w:bCs/>
          <w:i/>
          <w:lang w:val="en-US"/>
        </w:rPr>
        <w:t>η</w:t>
      </w:r>
      <w:r w:rsidR="007741C5" w:rsidRPr="007C45C4">
        <w:rPr>
          <w:rFonts w:cs="Arial"/>
          <w:bCs/>
          <w:vertAlign w:val="superscript"/>
          <w:lang w:val="en-US"/>
        </w:rPr>
        <w:t>5</w:t>
      </w:r>
      <w:r w:rsidR="007741C5" w:rsidRPr="007C45C4">
        <w:rPr>
          <w:rFonts w:cs="Arial"/>
          <w:bCs/>
          <w:lang w:val="en-US"/>
        </w:rPr>
        <w:noBreakHyphen/>
        <w:t>C</w:t>
      </w:r>
      <w:r w:rsidR="007741C5" w:rsidRPr="007C45C4">
        <w:rPr>
          <w:rFonts w:cs="Arial"/>
          <w:bCs/>
          <w:vertAlign w:val="subscript"/>
          <w:lang w:val="en-US"/>
        </w:rPr>
        <w:t>9</w:t>
      </w:r>
      <w:r w:rsidR="007741C5" w:rsidRPr="007C45C4">
        <w:rPr>
          <w:rFonts w:cs="Arial"/>
          <w:bCs/>
          <w:lang w:val="en-US"/>
        </w:rPr>
        <w:t>H</w:t>
      </w:r>
      <w:r w:rsidR="007741C5" w:rsidRPr="007C45C4">
        <w:rPr>
          <w:rFonts w:cs="Arial"/>
          <w:bCs/>
          <w:vertAlign w:val="subscript"/>
          <w:lang w:val="en-US"/>
        </w:rPr>
        <w:t>6</w:t>
      </w:r>
      <w:r w:rsidR="007741C5" w:rsidRPr="007C45C4">
        <w:rPr>
          <w:rFonts w:cs="Arial"/>
          <w:bCs/>
          <w:lang w:val="en-US"/>
        </w:rPr>
        <w:t>CH</w:t>
      </w:r>
      <w:r w:rsidR="007741C5" w:rsidRPr="007C45C4">
        <w:rPr>
          <w:rFonts w:cs="Arial"/>
          <w:bCs/>
          <w:vertAlign w:val="subscript"/>
          <w:lang w:val="en-US"/>
        </w:rPr>
        <w:t>2</w:t>
      </w:r>
      <w:r w:rsidR="007741C5" w:rsidRPr="007C45C4">
        <w:rPr>
          <w:rFonts w:cs="Arial"/>
          <w:bCs/>
          <w:lang w:val="en-US"/>
        </w:rPr>
        <w:t>C</w:t>
      </w:r>
      <w:r w:rsidR="007741C5" w:rsidRPr="007C45C4">
        <w:rPr>
          <w:rFonts w:cs="Arial"/>
          <w:bCs/>
          <w:vertAlign w:val="subscript"/>
          <w:lang w:val="en-US"/>
        </w:rPr>
        <w:t>4</w:t>
      </w:r>
      <w:r w:rsidR="007741C5" w:rsidRPr="007C45C4">
        <w:rPr>
          <w:rFonts w:cs="Arial"/>
          <w:bCs/>
          <w:lang w:val="en-US"/>
        </w:rPr>
        <w:t>H</w:t>
      </w:r>
      <w:r w:rsidR="007741C5" w:rsidRPr="007C45C4">
        <w:rPr>
          <w:rFonts w:cs="Arial"/>
          <w:bCs/>
          <w:vertAlign w:val="subscript"/>
          <w:lang w:val="en-US"/>
        </w:rPr>
        <w:t>3</w:t>
      </w:r>
      <w:r w:rsidR="007741C5" w:rsidRPr="007C45C4">
        <w:rPr>
          <w:rFonts w:cs="Arial"/>
          <w:bCs/>
          <w:lang w:val="en-US"/>
        </w:rPr>
        <w:t>S)Mo(CO)</w:t>
      </w:r>
      <w:r w:rsidR="007741C5" w:rsidRPr="007C45C4">
        <w:rPr>
          <w:rFonts w:cs="Arial"/>
          <w:bCs/>
          <w:vertAlign w:val="subscript"/>
          <w:lang w:val="en-US"/>
        </w:rPr>
        <w:t>2</w:t>
      </w:r>
      <w:r w:rsidR="007741C5" w:rsidRPr="007C45C4">
        <w:rPr>
          <w:rFonts w:cs="Arial"/>
          <w:bCs/>
          <w:lang w:val="en-US"/>
        </w:rPr>
        <w:t>(</w:t>
      </w:r>
      <w:r w:rsidR="007741C5">
        <w:rPr>
          <w:rFonts w:cs="Arial"/>
          <w:bCs/>
          <w:lang w:val="en-US"/>
        </w:rPr>
        <w:t>Ph</w:t>
      </w:r>
      <w:r w:rsidR="007741C5" w:rsidRPr="007C45C4">
        <w:rPr>
          <w:rFonts w:cs="Arial"/>
          <w:bCs/>
          <w:vertAlign w:val="subscript"/>
          <w:lang w:val="en-US"/>
        </w:rPr>
        <w:t>2</w:t>
      </w:r>
      <w:r w:rsidR="00630DA5">
        <w:rPr>
          <w:rFonts w:cs="Arial"/>
          <w:bCs/>
          <w:lang w:val="en-US"/>
        </w:rPr>
        <w:t>p</w:t>
      </w:r>
      <w:r w:rsidR="007741C5">
        <w:rPr>
          <w:rFonts w:cs="Arial"/>
          <w:bCs/>
          <w:lang w:val="en-US"/>
        </w:rPr>
        <w:t>hen</w:t>
      </w:r>
      <w:r w:rsidR="007741C5" w:rsidRPr="007C45C4">
        <w:rPr>
          <w:rFonts w:cs="Arial"/>
          <w:bCs/>
          <w:lang w:val="en-US"/>
        </w:rPr>
        <w:t>)][BF</w:t>
      </w:r>
      <w:r w:rsidR="007741C5" w:rsidRPr="007C45C4">
        <w:rPr>
          <w:rFonts w:cs="Arial"/>
          <w:bCs/>
          <w:vertAlign w:val="subscript"/>
          <w:lang w:val="en-US"/>
        </w:rPr>
        <w:t>4</w:t>
      </w:r>
      <w:r w:rsidR="007741C5" w:rsidRPr="007C45C4">
        <w:rPr>
          <w:rFonts w:cs="Arial"/>
          <w:bCs/>
          <w:lang w:val="en-US"/>
        </w:rPr>
        <w:t>]</w:t>
      </w:r>
      <w:r w:rsidR="007741C5">
        <w:rPr>
          <w:rFonts w:cs="Arial"/>
          <w:bCs/>
          <w:lang w:val="en-US"/>
        </w:rPr>
        <w:t xml:space="preserve"> </w:t>
      </w:r>
      <w:r w:rsidR="00A558BE">
        <w:rPr>
          <w:rFonts w:cs="Arial"/>
          <w:bCs/>
          <w:lang w:val="en-US"/>
        </w:rPr>
        <w:t>with IC</w:t>
      </w:r>
      <w:r w:rsidR="00A558BE" w:rsidRPr="00A558BE">
        <w:rPr>
          <w:rFonts w:cs="Arial"/>
          <w:bCs/>
          <w:vertAlign w:val="subscript"/>
          <w:lang w:val="en-US"/>
        </w:rPr>
        <w:t>50</w:t>
      </w:r>
      <w:r w:rsidR="00A558BE">
        <w:rPr>
          <w:rFonts w:cs="Arial"/>
          <w:bCs/>
          <w:lang w:val="en-US"/>
        </w:rPr>
        <w:t xml:space="preserve"> (MOLT-4) = 0.19 </w:t>
      </w:r>
      <w:r w:rsidR="00A558BE">
        <w:rPr>
          <w:rFonts w:cstheme="minorHAnsi"/>
          <w:bCs/>
          <w:lang w:val="en-US"/>
        </w:rPr>
        <w:t>±</w:t>
      </w:r>
      <w:r w:rsidR="00A558BE">
        <w:rPr>
          <w:rFonts w:cs="Arial"/>
          <w:bCs/>
          <w:lang w:val="en-US"/>
        </w:rPr>
        <w:t xml:space="preserve"> 0.02 </w:t>
      </w:r>
      <w:r w:rsidR="00A558BE">
        <w:rPr>
          <w:rFonts w:cstheme="minorHAnsi"/>
          <w:bCs/>
          <w:lang w:val="en-US"/>
        </w:rPr>
        <w:t>μ</w:t>
      </w:r>
      <w:r w:rsidR="00A558BE">
        <w:rPr>
          <w:rFonts w:cs="Arial"/>
          <w:bCs/>
          <w:lang w:val="en-US"/>
        </w:rPr>
        <w:t xml:space="preserve">M. Detailed </w:t>
      </w:r>
      <w:r w:rsidR="00870E54" w:rsidRPr="007C45C4">
        <w:rPr>
          <w:lang w:val="en-US"/>
        </w:rPr>
        <w:t>regulation</w:t>
      </w:r>
      <w:r w:rsidR="00870E54">
        <w:rPr>
          <w:lang w:val="en-US"/>
        </w:rPr>
        <w:t xml:space="preserve"> of </w:t>
      </w:r>
      <w:r w:rsidR="00A558BE">
        <w:rPr>
          <w:rFonts w:cs="Arial"/>
          <w:bCs/>
          <w:lang w:val="en-US"/>
        </w:rPr>
        <w:t>molecular and cel</w:t>
      </w:r>
      <w:r w:rsidR="00630DA5">
        <w:rPr>
          <w:rFonts w:cs="Arial"/>
          <w:bCs/>
          <w:lang w:val="en-US"/>
        </w:rPr>
        <w:t>l</w:t>
      </w:r>
      <w:r w:rsidR="00F94577">
        <w:rPr>
          <w:rFonts w:cs="Arial"/>
          <w:bCs/>
          <w:lang w:val="en-US"/>
        </w:rPr>
        <w:t>ular</w:t>
      </w:r>
      <w:r w:rsidR="00A558BE">
        <w:rPr>
          <w:rFonts w:cs="Arial"/>
          <w:bCs/>
          <w:lang w:val="en-US"/>
        </w:rPr>
        <w:t xml:space="preserve"> mechanism </w:t>
      </w:r>
      <w:r w:rsidR="00870E54">
        <w:rPr>
          <w:rFonts w:cs="Arial"/>
          <w:bCs/>
          <w:lang w:val="en-US"/>
        </w:rPr>
        <w:t>by</w:t>
      </w:r>
      <w:r w:rsidR="00A558BE">
        <w:rPr>
          <w:rFonts w:cs="Arial"/>
          <w:bCs/>
          <w:lang w:val="en-US"/>
        </w:rPr>
        <w:t xml:space="preserve"> this derivative was investigated on </w:t>
      </w:r>
      <w:r w:rsidR="00A558BE" w:rsidRPr="00A558BE">
        <w:rPr>
          <w:rFonts w:cs="Arial"/>
          <w:bCs/>
          <w:lang w:val="en-US"/>
        </w:rPr>
        <w:t xml:space="preserve">lung carcinoma cell line A549 </w:t>
      </w:r>
      <w:r w:rsidR="00A558BE">
        <w:rPr>
          <w:rFonts w:cs="Arial"/>
          <w:bCs/>
          <w:lang w:val="en-US"/>
        </w:rPr>
        <w:t xml:space="preserve">and compared with </w:t>
      </w:r>
      <w:r w:rsidR="00A558BE" w:rsidRPr="007C45C4">
        <w:rPr>
          <w:lang w:val="en-US"/>
        </w:rPr>
        <w:t>lung fibroblast cell line</w:t>
      </w:r>
      <w:r w:rsidR="00870E54" w:rsidRPr="00870E54">
        <w:rPr>
          <w:lang w:val="en-US"/>
        </w:rPr>
        <w:t xml:space="preserve"> </w:t>
      </w:r>
      <w:r w:rsidR="00870E54" w:rsidRPr="007C45C4">
        <w:rPr>
          <w:lang w:val="en-US"/>
        </w:rPr>
        <w:t>MRC-5</w:t>
      </w:r>
      <w:r w:rsidR="00870E54">
        <w:rPr>
          <w:lang w:val="en-US"/>
        </w:rPr>
        <w:t xml:space="preserve">. </w:t>
      </w:r>
      <w:r w:rsidR="00A5631D">
        <w:rPr>
          <w:lang w:val="en-US"/>
        </w:rPr>
        <w:t xml:space="preserve">Rather unusual </w:t>
      </w:r>
      <w:r w:rsidR="00870E54">
        <w:rPr>
          <w:lang w:val="en-US"/>
        </w:rPr>
        <w:t>differences in the</w:t>
      </w:r>
      <w:r w:rsidR="00A5631D">
        <w:rPr>
          <w:lang w:val="en-US"/>
        </w:rPr>
        <w:t xml:space="preserve"> effects on</w:t>
      </w:r>
      <w:r w:rsidR="00870E54">
        <w:rPr>
          <w:lang w:val="en-US"/>
        </w:rPr>
        <w:t xml:space="preserve"> tumor and non-tumor cell lines provide an </w:t>
      </w:r>
      <w:r w:rsidR="00870E54" w:rsidRPr="007C45C4">
        <w:rPr>
          <w:lang w:val="en-US"/>
        </w:rPr>
        <w:t>unique insight</w:t>
      </w:r>
      <w:r w:rsidR="00870E54">
        <w:rPr>
          <w:lang w:val="en-US"/>
        </w:rPr>
        <w:t xml:space="preserve"> into cytostatic action of molybdenum(II) complexes. </w:t>
      </w:r>
    </w:p>
    <w:p w14:paraId="7F03320D" w14:textId="77777777" w:rsidR="00E63D72" w:rsidRPr="007C45C4" w:rsidRDefault="00E63D72" w:rsidP="00FA2DA2">
      <w:pPr>
        <w:pStyle w:val="RSCB01ARTAbstract"/>
        <w:rPr>
          <w:lang w:val="en-US"/>
        </w:rPr>
        <w:sectPr w:rsidR="00E63D72" w:rsidRPr="007C45C4" w:rsidSect="00514CBA">
          <w:headerReference w:type="even" r:id="rId8"/>
          <w:headerReference w:type="default" r:id="rId9"/>
          <w:footerReference w:type="even" r:id="rId10"/>
          <w:footerReference w:type="default" r:id="rId11"/>
          <w:headerReference w:type="first" r:id="rId12"/>
          <w:footerReference w:type="first" r:id="rId13"/>
          <w:pgSz w:w="11907" w:h="16840" w:code="9"/>
          <w:pgMar w:top="1009" w:right="851" w:bottom="1758" w:left="851" w:header="851" w:footer="1049" w:gutter="0"/>
          <w:cols w:num="2" w:space="227" w:equalWidth="0">
            <w:col w:w="1985" w:space="227"/>
            <w:col w:w="7993"/>
          </w:cols>
          <w:titlePg/>
          <w:docGrid w:linePitch="360"/>
        </w:sectPr>
      </w:pPr>
    </w:p>
    <w:p w14:paraId="50A201F5" w14:textId="77777777" w:rsidR="00FA2DA2" w:rsidRPr="007C45C4" w:rsidRDefault="003942F5" w:rsidP="00FA2DA2">
      <w:pPr>
        <w:pStyle w:val="RSCB04AHeadingSection"/>
        <w:rPr>
          <w:lang w:val="en-US"/>
        </w:rPr>
      </w:pPr>
      <w:r w:rsidRPr="007C45C4">
        <w:rPr>
          <w:lang w:val="en-US"/>
        </w:rPr>
        <w:t>Introduction</w:t>
      </w:r>
    </w:p>
    <w:p w14:paraId="7231F063" w14:textId="15183BE7" w:rsidR="003942F5" w:rsidRPr="007C45C4" w:rsidRDefault="003942F5" w:rsidP="003942F5">
      <w:pPr>
        <w:pStyle w:val="RSCB02ArticleText"/>
        <w:rPr>
          <w:lang w:val="en-US"/>
        </w:rPr>
      </w:pPr>
      <w:r w:rsidRPr="007C45C4">
        <w:rPr>
          <w:lang w:val="en-US"/>
        </w:rPr>
        <w:t>The area of biological active cyclopentadienyl (</w:t>
      </w:r>
      <w:proofErr w:type="spellStart"/>
      <w:r w:rsidRPr="007C45C4">
        <w:rPr>
          <w:lang w:val="en-US"/>
        </w:rPr>
        <w:t>Cp</w:t>
      </w:r>
      <w:proofErr w:type="spellEnd"/>
      <w:r w:rsidRPr="007C45C4">
        <w:rPr>
          <w:lang w:val="en-US"/>
        </w:rPr>
        <w:t xml:space="preserve">) compounds have raise up considerable attention since the discover of cytotoxicity of </w:t>
      </w:r>
      <w:proofErr w:type="spellStart"/>
      <w:r w:rsidRPr="007C45C4">
        <w:rPr>
          <w:lang w:val="en-US"/>
        </w:rPr>
        <w:t>titanocene</w:t>
      </w:r>
      <w:proofErr w:type="spellEnd"/>
      <w:r w:rsidRPr="007C45C4">
        <w:rPr>
          <w:lang w:val="en-US"/>
        </w:rPr>
        <w:t xml:space="preserve"> dichloride (TDC) in 1979.</w:t>
      </w:r>
      <w:r w:rsidR="000D21C1" w:rsidRPr="007C45C4">
        <w:rPr>
          <w:lang w:val="en-US"/>
        </w:rPr>
        <w:fldChar w:fldCharType="begin" w:fldLock="1"/>
      </w:r>
      <w:r w:rsidRPr="007C45C4">
        <w:rPr>
          <w:lang w:val="en-US"/>
        </w:rPr>
        <w:instrText>ADDIN CSL_CITATION {"citationItems":[{"id":"ITEM-1","itemData":{"DOI":"10.1002/anie.197904771","ISSN":"0570-0833","abstract":"The cancerostatic activity of metal complexes can be tested on mice by injection of tumor cells and, 24 h later, the substance to be investigated. Compound (1), selected partly because of its structural similarity to the antitumor agent (2), exhibited a cure rate of over 80% in the therapeutic range.","author":[{"dropping-particle":"","family":"Hartmut","given":"Köpf","non-dropping-particle":"","parse-names":false,"suffix":""},{"dropping-particle":"","family":"Petra","given":"Köpf‐Maier","non-dropping-particle":"","parse-names":false,"suffix":""}],"container-title":"Angewandte Chemie International Edition in English","id":"ITEM-1","issue":"6","issued":{"date-parts":[["2003","12","22"]]},"note":"doi: 10.1002/anie.197904771","page":"477-478","publisher":"Wiley-Blackwell","title":"Titanocene Dichloride—The First Metallocene with Cancerostatic Activity","type":"article-journal","volume":"18"},"uris":["http://www.mendeley.com/documents/?uuid=0dc5dbc0-2689-42f2-a6c7-701750c3d680"]}],"mendeley":{"formattedCitation":"&lt;sup&gt;1&lt;/sup&gt;","plainTextFormattedCitation":"1","previouslyFormattedCitation":"&lt;sup&gt;1&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1</w:t>
      </w:r>
      <w:r w:rsidR="000D21C1" w:rsidRPr="007C45C4">
        <w:rPr>
          <w:lang w:val="en-US"/>
        </w:rPr>
        <w:fldChar w:fldCharType="end"/>
      </w:r>
      <w:r w:rsidRPr="007C45C4">
        <w:rPr>
          <w:lang w:val="en-US"/>
        </w:rPr>
        <w:t xml:space="preserve"> Despite the initial promising results in clinical phase I,</w:t>
      </w:r>
      <w:r w:rsidR="000D21C1" w:rsidRPr="007C45C4">
        <w:rPr>
          <w:lang w:val="en-US"/>
        </w:rPr>
        <w:fldChar w:fldCharType="begin" w:fldLock="1"/>
      </w:r>
      <w:r w:rsidRPr="007C45C4">
        <w:rPr>
          <w:lang w:val="en-US"/>
        </w:rPr>
        <w:instrText>ADDIN CSL_CITATION {"citationItems":[{"id":"ITEM-1","itemData":{"DOI":"https://doi.org/10.1016/S1040-8428(01)00224-4","ISSN":"1040-8428","abstract":"A series of complexes containing titanium, Ti, as a metal center has shown to possess a wide spectrum of antitumor properties. This series belongs to the non-platinum metal antitumor agents which has been developed mainly in the past 20 years. The bis(β-diketonato)titanium(IV) and titanocene derivatives appear to offer a different alternative for cancer chemotherapy which do not follow the rationale and mechanism of action of the platinum complexes. The hydrolysis of these complexes in aqueous and pseudo aqueous solutions is discussed and the interaction studies of titanium complexes with biomolecules are also presented to unravel the mechanism of action at molecular levels.","author":[{"dropping-particle":"","family":"Meléndez","given":"Enrique","non-dropping-particle":"","parse-names":false,"suffix":""}],"container-title":"Critical Reviews in Oncology/Hematology","id":"ITEM-1","issue":"3","issued":{"date-parts":[["2002"]]},"page":"309-315","title":"Titanium complexes in cancer treatment","type":"article-journal","volume":"42"},"uris":["http://www.mendeley.com/documents/?uuid=78f15fcd-97fc-463e-9b6e-00bf1e6d7927"]},{"id":"ITEM-2","itemData":{"DOI":"http://dx.doi.org/10.2174/1389557043487565","ISBN":"1389-5575/1875-5607","abstract":"Most anticancer titanium compounds act against tumors in the gastrointestinal tract. Activity towards breast, lung and skin (melanoma) cancers is shown by some as well. Among their appealing properties is that they do not show common side effects of widely used cytostatic agents such as emesis, alopecia or bone marrow impairment. These features make titanium compounds interesting for combined therapy and further study. This review focuses on two drugs that reached clinical trials, namely, titanocene dichloride and budotitane. We try to integrate the biological fate of the related Ti-cyclopentadienyl and Ti-β-diketonato families of drugs, delineating the structure-activity relationship. We also discuss novel related species with increased solubility for improved drug delivery and some potentially useful polynuclear compounds.","author":[{"dropping-particle":"","family":"Rossi","given":"F Caruso and M","non-dropping-particle":"","parse-names":false,"suffix":""}],"container-title":"Mini-Reviews in Medicinal Chemistry","id":"ITEM-2","issue":"1","issued":{"date-parts":[["2004"]]},"page":"49-60","title":"Antitumor Titanium Compounds","type":"article","volume":"4"},"uris":["http://www.mendeley.com/documents/?uuid=f43ced8e-e30c-4768-af34-f64562d2e382"]},{"id":"ITEM-3","itemData":{"abstract":"This Phase I dose-escalation clinical trial of a lyophilized formulation of titanocene dichloride (MKT4) was conducted to determine the maximum tolerated dose, the dose-limiting toxicity (DLT), and pharmacokinetics of titanium (Ti) after a single i.v. infusion of MKT4. Forty patients with refractory solid malignancies were treated with a total of 78 courses. Using a modified Fibonacci scheme, 15 mg/m2 initial doses of titanocene dichloride were increased in cohorts of three patients up to level 11 (560 mg/m2) if DLT was not observed. The maximum tolerated dose was 315 mg/m2, and nephrotoxicity was DLT. Two minor responses (bladder carcinoma and non-small cell lung cancer) were observed. The pharmacokinetics of plasma Ti were assessed in 14 treatment courses by atomic absorption spectroscopy. The ratio for the area under the curve(0-infinity) in plasma and whole blood was 1.2. The following pharmacokinetic parameters were determined for plasma, as calculated in a two-compartment model: biological half-life t1/2beta in plasma was 22.8+/-11.2 h (xh +/- pseudo-SD), peak plasma concentration cmax approximately 30 microg/ml at a dose of 420 mg/m2, distribution volume Vss= 5.34+/-2.1 L (xa +/- SD), and a total clearance CItotal = 2.58+/-1.23 ml/min (xa +/- SD). There was a linear correlation between the area under the curve(0-infinity) of Ti in plasma and the titanocene dichloride dose administered with a correlation coefficient r2 of 0.8856. Plasma protein binding of Ti was in the 70-80% range. Between 3% and 16% of the total amount of Ti administered were renally excreted during the first 36 h. The recommended dose for Phase II evaluation is 240 mg/m2 given every 3 weeks with i.v. hydration to reduce renal toxicity.","author":[{"dropping-particle":"","family":"Korfel","given":"A","non-dropping-particle":"","parse-names":false,"suffix":""},{"dropping-particle":"","family":"Scheulen","given":"M E","non-dropping-particle":"","parse-names":false,"suffix":""},{"dropping-particle":"","family":"Schmoll","given":"H J","non-dropping-particle":"","parse-names":false,"suffix":""},{"dropping-particle":"","family":"Gründel","given":"O","non-dropping-particle":"","parse-names":false,"suffix":""},{"dropping-particle":"","family":"Harstrick","given":"A","non-dropping-particle":"","parse-names":false,"suffix":""},{"dropping-particle":"","family":"Knoche","given":"M","non-dropping-particle":"","parse-names":false,"suffix":""},{"dropping-particle":"","family":"Fels","given":"L M","non-dropping-particle":"","parse-names":false,"suffix":""},{"dropping-particle":"","family":"Skorzec","given":"M","non-dropping-particle":"","parse-names":false,"suffix":""},{"dropping-particle":"","family":"Bach","given":"F","non-dropping-particle":"","parse-names":false,"suffix":""},{"dropping-particle":"","family":"Baumgart","given":"J","non-dropping-particle":"","parse-names":false,"suffix":""},{"dropping-particle":"","family":"Sass","given":"G","non-dropping-particle":"","parse-names":false,"suffix":""},{"dropping-particle":"","family":"Seeber","given":"S","non-dropping-particle":"","parse-names":false,"suffix":""},{"dropping-particle":"","family":"Thiel","given":"E","non-dropping-particle":"","parse-names":false,"suffix":""},{"dropping-particle":"","family":"Berdel","given":"W E","non-dropping-particle":"","parse-names":false,"suffix":""}],"container-title":"Clinical Cancer Research","id":"ITEM-3","issue":"11","issued":{"date-parts":[["1998","11","1"]]},"page":"2701 LP  - 2708","title":"Phase I clinical and pharmacokinetic study of titanocene dichloride in adults with advanced solid tumors.","type":"article-journal","volume":"4"},"uris":["http://www.mendeley.com/documents/?uuid=390ff312-a7c3-4834-a23d-93cb41e587c3"]},{"id":"ITEM-4","itemData":{"ISSN":"2296-5270","abstract":"&lt;b&gt; Background: &lt;/b&gt;Titanocene dichloride (TD) is an organometallic compound with antiproliferative properties in vitro and promising antitumor activity in preclinical in vivo models. The drug interferes with DNA, blocks the S/G&lt;sub&gt;2&lt;/sub&gt; phase of the cell cycle and shows antiangiogenic properties. The purpose of this study was to determine the maximum tolerated dose (MTD) and the dose-limiting toxicity (DLT) of a ‘split’ dose administration schedule (days 1, 3, 5 q 3 weeks). &lt;b&gt; Patients and Method: &lt;/b&gt;Patients with progressive advanced cancer and a creatinine clearance &gt; 60 ml/min qualified for a treatment with TD after standard therapies (radio-, chemo-, hormone therapy) failed. A total of 10 patients (4 females, 6 males) with a median age of 58 (range 49–68) years were treated with 80 mg/m&lt;sup&gt;2&lt;/sup&gt; TD at days 1, 3 and 5 (repeated at day 22). The drug was administered as light-protected infusion within 1 h. &lt;b&gt; Results: &lt;/b&gt;Significant side effects were as follows: nausea/vomiting, appetite loss, renal toxicity (elevation of serum creatinine and proteinuria) and liver toxicity (bilirubin and alkaline phosphatase elevation), but no myelosuppression. At the starting dose (3 x 80 = 240 mg/m&lt;sup&gt;2&lt;/sup&gt; TD), renal (3 patients) or liver toxicity (1 patient) of grade 3 was judged as DLT. No further dose escalation was possible. No objective tumor remission was observed. &lt;b&gt; Conclusion: &lt;/b&gt;The tolerability of TD cannot be improved by splitting the total dose in to three treatments every other day. Compared to previous phase I data using a 3-weekly and a 1-weekly schedule, the ‘split’ dose administration allowed no further increase of the total drug dose per treatment cycle. Thus, dose intensification by alterations of the application mode does not seem to be possible.","author":[{"dropping-particle":"","family":"Mross","given":"K","non-dropping-particle":"","parse-names":false,"suffix":""},{"dropping-particle":"","family":"Robben-Bathe","given":"P","non-dropping-particle":"","parse-names":false,"suffix":""},{"dropping-particle":"","family":"Edler","given":"L","non-dropping-particle":"","parse-names":false,"suffix":""},{"dropping-particle":"","family":"Baumgart","given":"J","non-dropping-particle":"","parse-names":false,"suffix":""},{"dropping-particle":"","family":"Berdel","given":"W E","non-dropping-particle":"","parse-names":false,"suffix":""},{"dropping-particle":"","family":"Fiebig","given":"H","non-dropping-particle":"","parse-names":false,"suffix":""},{"dropping-particle":"","family":"Unger","given":"C","non-dropping-particle":"","parse-names":false,"suffix":""}],"container-title":"Oncology Research and Treatment","id":"ITEM-4","issue":"6","issued":{"date-parts":[["2000"]]},"page":"576-579","title":"Phase I Clinical Trial of a Day-1, -3, -5 Every 3 WeeksPhase I Clinical Trial of Day-1, -3, -5 Every 3 Weeks Schedule with Titanocene Dichloride (MKT 5) in Patients with Advanced Cancer. (Phase I Study Group of the AIO of the German Cancer Society)","type":"article-journal","volume":"23"},"uris":["http://www.mendeley.com/documents/?uuid=20d2efea-bd64-493a-9f95-8acaaef2a052"]},{"id":"ITEM-5","itemData":{"DOI":"10.1200/JCO.1998.16.8.2761","ISSN":"0732-183X","abstract":"PURPOSETo determine the maximum-tolerated dose (MTD) and the dose-limiting toxicities (DLTs) of a weekly schedule of titanocene dichloride (TD) and to define the pharmacokinetics of titanium in plasma and urine.PATIENTS AND METHODSTwenty patients with a median age of 58 years received 83 courses of TD. TD was given as 1-hour infusion at escalating doses from 70 to 185 mg/m2/wk. Pharmacokinetic analysis was performed in eight patients for total plasma titanium (TPTi) and in three patients for ultrafiltrable titanium (UFTi).RESULTSAt the fifth dose level (185 mg/m2/wk), a variety of DLTs were seen in five patients: fatigue in three, bilirubinemia in one, and hypokalemia in two. A further six patients were treated at 140 mg/m2; only one had dose-limiting creatinine elevation and this dose was therefore defined as the MTD. No myelosuppression or alopecia were observed. One patient with adenocarcinoma of unknown primary had a minor response. Pharmacokinetic analysis showed that TPTi maximum concentration (Cmax) values were linear with dose and elimination of TPTi was triphasic with a long terminal half-life (t1/2; median, 165 hours; range, 89 to 592). Between 7% and 24.3% of the total of administered titanium was eliminated in urine over the first 24 hours. In contrast, UFTi elimination was described by a one-compartment model with a t1/2 of 0.41 hours; peak levels of UFTi were 5.2% +/- 2.5% those of TPTi.CONCLUSIONThe MTD of TD given on a weekly schedule is 140 mg/m2, with cumulative, but reversible creatinine and bilirubin elevation being the DLTs.","author":[{"dropping-particle":"V","family":"Christodoulou","given":"C","non-dropping-particle":"","parse-names":false,"suffix":""},{"dropping-particle":"","family":"Ferry","given":"D R","non-dropping-particle":"","parse-names":false,"suffix":""},{"dropping-particle":"","family":"Fyfe","given":"D W","non-dropping-particle":"","parse-names":false,"suffix":""},{"dropping-particle":"","family":"Young","given":"A","non-dropping-particle":"","parse-names":false,"suffix":""},{"dropping-particle":"","family":"Doran","given":"J","non-dropping-particle":"","parse-names":false,"suffix":""},{"dropping-particle":"","family":"Sheehan","given":"T M","non-dropping-particle":"","parse-names":false,"suffix":""},{"dropping-particle":"","family":"Eliopoulos","given":"A","non-dropping-particle":"","parse-names":false,"suffix":""},{"dropping-particle":"","family":"Hale","given":"K","non-dropping-particle":"","parse-names":false,"suffix":""},{"dropping-particle":"","family":"Baumgart","given":"J","non-dropping-particle":"","parse-names":false,"suffix":""},{"dropping-particle":"","family":"Sass","given":"G","non-dropping-particle":"","parse-names":false,"suffix":""},{"dropping-particle":"","family":"Kerr","given":"D J","non-dropping-particle":"","parse-names":false,"suffix":""}],"container-title":"Journal of Clinical Oncology","id":"ITEM-5","issue":"8","issued":{"date-parts":[["1998","8","1"]]},"note":"doi: 10.1200/JCO.1998.16.8.2761","page":"2761-2769","publisher":"American Society of Clinical Oncology","title":"Phase I trial of weekly scheduling and pharmacokinetics of titanocene dichloride in patients with advanced cancer.","type":"article-journal","volume":"16"},"uris":["http://www.mendeley.com/documents/?uuid=2cb24b03-cd1e-47df-b206-2ad0b512a726"]}],"mendeley":{"formattedCitation":"&lt;sup&gt;2–6&lt;/sup&gt;","plainTextFormattedCitation":"2–6","previouslyFormattedCitation":"&lt;sup&gt;2–6&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2–6</w:t>
      </w:r>
      <w:r w:rsidR="000D21C1" w:rsidRPr="007C45C4">
        <w:rPr>
          <w:lang w:val="en-US"/>
        </w:rPr>
        <w:fldChar w:fldCharType="end"/>
      </w:r>
      <w:r w:rsidRPr="007C45C4">
        <w:rPr>
          <w:lang w:val="en-US"/>
        </w:rPr>
        <w:t xml:space="preserve"> TDC did not receive phase II mainly due to low efficiency toward metastatic renal cell</w:t>
      </w:r>
      <w:r w:rsidR="000D21C1" w:rsidRPr="007C45C4">
        <w:rPr>
          <w:lang w:val="en-US"/>
        </w:rPr>
        <w:fldChar w:fldCharType="begin" w:fldLock="1"/>
      </w:r>
      <w:r w:rsidRPr="007C45C4">
        <w:rPr>
          <w:lang w:val="en-US"/>
        </w:rPr>
        <w:instrText>ADDIN CSL_CITATION {"citationItems":[{"id":"ITEM-1","itemData":{"DOI":"10.1007/s002800050838","ISSN":"1432-0843","abstract":"Titanocene dichloride was capable of inhibiting the growth of different types of human tumors in vitro. A total of 14 patients with metastatic renal-cell carcinoma (RCC) received 270 mg/m2 titanocene dichloride every 3 weeks for 6 weeks. Although the toxicities and side effects encountered were mild to moderate, no partial or complete response was detectable. In conclusion, titanocene dichloride has no advantage in the therapy of RCC.","author":[{"dropping-particle":"","family":"Lümmen","given":"Gerd","non-dropping-particle":"","parse-names":false,"suffix":""},{"dropping-particle":"","family":"Sperling","given":"Herbert","non-dropping-particle":"","parse-names":false,"suffix":""},{"dropping-particle":"","family":"Luboldt","given":"Hans","non-dropping-particle":"","parse-names":false,"suffix":""},{"dropping-particle":"","family":"Otto","given":"Thomas","non-dropping-particle":"","parse-names":false,"suffix":""},{"dropping-particle":"","family":"Rübben","given":"Herbert","non-dropping-particle":"","parse-names":false,"suffix":""}],"container-title":"Cancer Chemotherapy and Pharmacology","id":"ITEM-1","issue":"5","issued":{"date-parts":[["1998"]]},"page":"415-417","title":"Phase II trial of titanocene dichloride in advanced renal-cell carcinoma","type":"article-journal","volume":"42"},"uris":["http://www.mendeley.com/documents/?uuid=51c1604d-6f72-4d27-b809-f5e5249b1469"]}],"mendeley":{"formattedCitation":"&lt;sup&gt;7&lt;/sup&gt;","plainTextFormattedCitation":"7","previouslyFormattedCitation":"&lt;sup&gt;7&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7</w:t>
      </w:r>
      <w:r w:rsidR="000D21C1" w:rsidRPr="007C45C4">
        <w:rPr>
          <w:lang w:val="en-US"/>
        </w:rPr>
        <w:fldChar w:fldCharType="end"/>
      </w:r>
      <w:r w:rsidRPr="007C45C4">
        <w:rPr>
          <w:lang w:val="en-US"/>
        </w:rPr>
        <w:t xml:space="preserve"> and breast carcinoma.</w:t>
      </w:r>
      <w:r w:rsidR="000D21C1" w:rsidRPr="007C45C4">
        <w:rPr>
          <w:lang w:val="en-US"/>
        </w:rPr>
        <w:fldChar w:fldCharType="begin" w:fldLock="1"/>
      </w:r>
      <w:r w:rsidR="004F46E6" w:rsidRPr="007C45C4">
        <w:rPr>
          <w:lang w:val="en-US"/>
        </w:rPr>
        <w:instrText>ADDIN CSL_CITATION {"citationItems":[{"id":"ITEM-1","itemData":{"ISSN":"2296-5270","abstract":"&lt;abstitle&gt;Summary&lt;p&gt;&lt;b&gt;&lt;i&gt; Background:&lt;/i&gt; &lt;/b&gt; Titanocene dichloride (MKT4) is a recently developed cytostatic agent that shows preclinical activity against human breast cancer xenograft models in nude mice. A phase II trial was conducted to evaluate the clinical activity of this inorganic early-transition metal complex in patients with metastatic breast cancer. &lt;b&gt;&lt;i&gt; Patients and Methods:&lt;/i&gt; &lt;/b&gt;Fifteen patients were enrolled into this multicenter phase II trial. Twelve patients with a median age of 58 years were eligible for toxicity and response. All 12 patients had prior surgery and metastatic disease at study entry. Seven patients had prior radiotherapy, 9 patients had prior hormone therapy, and 8 patients had prior adjuvant chemotherapy. No previous chemotherapy for metastatic disease was allowed. Titanocene dichloride was intravenously administered at a dose of 270 mg/m&lt;sup&gt;2&lt;/sup&gt; every 3 weeks. &lt;b&gt;&lt;i&gt; Results:&lt;/i&gt; &lt;/b&gt;Among the 12 eligible patients evaluable for response, no objective remission was observed. Two patients (17%) showed a ‘minor remission’, and 5 patients (42%) experienced a ‘no change’ situation of their disease. Moderate to severe drug-related toxicities (CTC grade II–III) affecting the gastrointestinal, neurological, hepatic and renal system occurred in the majority of patients. Therefore, in 5 patients the dose had to be reduced to 240 mg/m&lt;sup&gt;2&lt;/sup&gt;. &lt;b&gt;&lt;i&gt; Conclusion: &lt;/i&gt;&lt;/b&gt;MKT4, given at a dose of 240–270 mg/m&lt;sup&gt;2&lt;/sup&gt; in this schedule, was not effective in patients with metastatic breast cancer. The tolerability of the 3-weekly dosing regimen was acceptable when the MKT4 dose was reduced to 240 mg/m&lt;sup&gt;2&lt;/sup&gt;.","author":[{"dropping-particle":"","family":"Kröger","given":"N","non-dropping-particle":"","parse-names":false,"suffix":""},{"dropping-particle":"","family":"Kleeberg","given":"U R","non-dropping-particle":"","parse-names":false,"suffix":""},{"dropping-particle":"","family":"Mross","given":"K","non-dropping-particle":"","parse-names":false,"suffix":""},{"dropping-particle":"","family":"Edler","given":"L","non-dropping-particle":"","parse-names":false,"suffix":""},{"dropping-particle":"","family":"Hossfeld","given":"D K","non-dropping-particle":"","parse-names":false,"suffix":""}],"container-title":"Oncology Research and Treatment","id":"ITEM-1","issue":"1","issued":{"date-parts":[["2000"]]},"page":"60-62","title":"Phase II Clinical Trial of Titanocene Dichloride in Patients with Metastatic Breast Cancer","type":"article-journal","volume":"23"},"uris":["http://www.mendeley.com/documents/?uuid=193b5836-ee08-487f-9f70-985817af998b"]}],"mendeley":{"formattedCitation":"&lt;sup&gt;8&lt;/sup&gt;","plainTextFormattedCitation":"8","previouslyFormattedCitation":"&lt;sup&gt;8&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8</w:t>
      </w:r>
      <w:r w:rsidR="000D21C1" w:rsidRPr="007C45C4">
        <w:rPr>
          <w:lang w:val="en-US"/>
        </w:rPr>
        <w:fldChar w:fldCharType="end"/>
      </w:r>
      <w:r w:rsidRPr="007C45C4">
        <w:rPr>
          <w:lang w:val="en-US"/>
        </w:rPr>
        <w:t xml:space="preserve"> Subsequent studies have described numerous new complexes with various transition metals and differently modified </w:t>
      </w:r>
      <w:proofErr w:type="spellStart"/>
      <w:r w:rsidR="00090AFF" w:rsidRPr="007C45C4">
        <w:rPr>
          <w:lang w:val="en-US"/>
        </w:rPr>
        <w:t>Cp</w:t>
      </w:r>
      <w:proofErr w:type="spellEnd"/>
      <w:r w:rsidR="00090AFF" w:rsidRPr="007C45C4">
        <w:rPr>
          <w:lang w:val="en-US"/>
        </w:rPr>
        <w:t xml:space="preserve"> </w:t>
      </w:r>
      <w:r w:rsidRPr="007C45C4">
        <w:rPr>
          <w:lang w:val="en-US"/>
        </w:rPr>
        <w:t xml:space="preserve">for biological applications. For example, tripeptide </w:t>
      </w:r>
      <w:proofErr w:type="spellStart"/>
      <w:r w:rsidRPr="007C45C4">
        <w:rPr>
          <w:lang w:val="en-US"/>
        </w:rPr>
        <w:t>derivatized</w:t>
      </w:r>
      <w:proofErr w:type="spellEnd"/>
      <w:r w:rsidR="00090AFF" w:rsidRPr="007C45C4">
        <w:rPr>
          <w:lang w:val="en-US"/>
        </w:rPr>
        <w:t xml:space="preserve"> </w:t>
      </w:r>
      <w:proofErr w:type="spellStart"/>
      <w:r w:rsidRPr="007C45C4">
        <w:rPr>
          <w:lang w:val="en-US"/>
        </w:rPr>
        <w:t>Cp</w:t>
      </w:r>
      <w:proofErr w:type="spellEnd"/>
      <w:r w:rsidRPr="007C45C4">
        <w:rPr>
          <w:lang w:val="en-US"/>
        </w:rPr>
        <w:t xml:space="preserve"> complexes of technetium and rhenium serve as effective probe for molecular.</w:t>
      </w:r>
      <w:r w:rsidR="000D21C1" w:rsidRPr="007C45C4">
        <w:rPr>
          <w:lang w:val="en-US"/>
        </w:rPr>
        <w:fldChar w:fldCharType="begin" w:fldLock="1"/>
      </w:r>
      <w:r w:rsidRPr="007C45C4">
        <w:rPr>
          <w:lang w:val="en-US"/>
        </w:rPr>
        <w:instrText>ADDIN CSL_CITATION {"citationItems":[{"id":"ITEM-1","itemData":{"DOI":"10.1039/C3OB41866A","ISSN":"1477-0520","abstract":"We describe the syntheses of half-sandwich complexes of the type [(η5-Cp(CONH-R))M(CO)3] with M = Re or 99mTc. The R group represents different tri-peptides (tpe) which display high binding affinities for oligopeptide transporters PEPT2. The 99mTc complexes were prepared directly from [99mTc(OH2)3(CO)3]+ and Diels–Alder dimerized, cyclopentadienyl derivatized peptides in water. This approach corroborates the feasibility of metal-mediated retro Diels–Alder reactions for the preparation of not only small molecules but also peptides carrying a [(η5-Cp)99mTc(CO)3] tag. We synthesized the Diels–Alder product [(HCpCONH-tpe)2] from Thiele's acid [(η5-HCpCOOH)2] via double peptide coupling. The Re-complexes [(η5-CpCONH-tpe)Re(CO)3] were obtained by attaching [(Cp-COOH)Re(CO)3] directly to the N-terminus of peptides as received from SPPS. The authenticity of the 99mTc-complexes is confirmed by chromatographic comparison with the corresponding rhenium complexes, fully characterized by spectroscopic techniques.","author":[{"dropping-particle":"","family":"Nadeem","given":"Qaisar","non-dropping-particle":"","parse-names":false,"suffix":""},{"dropping-particle":"","family":"Can","given":"Daniel","non-dropping-particle":"","parse-names":false,"suffix":""},{"dropping-particle":"","family":"Shen","given":"Yunjun","non-dropping-particle":"","parse-names":false,"suffix":""},{"dropping-particle":"","family":"Felber","given":"Michael","non-dropping-particle":"","parse-names":false,"suffix":""},{"dropping-particle":"","family":"Mahmood","given":"Zaid","non-dropping-particle":"","parse-names":false,"suffix":""},{"dropping-particle":"","family":"Alberto","given":"Roger","non-dropping-particle":"","parse-names":false,"suffix":""}],"container-title":"Organic &amp; Biomolecular Chemistry","id":"ITEM-1","issue":"12","issued":{"date-parts":[["2014"]]},"page":"1966-1974","publisher":"The Royal Society of Chemistry","title":"Synthesis of tripeptide derivatized cyclopentadienyl complexes of technetium and rhenium as radiopharmaceutical probes","type":"article-journal","volume":"12"},"uris":["http://www.mendeley.com/documents/?uuid=80f7dd9e-65b3-4fe9-bc86-c45ffcfebaa2"]}],"mendeley":{"formattedCitation":"&lt;sup&gt;9&lt;/sup&gt;","plainTextFormattedCitation":"9","previouslyFormattedCitation":"&lt;sup&gt;9&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9</w:t>
      </w:r>
      <w:r w:rsidR="000D21C1" w:rsidRPr="007C45C4">
        <w:rPr>
          <w:lang w:val="en-US"/>
        </w:rPr>
        <w:fldChar w:fldCharType="end"/>
      </w:r>
      <w:r w:rsidRPr="007C45C4">
        <w:rPr>
          <w:lang w:val="en-US"/>
        </w:rPr>
        <w:t xml:space="preserve"> High anticancer activity was reported for ferrocene derivative ferrocifen</w:t>
      </w:r>
      <w:r w:rsidR="000D21C1" w:rsidRPr="007C45C4">
        <w:rPr>
          <w:lang w:val="en-US"/>
        </w:rPr>
        <w:fldChar w:fldCharType="begin" w:fldLock="1"/>
      </w:r>
      <w:r w:rsidRPr="007C45C4">
        <w:rPr>
          <w:lang w:val="en-US"/>
        </w:rPr>
        <w:instrText>ADDIN CSL_CITATION {"citationItems":[{"id":"ITEM-1","itemData":{"DOI":"10.1039/C5CS00486A","ISSN":"0306-0012","abstract":"Despite current developments in therapeutics focusing on biotechnologically-oriented species, the unflagging utility of small molecules or peptides in medicine is still producing strong results. In 2014 for example, of the 41 new medicines authorized for sale, 33 belonged to the category of small molecules, while in 2013 they represented 24 of 27, according to the FDA. This can be explained as the result of recent forays into new or long-neglected areas of chemistry. Medicinal organometallic chemistry can provide us with an antimalarial against resistant parasitic strains, as attested by the phase II clinical development of ferroquine, with a new framework for conceptual advances based on three-dimensional space-filling, and with redox or indeed catalytic intracellular properties. In this context, bioferrocene species with antiproliferative potential have for several years been the subject of sustained effort, based on some initial successes and on the nature of ferrocene as a stable aromatic, with low toxicity, low cost, and possessing reversible redox properties. We show here the different antitumoral approaches offered by ferrocifen derivatives, originally simple derivatives of tamoxifen, which over the course of their development have proved to possess remarkable structural and mechanistic diversity. These entities act via various targets, some of which have been identified, that are triggered according to the concentration of the products. They also act according to the nature of the cancer cells and their functionality, by mechanistic pathways that can operate either synergistically or not, in successive, concomitant or sequential ways, depending for example on newly identified signaling pathways inducing senescence or apoptosis. Here we present a first attempt to rationalize the behavior of these entities with various anticancer targets.","author":[{"dropping-particle":"","family":"Jaouen","given":"Gérard","non-dropping-particle":"","parse-names":false,"suffix":""},{"dropping-particle":"","family":"Vessières","given":"Anne","non-dropping-particle":"","parse-names":false,"suffix":""},{"dropping-particle":"","family":"Top","given":"Siden","non-dropping-particle":"","parse-names":false,"suffix":""}],"container-title":"Chemical Society Reviews","id":"ITEM-1","issue":"24","issued":{"date-parts":[["2015"]]},"page":"8802-8817","publisher":"The Royal Society of Chemistry","title":"Ferrocifen type anti cancer drugs","type":"article-journal","volume":"44"},"uris":["http://www.mendeley.com/documents/?uuid=5fd73f12-f61d-4d4a-8ac3-442036273ab2"]}],"mendeley":{"formattedCitation":"&lt;sup&gt;10&lt;/sup&gt;","plainTextFormattedCitation":"10","previouslyFormattedCitation":"&lt;sup&gt;10&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10</w:t>
      </w:r>
      <w:r w:rsidR="000D21C1" w:rsidRPr="007C45C4">
        <w:rPr>
          <w:lang w:val="en-US"/>
        </w:rPr>
        <w:fldChar w:fldCharType="end"/>
      </w:r>
      <w:r w:rsidRPr="007C45C4">
        <w:rPr>
          <w:lang w:val="en-US"/>
        </w:rPr>
        <w:t xml:space="preserve"> or </w:t>
      </w:r>
      <w:proofErr w:type="spellStart"/>
      <w:r w:rsidRPr="007C45C4">
        <w:rPr>
          <w:lang w:val="en-US"/>
        </w:rPr>
        <w:t>monocyclopentadienyl</w:t>
      </w:r>
      <w:proofErr w:type="spellEnd"/>
      <w:r w:rsidRPr="007C45C4">
        <w:rPr>
          <w:lang w:val="en-US"/>
        </w:rPr>
        <w:t xml:space="preserve"> complexes of iridium.</w:t>
      </w:r>
      <w:r w:rsidR="000D21C1" w:rsidRPr="007C45C4">
        <w:rPr>
          <w:lang w:val="en-US"/>
        </w:rPr>
        <w:fldChar w:fldCharType="begin" w:fldLock="1"/>
      </w:r>
      <w:r w:rsidRPr="007C45C4">
        <w:rPr>
          <w:lang w:val="en-US"/>
        </w:rPr>
        <w:instrText>ADDIN CSL_CITATION {"citationItems":[{"id":"ITEM-1","itemData":{"DOI":"10.1021/ar400266c","ISSN":"0001-4842","author":[{"dropping-particle":"","family":"Liu","given":"Zhe","non-dropping-particle":"","parse-names":false,"suffix":""},{"dropping-particle":"","family":"Sadler","given":"Peter J","non-dropping-particle":"","parse-names":false,"suffix":""}],"container-title":"Accounts of Chemical Research","id":"ITEM-1","issue":"4","issued":{"date-parts":[["2014","4","15"]]},"note":"doi: 10.1021/ar400266c","page":"1174-1185","publisher":"American Chemical Society","title":"Organoiridium Complexes: Anticancer Agents and Catalysts","type":"article-journal","volume":"47"},"uris":["http://www.mendeley.com/documents/?uuid=1e676e38-a8f1-4a7d-8681-6d08410d80d8"]}],"mendeley":{"formattedCitation":"&lt;sup&gt;11&lt;/sup&gt;","plainTextFormattedCitation":"11","previouslyFormattedCitation":"&lt;sup&gt;11&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11</w:t>
      </w:r>
      <w:r w:rsidR="000D21C1" w:rsidRPr="007C45C4">
        <w:rPr>
          <w:lang w:val="en-US"/>
        </w:rPr>
        <w:fldChar w:fldCharType="end"/>
      </w:r>
      <w:r w:rsidRPr="007C45C4">
        <w:rPr>
          <w:lang w:val="en-US"/>
        </w:rPr>
        <w:t xml:space="preserve"> In 2005, </w:t>
      </w:r>
      <w:proofErr w:type="spellStart"/>
      <w:r w:rsidRPr="007C45C4">
        <w:rPr>
          <w:lang w:val="en-US"/>
        </w:rPr>
        <w:t>Romão</w:t>
      </w:r>
      <w:proofErr w:type="spellEnd"/>
      <w:r w:rsidRPr="007C45C4">
        <w:rPr>
          <w:lang w:val="en-US"/>
        </w:rPr>
        <w:t xml:space="preserve"> et al. described cytotoxic activity of </w:t>
      </w:r>
      <w:proofErr w:type="spellStart"/>
      <w:r w:rsidRPr="007C45C4">
        <w:rPr>
          <w:lang w:val="en-US"/>
        </w:rPr>
        <w:t>Cp</w:t>
      </w:r>
      <w:proofErr w:type="spellEnd"/>
      <w:r w:rsidRPr="007C45C4">
        <w:rPr>
          <w:lang w:val="en-US"/>
        </w:rPr>
        <w:t xml:space="preserve"> complexes of type [(η</w:t>
      </w:r>
      <w:r w:rsidRPr="007C45C4">
        <w:rPr>
          <w:vertAlign w:val="superscript"/>
          <w:lang w:val="en-US"/>
        </w:rPr>
        <w:t>5</w:t>
      </w:r>
      <w:r w:rsidRPr="007C45C4">
        <w:rPr>
          <w:lang w:val="en-US"/>
        </w:rPr>
        <w:t>-Cp</w:t>
      </w:r>
      <w:r w:rsidRPr="007C45C4">
        <w:rPr>
          <w:rFonts w:cs="Arial"/>
          <w:lang w:val="en-US"/>
        </w:rPr>
        <w:t>'</w:t>
      </w:r>
      <w:proofErr w:type="gramStart"/>
      <w:r w:rsidRPr="007C45C4">
        <w:rPr>
          <w:lang w:val="en-US"/>
        </w:rPr>
        <w:t>)Mo</w:t>
      </w:r>
      <w:proofErr w:type="gramEnd"/>
      <w:r w:rsidRPr="007C45C4">
        <w:rPr>
          <w:lang w:val="en-US"/>
        </w:rPr>
        <w:t>(CO)</w:t>
      </w:r>
      <w:r w:rsidRPr="007C45C4">
        <w:rPr>
          <w:vertAlign w:val="subscript"/>
          <w:lang w:val="en-US"/>
        </w:rPr>
        <w:t>2</w:t>
      </w:r>
      <w:r w:rsidRPr="007C45C4">
        <w:rPr>
          <w:lang w:val="en-US"/>
        </w:rPr>
        <w:t>L</w:t>
      </w:r>
      <w:r w:rsidRPr="007C45C4">
        <w:rPr>
          <w:vertAlign w:val="subscript"/>
          <w:lang w:val="en-US"/>
        </w:rPr>
        <w:t>2</w:t>
      </w:r>
      <w:r w:rsidRPr="007C45C4">
        <w:rPr>
          <w:lang w:val="en-US"/>
        </w:rPr>
        <w:t>][BF</w:t>
      </w:r>
      <w:r w:rsidRPr="007C45C4">
        <w:rPr>
          <w:vertAlign w:val="subscript"/>
          <w:lang w:val="en-US"/>
        </w:rPr>
        <w:t>4</w:t>
      </w:r>
      <w:r w:rsidRPr="007C45C4">
        <w:rPr>
          <w:lang w:val="en-US"/>
        </w:rPr>
        <w:t>], where L</w:t>
      </w:r>
      <w:r w:rsidRPr="007C45C4">
        <w:rPr>
          <w:vertAlign w:val="subscript"/>
          <w:lang w:val="en-US"/>
        </w:rPr>
        <w:t>2</w:t>
      </w:r>
      <w:r w:rsidRPr="007C45C4">
        <w:rPr>
          <w:lang w:val="en-US"/>
        </w:rPr>
        <w:t xml:space="preserve"> is bidentate ligand. Subsequent </w:t>
      </w:r>
      <w:r w:rsidRPr="007C45C4">
        <w:rPr>
          <w:lang w:val="en-US"/>
        </w:rPr>
        <w:t>researches revealed that intrinsic biological activity is rather dependent on the character of coordinated chelate than on substitution in π-ligand periphery.</w:t>
      </w:r>
      <w:r w:rsidR="000D21C1" w:rsidRPr="007C45C4">
        <w:rPr>
          <w:lang w:val="en-US"/>
        </w:rPr>
        <w:fldChar w:fldCharType="begin" w:fldLock="1"/>
      </w:r>
      <w:r w:rsidR="00357335" w:rsidRPr="007C45C4">
        <w:rPr>
          <w:lang w:val="en-US"/>
        </w:rPr>
        <w:instrText>ADDIN CSL_CITATION {"citationItems":[{"id":"ITEM-1","itemData":{"DOI":"https://doi.org/10.1016/j.jorganchem.2013.10.034","ISSN":"0022-328X","abstract":"The allyl molybdenum(II) complex bearing tetrafluoro-4-pyridyl substituted cyclopentadienyl ligand, [(η3-C3H5){η5-C5H3(C5F4N)}Mo(CO)2], was synthesized and characterized by analytical and spectroscopic methods. This compound was found to be suitable precursor for complexes of the type [{η5-C5H4(C5F4N)}Mo(CO)2(NNL)][BF4] where NNL is N,N-chelating ligand. The biological study has shown that these complexes are cytotoxic active toward human leukemia cells MOLT-4. The cytotoxicity strongly depends on nature of the coordinated N,N-chelating ligand. The compounds bearing 1,10-phenanthroline (phen) and 2,2′-biquinoline (bq) are only medium active while the complexes with 4,7-diphenyl-1,10-phenanthroline (4,7-Ph2-phen) and 5-amino-1,10-phenanthroline (5-NH2-phen) show considerably higher activity than cisplatin. This study further describe the X-ray structures of [(η3-C3H5){η5-C5H4(C5F4N)}Mo(CO)2], [(η3-C3H5){η5-C5H3(1,3-C5F4N)2}Mo(CO)2], [{η5-C5H4(C5F4N)}Mo(CO)2(phen)][BF4] and [{η5-C5H4(C5F4N)}Mo(CO)2(5-NH2-phen)][BF4].","author":[{"dropping-particle":"","family":"Honzíček","given":"Jan","non-dropping-particle":"","parse-names":false,"suffix":""},{"dropping-particle":"","family":"Vinklárek","given":"Jaromír","non-dropping-particle":"","parse-names":false,"suffix":""},{"dropping-particle":"","family":"Erben","given":"Milan","non-dropping-particle":"","parse-names":false,"suffix":""},{"dropping-particle":"","family":"Padělková","given":"Zdeňka","non-dropping-particle":"","parse-names":false,"suffix":""},{"dropping-particle":"","family":"Šebestová","given":"Lucie","non-dropping-particle":"","parse-names":false,"suffix":""},{"dropping-particle":"","family":"Řezáčová","given":"Martina","non-dropping-particle":"","parse-names":false,"suffix":""}],"container-title":"Journal of Organometallic Chemistry","id":"ITEM-1","issued":{"date-parts":[["2014"]]},"page":"387-393","title":"Tetrafluoro-4-pyridyl substituted cyclopentadienyl molybdenum(II) compounds","type":"article-journal","volume":"749"},"uris":["http://www.mendeley.com/documents/?uuid=f91b1c9f-b710-48ed-84c9-7e6c44b295b6"]},{"id":"ITEM-2","itemData":{"DOI":"https://doi.org/10.1016/j.jorganchem.2014.09.028","ISSN":"0022-328X","author":[{"dropping-particle":"","family":"Honzíček","given":"Jan","non-dropping-particle":"","parse-names":false,"suffix":""},{"dropping-particle":"","family":"Honzíčková","given":"Iva","non-dropping-particle":"","parse-names":false,"suffix":""},{"dropping-particle":"","family":"Vinklárek","given":"Jaromír","non-dropping-particle":"","parse-names":false,"suffix":""},{"dropping-particle":"","family":"Růžičková","given":"Zdeňka","non-dropping-particle":"","parse-names":false,"suffix":""}],"container-title":"Journal of Organometallic Chemistry","id":"ITEM-2","issued":{"date-parts":[["2014"]]},"page":"299-306","title":"Cyclopentadienyl and indenyl molybdenum(II) complexes bearing planar N,N,N-chelating ligands","type":"article-journal","volume":"772-773"},"uris":["http://www.mendeley.com/documents/?uuid=561dae40-3169-4e3a-8197-a40cae65b73e"]},{"id":"ITEM-3","itemData":{"DOI":"https://doi.org/10.1016/j.jorganchem.2012.07.011","ISSN":"0022-328X","abstract":"A series of allyl molybdenum [(η3-C3H5)Mo(CO)2L2Cl], [(η3-C3H4COOMe)Mo(CO)2L2Br], cyclopentadienyl molybdenum [(η5-C5H4R)Mo(CO)2L2][BF4] (R = H, 4-MeOC6H4CH2, 3,4,5-(MeO)3C6H2CH2), indenyl molybdenum [(η5-C9H6R)Mo(CO)2L2][BF4] (R = H, 4-MeOC6H4CH2) and cyclopentadienyl tungsten compounds [(η5-C5H5)W(CO)2L2][BF4], where L2 is N,N′-chelating ligand, were synthesized and characterized. The in vitro assay on human leukemia cells MOLT-4 has shown that the substitution in the π-ligand has lower effect of on cytotoxicity than exchange of the N,N′-chelating ligand. Nevertheless, even this modification can lead to considerable enhance of cytotoxicity as was evidenced on the series of the indenyl molybdenum(II) compounds.","author":[{"dropping-particle":"","family":"Honzíček","given":"Jan","non-dropping-particle":"","parse-names":false,"suffix":""},{"dropping-particle":"","family":"Vinklárek","given":"Jaromír","non-dropping-particle":"","parse-names":false,"suffix":""},{"dropping-particle":"","family":"Padělková","given":"Zdeňka","non-dropping-particle":"","parse-names":false,"suffix":""},{"dropping-particle":"","family":"Šebestová","given":"Lucie","non-dropping-particle":"","parse-names":false,"suffix":""},{"dropping-particle":"","family":"Foltánová","given":"Karolína","non-dropping-particle":"","parse-names":false,"suffix":""},{"dropping-particle":"","family":"Řezáčová","given":"Martina","non-dropping-particle":"","parse-names":false,"suffix":""}],"container-title":"Journal of Organometallic Chemistry","id":"ITEM-3","issued":{"date-parts":[["2012"]]},"page":"258-268","title":"The effect of substitution on the cytotoxicity of molybdenum(II) and tungsten(II) compounds","type":"article-journal","volume":"716"},"uris":["http://www.mendeley.com/documents/?uuid=d0003565-9a94-48a0-ac6e-172e6f1bf7f5"]},{"id":"ITEM-4","itemData":{"DOI":"10.1002/ejic.201201505","ISSN":"1434-1948","abstract":"Abstract A series of vanadocene complexes [Cp?2V(L)][OTf]2 (Cp? = ?5?C5H5, ?5?C5H4Me; L = phen, 5?NO2?phen, 5?NH2?phen, 4,7?Ph2?phen) was prepared and characterized by mass spectrometry and EPR spectroscopy. Structures of two complexes that contain an N,N??chelating ligand, [(?5?C5H4Me)2V(phen)][OTf]2·0.5Me2CO and [(?5?C5H5)2V(5?NH2?phen)][OTf]2, and the triflate intermediate [(?5?C5H5)2V(OTf)2] were further confirmed by X?ray diffraction analysis. The cytotoxicity study has shown that complexes that contain phenanthroline ligands have considerably higher in vitro activity toward human leukemia cells MOLT?4 and HL?60 than their parent dichlorides ([Cp?2VCl2]). The high activity of these complexes coheres with their higher stability in various aqueous media. This study has further shown that substitution of chloride ligands in the vanadocene dichloride has a considerably higher effect on cytotoxicity than expected on the basis of established mechanistic rules.","author":[{"dropping-particle":"","family":"Vinklárek","given":"Jaromír","non-dropping-particle":"","parse-names":false,"suffix":""},{"dropping-particle":"","family":"Hurychová","given":"Hana","non-dropping-particle":"","parse-names":false,"suffix":""},{"dropping-particle":"","family":"Honzíček","given":"Jan","non-dropping-particle":"","parse-names":false,"suffix":""},{"dropping-particle":"","family":"Šebestová","given":"Lucie","non-dropping-particle":"","parse-names":false,"suffix":""},{"dropping-particle":"","family":"Padělková","given":"Zdeňka","non-dropping-particle":"","parse-names":false,"suffix":""},{"dropping-particle":"","family":"Řezáčová","given":"Martina","non-dropping-particle":"","parse-names":false,"suffix":""}],"container-title":"European Journal of Inorganic Chemistry","id":"ITEM-4","issue":"14","issued":{"date-parts":[["2013","5","6"]]},"note":"doi: 10.1002/ejic.201201505","page":"2665-2672","publisher":"Wiley-Blackwell","title":"Can Substitution of Chlorides Enhance the Cytotoxicity of Vanadocene Dichloride?","type":"article-journal","volume":"2013"},"uris":["http://www.mendeley.com/documents/?uuid=6cae269e-b96a-4f62-93cf-8f8bfb98ef21"]}],"mendeley":{"formattedCitation":"&lt;sup&gt;12–15&lt;/sup&gt;","plainTextFormattedCitation":"12–15","previouslyFormattedCitation":"&lt;sup&gt;12–15&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12–15</w:t>
      </w:r>
      <w:r w:rsidR="000D21C1" w:rsidRPr="007C45C4">
        <w:rPr>
          <w:lang w:val="en-US"/>
        </w:rPr>
        <w:fldChar w:fldCharType="end"/>
      </w:r>
      <w:r w:rsidRPr="007C45C4">
        <w:rPr>
          <w:lang w:val="en-US"/>
        </w:rPr>
        <w:t xml:space="preserve"> We have recently described second generation of </w:t>
      </w:r>
      <w:proofErr w:type="spellStart"/>
      <w:r w:rsidR="00945AB5" w:rsidRPr="007C45C4">
        <w:rPr>
          <w:lang w:val="en-US"/>
        </w:rPr>
        <w:t>Cp</w:t>
      </w:r>
      <w:proofErr w:type="spellEnd"/>
      <w:r w:rsidR="00945AB5" w:rsidRPr="007C45C4">
        <w:rPr>
          <w:lang w:val="en-US"/>
        </w:rPr>
        <w:t xml:space="preserve"> </w:t>
      </w:r>
      <w:r w:rsidRPr="007C45C4">
        <w:rPr>
          <w:lang w:val="en-US"/>
        </w:rPr>
        <w:t>molybdenum complexes with considerably improved cytotoxic activity.</w:t>
      </w:r>
      <w:r w:rsidR="000D21C1" w:rsidRPr="007C45C4">
        <w:rPr>
          <w:lang w:val="en-US"/>
        </w:rPr>
        <w:fldChar w:fldCharType="begin" w:fldLock="1"/>
      </w:r>
      <w:r w:rsidRPr="007C45C4">
        <w:rPr>
          <w:lang w:val="en-US"/>
        </w:rPr>
        <w:instrText>ADDIN CSL_CITATION {"citationItems":[{"id":"ITEM-1","itemData":{"DOI":"10.1002/ejic.201501133","ISSN":"14341948","author":[{"dropping-particle":"","family":"Mrózek","given":"Ondřej","non-dropping-particle":"","parse-names":false,"suffix":""},{"dropping-particle":"","family":"Šebestová","given":"Lucie","non-dropping-particle":"","parse-names":false,"suffix":""},{"dropping-particle":"","family":"Vinklárek","given":"Jaromír","non-dropping-particle":"","parse-names":false,"suffix":""},{"dropping-particle":"","family":"Řezáčová","given":"Martina","non-dropping-particle":"","parse-names":false,"suffix":""},{"dropping-particle":"","family":"Eisner","given":"Aleš","non-dropping-particle":"","parse-names":false,"suffix":""},{"dropping-particle":"","family":"Růžičková","given":"Zdeňka","non-dropping-particle":"","parse-names":false,"suffix":""},{"dropping-particle":"","family":"Honzíček","given":"Jan","non-dropping-particle":"","parse-names":false,"suffix":""}],"container-title":"European Journal of Inorganic Chemistry","id":"ITEM-1","issue":"4","issued":{"date-parts":[["2016","2","5"]]},"page":"519-529","title":"Highly Water-Soluble Cyclopentadienyl and Indenyl Molybdenum(II) Complexes - Second Generation of Molybdenum-Based Cytotoxic Agents","type":"article-journal","volume":"2016"},"uris":["http://www.mendeley.com/documents/?uuid=cd036df7-c268-4e7c-90de-2f23aa9e0425"]}],"mendeley":{"formattedCitation":"&lt;sup&gt;16&lt;/sup&gt;","plainTextFormattedCitation":"16","previouslyFormattedCitation":"&lt;sup&gt;16&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16</w:t>
      </w:r>
      <w:r w:rsidR="000D21C1" w:rsidRPr="007C45C4">
        <w:rPr>
          <w:lang w:val="en-US"/>
        </w:rPr>
        <w:fldChar w:fldCharType="end"/>
      </w:r>
      <w:r w:rsidRPr="007C45C4">
        <w:rPr>
          <w:lang w:val="en-US"/>
        </w:rPr>
        <w:t xml:space="preserve"> The improvement was achieved by functionalization of π-ligand with polar ammonium fragment leading to higher solubility of the complexes in aqueous environments.</w:t>
      </w:r>
    </w:p>
    <w:p w14:paraId="00E004BF" w14:textId="4130E71E" w:rsidR="003942F5" w:rsidRPr="007C45C4" w:rsidRDefault="003942F5" w:rsidP="003942F5">
      <w:pPr>
        <w:pStyle w:val="RSCB02ArticleText"/>
        <w:rPr>
          <w:lang w:val="en-US"/>
        </w:rPr>
      </w:pPr>
      <w:r w:rsidRPr="007C45C4">
        <w:rPr>
          <w:lang w:val="en-US"/>
        </w:rPr>
        <w:t>Numerous of sulfur-containing compounds exhibit cytotoxic activity due to the interaction with biological systems, including RNA, proteins or lipid membranes. Typical example include sulfur mustards those are well-known to form covalent bond with specific nucleobases of DNA causing cell death.</w:t>
      </w:r>
      <w:r w:rsidR="000D21C1" w:rsidRPr="007C45C4">
        <w:rPr>
          <w:lang w:val="en-US"/>
        </w:rPr>
        <w:fldChar w:fldCharType="begin" w:fldLock="1"/>
      </w:r>
      <w:r w:rsidRPr="007C45C4">
        <w:rPr>
          <w:lang w:val="en-US"/>
        </w:rPr>
        <w:instrText>ADDIN CSL_CITATION {"citationItems":[{"id":"ITEM-1","itemData":{"DOI":"10.1080/08958370601174990","ISSN":"0895-8378","author":[{"dropping-particle":"","family":"Ghanei","given":"Mostafa","non-dropping-particle":"","parse-names":false,"suffix":""},{"dropping-particle":"","family":"Harandi","given":"Ali Amini","non-dropping-particle":"","parse-names":false,"suffix":""}],"container-title":"Inhalation Toxicology","id":"ITEM-1","issue":"5","issued":{"date-parts":[["2007","1","1"]]},"note":"doi: 10.1080/08958370601174990","page":"451-456","publisher":"Taylor &amp; Francis","title":"Long Term Consequences from Exposure to Sulfur Mustard: A Review","type":"article-journal","volume":"19"},"uris":["http://www.mendeley.com/documents/?uuid=ef36d30e-8122-4f64-a9fe-f97029545e68"]}],"mendeley":{"formattedCitation":"&lt;sup&gt;17&lt;/sup&gt;","plainTextFormattedCitation":"17","previouslyFormattedCitation":"&lt;sup&gt;17&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17</w:t>
      </w:r>
      <w:r w:rsidR="000D21C1" w:rsidRPr="007C45C4">
        <w:rPr>
          <w:lang w:val="en-US"/>
        </w:rPr>
        <w:fldChar w:fldCharType="end"/>
      </w:r>
      <w:r w:rsidRPr="007C45C4">
        <w:rPr>
          <w:lang w:val="en-US"/>
        </w:rPr>
        <w:t xml:space="preserve"> Importantly, sulfur atom of the mustards participates on electrophilic attack on guanine base leading to intercalation of DNA and, in certain case, to anti-cancer properties.</w:t>
      </w:r>
      <w:r w:rsidR="000D21C1" w:rsidRPr="007C45C4">
        <w:rPr>
          <w:lang w:val="en-US"/>
        </w:rPr>
        <w:fldChar w:fldCharType="begin" w:fldLock="1"/>
      </w:r>
      <w:r w:rsidRPr="007C45C4">
        <w:rPr>
          <w:lang w:val="en-US"/>
        </w:rPr>
        <w:instrText>ADDIN CSL_CITATION {"citationItems":[{"id":"ITEM-1","itemData":{"DOI":"10.1039/B905071J","ISSN":"0003-2654","abstract":"The alkylating proficiency of sulfur-containing mustards may be increased by using an acridine moiety to guide the sulfur mustard to its cellular target. In this study, the interactions of a new series of sulfur-containing acridine ligands, some that also function as alkylating mustards, with DNA were evaluated by electrospray ionization mass spectrometry (ESI-MS). Relative binding affinities were estimated from the ESI-MS data based on the fraction of bound DNA for DNA/acridine mixtures. The extent of binding observed for the series of sulfur-containing acridines was similar, presumably because the intercalating acridine moiety was identical. Upon infrared multi-photon dissociation (IRMPD) of the resulting oligonucleotide/sulfur-containing acridine complexes, ejection of the ligand was the dominant pathway for most of the complexes. However, for AS4, an acridine sulfide mustard, and AN1, an acridine nitrogen mustard, strand separation with the ligand remaining on one of the single strands was observed. At higher irradiation times, a variety of sequence ions were observed, some retaining the AS4/AN1 ligand, which was indicative of covalent binding.","author":[{"dropping-particle":"","family":"Smith","given":"Suncerae I","non-dropping-particle":"","parse-names":false,"suffix":""},{"dropping-particle":"","family":"Guziec Jr.","given":"Frank S","non-dropping-particle":"","parse-names":false,"suffix":""},{"dropping-particle":"","family":"Guziec","given":"Lynn","non-dropping-particle":"","parse-names":false,"suffix":""},{"dropping-particle":"","family":"Brodbelt","given":"Jennifer S","non-dropping-particle":"","parse-names":false,"suffix":""}],"container-title":"Analyst","id":"ITEM-1","issue":"10","issued":{"date-parts":[["2009"]]},"page":"2058-2066","publisher":"The Royal Society of Chemistry","title":"Interactions of sulfur-containing acridine ligands with DNA by ESI-MS","type":"article-journal","volume":"134"},"uris":["http://www.mendeley.com/documents/?uuid=4729e452-2b94-46ee-94db-01a2b100d3bc"]}],"mendeley":{"formattedCitation":"&lt;sup&gt;18&lt;/sup&gt;","plainTextFormattedCitation":"18","previouslyFormattedCitation":"&lt;sup&gt;18&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18</w:t>
      </w:r>
      <w:r w:rsidR="000D21C1" w:rsidRPr="007C45C4">
        <w:rPr>
          <w:lang w:val="en-US"/>
        </w:rPr>
        <w:fldChar w:fldCharType="end"/>
      </w:r>
      <w:r w:rsidRPr="007C45C4">
        <w:rPr>
          <w:lang w:val="en-US"/>
        </w:rPr>
        <w:t xml:space="preserve"> New generation of sulfur mustards, containing </w:t>
      </w:r>
      <w:proofErr w:type="spellStart"/>
      <w:r w:rsidRPr="007C45C4">
        <w:rPr>
          <w:lang w:val="en-US"/>
        </w:rPr>
        <w:t>acridine</w:t>
      </w:r>
      <w:proofErr w:type="spellEnd"/>
      <w:r w:rsidRPr="007C45C4">
        <w:rPr>
          <w:lang w:val="en-US"/>
        </w:rPr>
        <w:t xml:space="preserve"> moiety, shows promising anti-cancer activity in human cancer cell lines.</w:t>
      </w:r>
      <w:r w:rsidR="000D21C1" w:rsidRPr="007C45C4">
        <w:rPr>
          <w:lang w:val="en-US"/>
        </w:rPr>
        <w:fldChar w:fldCharType="begin" w:fldLock="1"/>
      </w:r>
      <w:r w:rsidRPr="007C45C4">
        <w:rPr>
          <w:lang w:val="en-US"/>
        </w:rPr>
        <w:instrText>ADDIN CSL_CITATION {"citationItems":[{"id":"ITEM-1","itemData":{"DOI":"10.1039/B905071J","ISSN":"0003-2654","abstract":"The alkylating proficiency of sulfur-containing mustards may be increased by using an acridine moiety to guide the sulfur mustard to its cellular target. In this study, the interactions of a new series of sulfur-containing acridine ligands, some that also function as alkylating mustards, with DNA were evaluated by electrospray ionization mass spectrometry (ESI-MS). Relative binding affinities were estimated from the ESI-MS data based on the fraction of bound DNA for DNA/acridine mixtures. The extent of binding observed for the series of sulfur-containing acridines was similar, presumably because the intercalating acridine moiety was identical. Upon infrared multi-photon dissociation (IRMPD) of the resulting oligonucleotide/sulfur-containing acridine complexes, ejection of the ligand was the dominant pathway for most of the complexes. However, for AS4, an acridine sulfide mustard, and AN1, an acridine nitrogen mustard, strand separation with the ligand remaining on one of the single strands was observed. At higher irradiation times, a variety of sequence ions were observed, some retaining the AS4/AN1 ligand, which was indicative of covalent binding.","author":[{"dropping-particle":"","family":"Smith","given":"Suncerae I","non-dropping-particle":"","parse-names":false,"suffix":""},{"dropping-particle":"","family":"Guziec Jr.","given":"Frank S","non-dropping-particle":"","parse-names":false,"suffix":""},{"dropping-particle":"","family":"Guziec","given":"Lynn","non-dropping-particle":"","parse-names":false,"suffix":""},{"dropping-particle":"","family":"Brodbelt","given":"Jennifer S","non-dropping-particle":"","parse-names":false,"suffix":""}],"container-title":"Analyst","id":"ITEM-1","issue":"10","issued":{"date-parts":[["2009"]]},"page":"2058-2066","publisher":"The Royal Society of Chemistry","title":"Interactions of sulfur-containing acridine ligands with DNA by ESI-MS","type":"article-journal","volume":"134"},"uris":["http://www.mendeley.com/documents/?uuid=4729e452-2b94-46ee-94db-01a2b100d3bc"]}],"mendeley":{"formattedCitation":"&lt;sup&gt;18&lt;/sup&gt;","plainTextFormattedCitation":"18","previouslyFormattedCitation":"&lt;sup&gt;18&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18</w:t>
      </w:r>
      <w:r w:rsidR="000D21C1" w:rsidRPr="007C45C4">
        <w:rPr>
          <w:lang w:val="en-US"/>
        </w:rPr>
        <w:fldChar w:fldCharType="end"/>
      </w:r>
      <w:r w:rsidRPr="007C45C4">
        <w:rPr>
          <w:lang w:val="en-US"/>
        </w:rPr>
        <w:t xml:space="preserve"> Considerable anti-cancer activity has been also described for </w:t>
      </w:r>
      <w:proofErr w:type="spellStart"/>
      <w:r w:rsidRPr="007C45C4">
        <w:rPr>
          <w:lang w:val="en-US"/>
        </w:rPr>
        <w:t>titanocene</w:t>
      </w:r>
      <w:proofErr w:type="spellEnd"/>
      <w:r w:rsidRPr="007C45C4">
        <w:rPr>
          <w:lang w:val="en-US"/>
        </w:rPr>
        <w:t xml:space="preserve"> dichloride with </w:t>
      </w:r>
      <w:proofErr w:type="spellStart"/>
      <w:r w:rsidR="00945AB5" w:rsidRPr="007C45C4">
        <w:rPr>
          <w:lang w:val="en-US"/>
        </w:rPr>
        <w:t>Cp</w:t>
      </w:r>
      <w:proofErr w:type="spellEnd"/>
      <w:r w:rsidR="00945AB5" w:rsidRPr="007C45C4">
        <w:rPr>
          <w:lang w:val="en-US"/>
        </w:rPr>
        <w:t xml:space="preserve"> </w:t>
      </w:r>
      <w:r w:rsidRPr="007C45C4">
        <w:rPr>
          <w:lang w:val="en-US"/>
        </w:rPr>
        <w:t>rings modified by sulfur-containing functions.</w:t>
      </w:r>
      <w:r w:rsidR="000D21C1" w:rsidRPr="007C45C4">
        <w:rPr>
          <w:lang w:val="en-US"/>
        </w:rPr>
        <w:fldChar w:fldCharType="begin" w:fldLock="1"/>
      </w:r>
      <w:r w:rsidRPr="007C45C4">
        <w:rPr>
          <w:lang w:val="en-US"/>
        </w:rPr>
        <w:instrText>ADDIN CSL_CITATION {"citationItems":[{"id":"ITEM-1","itemData":{"DOI":"10.1039/B707310K","ISSN":"0306-0012","abstract":"6-Substituted fulvenes are interesting and easily accessible starting materials for the synthesis of novel substituted titanocenes via reductive dimerisation, carbolithiation or hydridolithiation reactions, which are followed by a transmetallation reaction with titanium tetrachloride in the latter two cases. Depending on the substitution pattern, these titanocenes prove to be bioorganometallic anti-cancer drugs, which have significant potential against advanced or metastatic renal-cell cancer. Patients bearing these stages of kidney cancer have a poor prognosis so far and therefore real progress in the area of metal-based anti-cancer drugs may come from this simple and effective synthetic approach. This tutorial review provides an insight into the synthesis of fulvene-derived titanocenes and their activity in preclinical experiments.","author":[{"dropping-particle":"","family":"Strohfeldt","given":"Katja","non-dropping-particle":"","parse-names":false,"suffix":""},{"dropping-particle":"","family":"Tacke","given":"Matthias","non-dropping-particle":"","parse-names":false,"suffix":""}],"container-title":"Chemical Society Reviews","id":"ITEM-1","issue":"6","issued":{"date-parts":[["2008"]]},"page":"1174-1187","publisher":"The Royal Society of Chemistry","title":"Bioorganometallic fulvene-derived titanocene anti-cancer drugs","type":"article-journal","volume":"37"},"uris":["http://www.mendeley.com/documents/?uuid=11f7b5ae-0f4e-4ace-bc0f-5e44ae6d131d"]}],"mendeley":{"formattedCitation":"&lt;sup&gt;19&lt;/sup&gt;","plainTextFormattedCitation":"19","previouslyFormattedCitation":"&lt;sup&gt;19&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19</w:t>
      </w:r>
      <w:r w:rsidR="000D21C1" w:rsidRPr="007C45C4">
        <w:rPr>
          <w:lang w:val="en-US"/>
        </w:rPr>
        <w:fldChar w:fldCharType="end"/>
      </w:r>
      <w:r w:rsidRPr="007C45C4">
        <w:rPr>
          <w:lang w:val="en-US"/>
        </w:rPr>
        <w:t xml:space="preserve"> Although mechanism how sulfur atom from the </w:t>
      </w:r>
      <w:proofErr w:type="spellStart"/>
      <w:r w:rsidRPr="007C45C4">
        <w:rPr>
          <w:lang w:val="en-US"/>
        </w:rPr>
        <w:t>Cp</w:t>
      </w:r>
      <w:proofErr w:type="spellEnd"/>
      <w:r w:rsidRPr="007C45C4">
        <w:rPr>
          <w:lang w:val="en-US"/>
        </w:rPr>
        <w:t xml:space="preserve"> side chain affects cytotoxicity has not been revealed, the substituted TDC exhibits cytotoxicity toward pig kidney cell line LLC-PK approximately one order of magnitude stronger compared to unsubstituted TDC.</w:t>
      </w:r>
      <w:r w:rsidR="000D21C1" w:rsidRPr="007C45C4">
        <w:rPr>
          <w:lang w:val="en-US"/>
        </w:rPr>
        <w:fldChar w:fldCharType="begin" w:fldLock="1"/>
      </w:r>
      <w:r w:rsidRPr="007C45C4">
        <w:rPr>
          <w:lang w:val="en-US"/>
        </w:rPr>
        <w:instrText>ADDIN CSL_CITATION {"citationItems":[{"id":"ITEM-1","itemData":{"DOI":"10.1039/B707310K","ISSN":"0306-0012","abstract":"6-Substituted fulvenes are interesting and easily accessible starting materials for the synthesis of novel substituted titanocenes via reductive dimerisation, carbolithiation or hydridolithiation reactions, which are followed by a transmetallation reaction with titanium tetrachloride in the latter two cases. Depending on the substitution pattern, these titanocenes prove to be bioorganometallic anti-cancer drugs, which have significant potential against advanced or metastatic renal-cell cancer. Patients bearing these stages of kidney cancer have a poor prognosis so far and therefore real progress in the area of metal-based anti-cancer drugs may come from this simple and effective synthetic approach. This tutorial review provides an insight into the synthesis of fulvene-derived titanocenes and their activity in preclinical experiments.","author":[{"dropping-particle":"","family":"Strohfeldt","given":"Katja","non-dropping-particle":"","parse-names":false,"suffix":""},{"dropping-particle":"","family":"Tacke","given":"Matthias","non-dropping-particle":"","parse-names":false,"suffix":""}],"container-title":"Chemical Society Reviews","id":"ITEM-1","issue":"6","issued":{"date-parts":[["2008"]]},"page":"1174-1187","publisher":"The Royal Society of Chemistry","title":"Bioorganometallic fulvene-derived titanocene anti-cancer drugs","type":"article-journal","volume":"37"},"uris":["http://www.mendeley.com/documents/?uuid=11f7b5ae-0f4e-4ace-bc0f-5e44ae6d131d"]}],"mendeley":{"formattedCitation":"&lt;sup&gt;19&lt;/sup&gt;","plainTextFormattedCitation":"19","previouslyFormattedCitation":"&lt;sup&gt;19&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19</w:t>
      </w:r>
      <w:r w:rsidR="000D21C1" w:rsidRPr="007C45C4">
        <w:rPr>
          <w:lang w:val="en-US"/>
        </w:rPr>
        <w:fldChar w:fldCharType="end"/>
      </w:r>
    </w:p>
    <w:p w14:paraId="2D22D3C0" w14:textId="77777777" w:rsidR="003942F5" w:rsidRPr="007C45C4" w:rsidRDefault="003942F5" w:rsidP="003942F5">
      <w:pPr>
        <w:pStyle w:val="RSCB02ArticleText"/>
        <w:rPr>
          <w:rFonts w:cs="Arial"/>
          <w:bCs/>
          <w:lang w:val="en-US"/>
        </w:rPr>
      </w:pPr>
      <w:r w:rsidRPr="007C45C4">
        <w:rPr>
          <w:lang w:val="en-US"/>
        </w:rPr>
        <w:t xml:space="preserve">The aim of this work is to synthesized indenyl molybdenum complexes of type </w:t>
      </w:r>
      <w:r w:rsidRPr="007C45C4">
        <w:rPr>
          <w:rFonts w:cs="Arial"/>
          <w:bCs/>
          <w:lang w:val="en-US"/>
        </w:rPr>
        <w:t>[(</w:t>
      </w:r>
      <w:r w:rsidRPr="007C45C4">
        <w:rPr>
          <w:rFonts w:cs="Arial"/>
          <w:bCs/>
          <w:i/>
          <w:lang w:val="en-US"/>
        </w:rPr>
        <w:t>η</w:t>
      </w:r>
      <w:r w:rsidRPr="007C45C4">
        <w:rPr>
          <w:rFonts w:cs="Arial"/>
          <w:bCs/>
          <w:vertAlign w:val="superscript"/>
          <w:lang w:val="en-US"/>
        </w:rPr>
        <w:t>5</w:t>
      </w:r>
      <w:r w:rsidRPr="007C45C4">
        <w:rPr>
          <w:rFonts w:cs="Arial"/>
          <w:bCs/>
          <w:lang w:val="en-US"/>
        </w:rPr>
        <w:noBreakHyphen/>
        <w:t>Ind'</w:t>
      </w:r>
      <w:proofErr w:type="gramStart"/>
      <w:r w:rsidRPr="007C45C4">
        <w:rPr>
          <w:rFonts w:cs="Arial"/>
          <w:bCs/>
          <w:lang w:val="en-US"/>
        </w:rPr>
        <w:t>)Mo</w:t>
      </w:r>
      <w:proofErr w:type="gramEnd"/>
      <w:r w:rsidRPr="007C45C4">
        <w:rPr>
          <w:rFonts w:cs="Arial"/>
          <w:bCs/>
          <w:lang w:val="en-US"/>
        </w:rPr>
        <w:t>(CO)</w:t>
      </w:r>
      <w:r w:rsidRPr="007C45C4">
        <w:rPr>
          <w:rFonts w:cs="Arial"/>
          <w:bCs/>
          <w:vertAlign w:val="subscript"/>
          <w:lang w:val="en-US"/>
        </w:rPr>
        <w:t>2</w:t>
      </w:r>
      <w:r w:rsidRPr="007C45C4">
        <w:rPr>
          <w:rFonts w:cs="Arial"/>
          <w:bCs/>
          <w:lang w:val="en-US"/>
        </w:rPr>
        <w:t>(</w:t>
      </w:r>
      <w:r w:rsidRPr="007C45C4">
        <w:rPr>
          <w:rFonts w:cs="Arial"/>
          <w:bCs/>
          <w:vertAlign w:val="superscript"/>
          <w:lang w:val="en-US"/>
        </w:rPr>
        <w:t>N,N</w:t>
      </w:r>
      <w:r w:rsidRPr="007C45C4">
        <w:rPr>
          <w:rFonts w:cs="Arial"/>
          <w:bCs/>
          <w:lang w:val="en-US"/>
        </w:rPr>
        <w:t>L)][BF</w:t>
      </w:r>
      <w:r w:rsidRPr="007C45C4">
        <w:rPr>
          <w:rFonts w:cs="Arial"/>
          <w:bCs/>
          <w:vertAlign w:val="subscript"/>
          <w:lang w:val="en-US"/>
        </w:rPr>
        <w:t>4</w:t>
      </w:r>
      <w:r w:rsidRPr="007C45C4">
        <w:rPr>
          <w:rFonts w:cs="Arial"/>
          <w:bCs/>
          <w:lang w:val="en-US"/>
        </w:rPr>
        <w:t xml:space="preserve">], where </w:t>
      </w:r>
      <w:proofErr w:type="spellStart"/>
      <w:r w:rsidRPr="007C45C4">
        <w:rPr>
          <w:rFonts w:cs="Arial"/>
          <w:bCs/>
          <w:lang w:val="en-US"/>
        </w:rPr>
        <w:t>Ind</w:t>
      </w:r>
      <w:proofErr w:type="spellEnd"/>
      <w:r w:rsidRPr="007C45C4">
        <w:rPr>
          <w:rFonts w:cs="Arial"/>
          <w:bCs/>
          <w:lang w:val="en-US"/>
        </w:rPr>
        <w:t xml:space="preserve">' is indenyl substituted by sulfur-based function and </w:t>
      </w:r>
      <w:r w:rsidRPr="007C45C4">
        <w:rPr>
          <w:rFonts w:cs="Arial"/>
          <w:bCs/>
          <w:vertAlign w:val="superscript"/>
          <w:lang w:val="en-US"/>
        </w:rPr>
        <w:t>N,N</w:t>
      </w:r>
      <w:r w:rsidRPr="007C45C4">
        <w:rPr>
          <w:rFonts w:cs="Arial"/>
          <w:bCs/>
          <w:lang w:val="en-US"/>
        </w:rPr>
        <w:t xml:space="preserve">L is bidentate </w:t>
      </w:r>
      <w:r w:rsidRPr="007C45C4">
        <w:rPr>
          <w:rFonts w:cs="Arial"/>
          <w:bCs/>
          <w:i/>
          <w:lang w:val="en-US"/>
        </w:rPr>
        <w:t>N</w:t>
      </w:r>
      <w:r w:rsidRPr="007C45C4">
        <w:rPr>
          <w:rFonts w:cs="Arial"/>
          <w:bCs/>
          <w:lang w:val="en-US"/>
        </w:rPr>
        <w:t>,</w:t>
      </w:r>
      <w:r w:rsidRPr="007C45C4">
        <w:rPr>
          <w:rFonts w:cs="Arial"/>
          <w:bCs/>
          <w:i/>
          <w:lang w:val="en-US"/>
        </w:rPr>
        <w:t>N</w:t>
      </w:r>
      <w:r w:rsidRPr="007C45C4">
        <w:rPr>
          <w:rFonts w:cs="Arial"/>
          <w:bCs/>
          <w:lang w:val="en-US"/>
        </w:rPr>
        <w:t xml:space="preserve">-chelate, and evaluate the effect of sulfur-containing group on anti-cancer activity. For this purpose </w:t>
      </w:r>
      <w:proofErr w:type="spellStart"/>
      <w:r w:rsidRPr="007C45C4">
        <w:rPr>
          <w:rFonts w:cs="Arial"/>
          <w:bCs/>
          <w:lang w:val="en-US"/>
        </w:rPr>
        <w:t>thiophenyl</w:t>
      </w:r>
      <w:proofErr w:type="spellEnd"/>
      <w:r w:rsidRPr="007C45C4">
        <w:rPr>
          <w:rFonts w:cs="Arial"/>
          <w:bCs/>
          <w:lang w:val="en-US"/>
        </w:rPr>
        <w:t xml:space="preserve">-functionalization of indenyl seems to be suitable </w:t>
      </w:r>
      <w:r w:rsidRPr="007C45C4">
        <w:rPr>
          <w:rFonts w:cs="Arial"/>
          <w:bCs/>
          <w:lang w:val="en-US"/>
        </w:rPr>
        <w:lastRenderedPageBreak/>
        <w:t>due to relatively simple and cheap synthesis</w:t>
      </w:r>
      <w:r w:rsidR="00C75D37" w:rsidRPr="007C45C4">
        <w:rPr>
          <w:rFonts w:cs="Arial"/>
          <w:bCs/>
          <w:lang w:val="en-US"/>
        </w:rPr>
        <w:t>,</w:t>
      </w:r>
      <w:r w:rsidRPr="007C45C4">
        <w:rPr>
          <w:rFonts w:cs="Arial"/>
          <w:bCs/>
          <w:lang w:val="en-US"/>
        </w:rPr>
        <w:t xml:space="preserve"> which enable synthesis in the order of grams.</w:t>
      </w:r>
    </w:p>
    <w:p w14:paraId="2C2247B7" w14:textId="77777777" w:rsidR="003942F5" w:rsidRPr="007C45C4" w:rsidRDefault="003942F5" w:rsidP="003942F5">
      <w:pPr>
        <w:pStyle w:val="RSCB04AHeadingSection"/>
        <w:rPr>
          <w:lang w:val="en-US"/>
        </w:rPr>
      </w:pPr>
      <w:r w:rsidRPr="007C45C4">
        <w:rPr>
          <w:lang w:val="en-US"/>
        </w:rPr>
        <w:t>Results and discussion</w:t>
      </w:r>
    </w:p>
    <w:p w14:paraId="3A260A17" w14:textId="77777777" w:rsidR="003942F5" w:rsidRPr="007C45C4" w:rsidRDefault="003942F5" w:rsidP="003942F5">
      <w:pPr>
        <w:pStyle w:val="RSCB06BHeadingSub-Section"/>
        <w:rPr>
          <w:lang w:val="en-US"/>
        </w:rPr>
      </w:pPr>
      <w:r w:rsidRPr="007C45C4">
        <w:rPr>
          <w:lang w:val="en-US"/>
        </w:rPr>
        <w:t>Synthesis of allyl molybdenum precursors</w:t>
      </w:r>
    </w:p>
    <w:p w14:paraId="605DE4F0" w14:textId="304A0927" w:rsidR="00831720" w:rsidRPr="007C45C4" w:rsidRDefault="00831720" w:rsidP="00831720">
      <w:pPr>
        <w:pStyle w:val="RSCB02ArticleText"/>
        <w:rPr>
          <w:lang w:val="en-US"/>
        </w:rPr>
      </w:pPr>
      <w:r w:rsidRPr="007C45C4">
        <w:rPr>
          <w:lang w:val="en-US"/>
        </w:rPr>
        <w:t xml:space="preserve">Indene substituted by thiophene group, </w:t>
      </w:r>
      <w:r w:rsidRPr="007C45C4">
        <w:rPr>
          <w:rFonts w:cs="Arial"/>
          <w:szCs w:val="15"/>
          <w:lang w:val="en-US"/>
        </w:rPr>
        <w:t>C</w:t>
      </w:r>
      <w:r w:rsidRPr="007C45C4">
        <w:rPr>
          <w:rFonts w:cs="Arial"/>
          <w:szCs w:val="15"/>
          <w:vertAlign w:val="subscript"/>
          <w:lang w:val="en-US"/>
        </w:rPr>
        <w:t>9</w:t>
      </w:r>
      <w:r w:rsidRPr="007C45C4">
        <w:rPr>
          <w:rFonts w:cs="Arial"/>
          <w:szCs w:val="15"/>
          <w:lang w:val="en-US"/>
        </w:rPr>
        <w:t>H</w:t>
      </w:r>
      <w:r w:rsidRPr="007C45C4">
        <w:rPr>
          <w:rFonts w:cs="Arial"/>
          <w:szCs w:val="15"/>
          <w:vertAlign w:val="subscript"/>
          <w:lang w:val="en-US"/>
        </w:rPr>
        <w:t>7</w:t>
      </w:r>
      <w:r w:rsidRPr="007C45C4">
        <w:rPr>
          <w:rFonts w:cs="Arial"/>
          <w:szCs w:val="15"/>
          <w:lang w:val="en-US"/>
        </w:rPr>
        <w:t>CH</w:t>
      </w:r>
      <w:r w:rsidRPr="007C45C4">
        <w:rPr>
          <w:rFonts w:cs="Arial"/>
          <w:szCs w:val="15"/>
          <w:vertAlign w:val="subscript"/>
          <w:lang w:val="en-US"/>
        </w:rPr>
        <w:t>2</w:t>
      </w:r>
      <w:r w:rsidRPr="007C45C4">
        <w:rPr>
          <w:rFonts w:cs="Arial"/>
          <w:szCs w:val="15"/>
          <w:lang w:val="en-US"/>
        </w:rPr>
        <w:t>C</w:t>
      </w:r>
      <w:r w:rsidRPr="007C45C4">
        <w:rPr>
          <w:rFonts w:cs="Arial"/>
          <w:szCs w:val="15"/>
          <w:vertAlign w:val="subscript"/>
          <w:lang w:val="en-US"/>
        </w:rPr>
        <w:t>4</w:t>
      </w:r>
      <w:r w:rsidRPr="007C45C4">
        <w:rPr>
          <w:rFonts w:cs="Arial"/>
          <w:szCs w:val="15"/>
          <w:lang w:val="en-US"/>
        </w:rPr>
        <w:t>H</w:t>
      </w:r>
      <w:r w:rsidRPr="007C45C4">
        <w:rPr>
          <w:rFonts w:cs="Arial"/>
          <w:szCs w:val="15"/>
          <w:vertAlign w:val="subscript"/>
          <w:lang w:val="en-US"/>
        </w:rPr>
        <w:t>3</w:t>
      </w:r>
      <w:r w:rsidRPr="007C45C4">
        <w:rPr>
          <w:rFonts w:cs="Arial"/>
          <w:szCs w:val="15"/>
          <w:lang w:val="en-US"/>
        </w:rPr>
        <w:t>S (</w:t>
      </w:r>
      <w:r w:rsidRPr="007C45C4">
        <w:rPr>
          <w:rFonts w:cs="Arial"/>
          <w:b/>
          <w:szCs w:val="15"/>
          <w:lang w:val="en-US"/>
        </w:rPr>
        <w:t>1</w:t>
      </w:r>
      <w:r w:rsidRPr="007C45C4">
        <w:rPr>
          <w:rFonts w:cs="Arial"/>
          <w:szCs w:val="15"/>
          <w:lang w:val="en-US"/>
        </w:rPr>
        <w:t>)</w:t>
      </w:r>
      <w:r w:rsidRPr="007C45C4">
        <w:rPr>
          <w:lang w:val="en-US"/>
        </w:rPr>
        <w:t xml:space="preserve">, was synthesized according </w:t>
      </w:r>
      <w:r w:rsidR="00D47B05" w:rsidRPr="007C45C4">
        <w:rPr>
          <w:lang w:val="en-US"/>
        </w:rPr>
        <w:t>S</w:t>
      </w:r>
      <w:r w:rsidRPr="007C45C4">
        <w:rPr>
          <w:lang w:val="en-US"/>
        </w:rPr>
        <w:t>cheme 1. Firstly,</w:t>
      </w:r>
      <w:r w:rsidR="00945AB5" w:rsidRPr="007C45C4">
        <w:rPr>
          <w:lang w:val="en-US"/>
        </w:rPr>
        <w:t xml:space="preserve"> </w:t>
      </w:r>
      <w:r w:rsidRPr="007C45C4">
        <w:rPr>
          <w:lang w:val="en-US"/>
        </w:rPr>
        <w:t>2-(chlo</w:t>
      </w:r>
      <w:r w:rsidR="00F633EC" w:rsidRPr="007C45C4">
        <w:rPr>
          <w:lang w:val="en-US"/>
        </w:rPr>
        <w:t>romethyl)thiophene was prepared</w:t>
      </w:r>
      <w:r w:rsidRPr="007C45C4">
        <w:rPr>
          <w:lang w:val="en-US"/>
        </w:rPr>
        <w:t xml:space="preserve"> by protocol described in literature using one pot reaction of hydrogen chloride, formaldehyde and thiophene.</w:t>
      </w:r>
      <w:r w:rsidR="000D21C1" w:rsidRPr="007C45C4">
        <w:rPr>
          <w:lang w:val="en-US"/>
        </w:rPr>
        <w:fldChar w:fldCharType="begin" w:fldLock="1"/>
      </w:r>
      <w:r w:rsidRPr="007C45C4">
        <w:rPr>
          <w:lang w:val="en-US"/>
        </w:rPr>
        <w:instrText>ADDIN CSL_CITATION {"citationItems":[{"id":"ITEM-1","itemData":{"DOI":"10.1021/ja060141m","ISSN":"0002-7863","author":[{"dropping-particle":"","family":"Hou","given":"Jianhui","non-dropping-particle":"","parse-names":false,"suffix":""},{"dropping-particle":"","family":"Tan","given":"Zhan'ao","non-dropping-particle":"","parse-names":false,"suffix":""},{"dropping-particle":"","family":"Yan","given":"Yong","non-dropping-particle":"","parse-names":false,"suffix":""},{"dropping-particle":"","family":"He","given":"Youjun","non-dropping-particle":"","parse-names":false,"suffix":""},{"dropping-particle":"","family":"Yang","given":"Chunhe","non-dropping-particle":"","parse-names":false,"suffix":""},{"dropping-particle":"","family":"Li","given":"Yongfang","non-dropping-particle":"","parse-names":false,"suffix":""}],"container-title":"Journal of the American Chemical Society","id":"ITEM-1","issue":"14","issued":{"date-parts":[["2006","4","1"]]},"note":"doi: 10.1021/ja060141m","page":"4911-4916","publisher":"American Chemical Society","title":"Synthesis and Photovoltaic Properties of Two-Dimensional Conjugated Polythiophenes with Bi(thienylenevinylene) Side Chains","type":"article-journal","volume":"128"},"uris":["http://www.mendeley.com/documents/?uuid=9b64ff4c-995d-4665-8acb-0aefff1588c6"]}],"mendeley":{"formattedCitation":"&lt;sup&gt;20&lt;/sup&gt;","plainTextFormattedCitation":"20","previouslyFormattedCitation":"&lt;sup&gt;20&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20</w:t>
      </w:r>
      <w:r w:rsidR="000D21C1" w:rsidRPr="007C45C4">
        <w:rPr>
          <w:lang w:val="en-US"/>
        </w:rPr>
        <w:fldChar w:fldCharType="end"/>
      </w:r>
      <w:r w:rsidRPr="007C45C4">
        <w:rPr>
          <w:lang w:val="en-US"/>
        </w:rPr>
        <w:t xml:space="preserve"> This synthetic approach gives mixture of mono- and di-substituted thiophenes easily separable by vacuum distillation. Subsequently, desired indene </w:t>
      </w:r>
      <w:r w:rsidRPr="007C45C4">
        <w:rPr>
          <w:b/>
          <w:lang w:val="en-US"/>
        </w:rPr>
        <w:t>1</w:t>
      </w:r>
      <w:r w:rsidRPr="007C45C4">
        <w:rPr>
          <w:lang w:val="en-US"/>
        </w:rPr>
        <w:t xml:space="preserve"> was prepared by the reaction of 2-(chloromethyl</w:t>
      </w:r>
      <w:proofErr w:type="gramStart"/>
      <w:r w:rsidRPr="007C45C4">
        <w:rPr>
          <w:lang w:val="en-US"/>
        </w:rPr>
        <w:t>)thiophen</w:t>
      </w:r>
      <w:r w:rsidR="00EB132C" w:rsidRPr="007C45C4">
        <w:rPr>
          <w:lang w:val="en-US"/>
        </w:rPr>
        <w:t>e</w:t>
      </w:r>
      <w:proofErr w:type="gramEnd"/>
      <w:r w:rsidRPr="007C45C4">
        <w:rPr>
          <w:lang w:val="en-US"/>
        </w:rPr>
        <w:t xml:space="preserve"> and sodium indenide. We note that the compound </w:t>
      </w:r>
      <w:r w:rsidRPr="007C45C4">
        <w:rPr>
          <w:b/>
          <w:lang w:val="en-US"/>
        </w:rPr>
        <w:t>1</w:t>
      </w:r>
      <w:r w:rsidRPr="007C45C4">
        <w:rPr>
          <w:lang w:val="en-US"/>
        </w:rPr>
        <w:t xml:space="preserve"> is also accessible by </w:t>
      </w:r>
      <w:proofErr w:type="spellStart"/>
      <w:r w:rsidRPr="007C45C4">
        <w:rPr>
          <w:lang w:val="en-US"/>
        </w:rPr>
        <w:t>deconjugation</w:t>
      </w:r>
      <w:proofErr w:type="spellEnd"/>
      <w:r w:rsidRPr="007C45C4">
        <w:rPr>
          <w:lang w:val="en-US"/>
        </w:rPr>
        <w:t xml:space="preserve"> photolysis of (</w:t>
      </w:r>
      <w:r w:rsidRPr="007C45C4">
        <w:rPr>
          <w:i/>
          <w:lang w:val="en-US"/>
        </w:rPr>
        <w:t>E</w:t>
      </w:r>
      <w:r w:rsidRPr="007C45C4">
        <w:rPr>
          <w:lang w:val="en-US"/>
        </w:rPr>
        <w:t xml:space="preserve">)-2-(1-indenylidenemethyl)-thiophene in presence of </w:t>
      </w:r>
      <w:proofErr w:type="spellStart"/>
      <w:r w:rsidRPr="007C45C4">
        <w:rPr>
          <w:lang w:val="en-US"/>
        </w:rPr>
        <w:t>protic</w:t>
      </w:r>
      <w:proofErr w:type="spellEnd"/>
      <w:r w:rsidRPr="007C45C4">
        <w:rPr>
          <w:lang w:val="en-US"/>
        </w:rPr>
        <w:t xml:space="preserve"> acid.</w:t>
      </w:r>
      <w:r w:rsidR="000D21C1" w:rsidRPr="007C45C4">
        <w:rPr>
          <w:lang w:val="en-US"/>
        </w:rPr>
        <w:fldChar w:fldCharType="begin" w:fldLock="1"/>
      </w:r>
      <w:r w:rsidRPr="007C45C4">
        <w:rPr>
          <w:lang w:val="en-US"/>
        </w:rPr>
        <w:instrText>ADDIN CSL_CITATION {"citationItems":[{"id":"ITEM-1","itemData":{"DOI":"https://doi.org/10.1016/j.tetlet.2004.05.108","ISSN":"0040-4039","abstract":"A new photodeconjugation reaction of (E) indanylidene methylarenes (1a–d) carried out by photolysis in the presence of protic acid are reported with 80% to &gt;95% yields. The reaction mechanism is through the protonation of the less stable (Z) isomer to form stable indanyl cation followed by deprotonation.","author":[{"dropping-particle":"","family":"Ho","given":"Tong-Ing","non-dropping-particle":"","parse-names":false,"suffix":""},{"dropping-particle":"","family":"Li","given":"Tai-Chen","non-dropping-particle":"","parse-names":false,"suffix":""}],"container-title":"Tetrahedron Letters","id":"ITEM-1","issue":"29","issued":{"date-parts":[["2004"]]},"page":"5665-5667","title":"New deconjugation reaction of (E)-1-indanylidene methylarene brought by photolysis with protic acid","type":"article-journal","volume":"45"},"uris":["http://www.mendeley.com/documents/?uuid=69992ad9-0e76-40e3-95f8-0c0356c7ee3a"]}],"mendeley":{"formattedCitation":"&lt;sup&gt;21&lt;/sup&gt;","plainTextFormattedCitation":"21","previouslyFormattedCitation":"&lt;sup&gt;21&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21</w:t>
      </w:r>
      <w:r w:rsidR="000D21C1" w:rsidRPr="007C45C4">
        <w:rPr>
          <w:lang w:val="en-US"/>
        </w:rPr>
        <w:fldChar w:fldCharType="end"/>
      </w:r>
      <w:r w:rsidRPr="007C45C4">
        <w:rPr>
          <w:lang w:val="en-US"/>
        </w:rPr>
        <w:t xml:space="preserve"> Nevertheless, the here reported method combines high yields and cheap starting material as main advantages. </w:t>
      </w:r>
    </w:p>
    <w:p w14:paraId="0D24C5C6" w14:textId="77777777" w:rsidR="00831720" w:rsidRPr="007C45C4" w:rsidRDefault="001A50E0" w:rsidP="00DD1497">
      <w:pPr>
        <w:pStyle w:val="RSCI02FigureSchemeChartwithtopbar"/>
        <w:rPr>
          <w:lang w:val="en-US"/>
        </w:rPr>
      </w:pPr>
      <w:r w:rsidRPr="007C45C4">
        <w:rPr>
          <w:noProof/>
          <w:lang w:val="en-US"/>
        </w:rPr>
        <w:drawing>
          <wp:inline distT="0" distB="0" distL="0" distR="0" wp14:anchorId="3AFDA34B" wp14:editId="2F6E5880">
            <wp:extent cx="2072640" cy="603250"/>
            <wp:effectExtent l="0" t="0" r="3810" b="6350"/>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2640" cy="603250"/>
                    </a:xfrm>
                    <a:prstGeom prst="rect">
                      <a:avLst/>
                    </a:prstGeom>
                    <a:noFill/>
                  </pic:spPr>
                </pic:pic>
              </a:graphicData>
            </a:graphic>
          </wp:inline>
        </w:drawing>
      </w:r>
    </w:p>
    <w:p w14:paraId="56C3F6B3" w14:textId="704AB2FD" w:rsidR="001A50E0" w:rsidRPr="007C45C4" w:rsidRDefault="001A50E0" w:rsidP="00D654AD">
      <w:pPr>
        <w:pStyle w:val="RSCI05CaptiontoFigureSchemeChartwithbottombar"/>
        <w:rPr>
          <w:w w:val="108"/>
          <w:lang w:val="en-US"/>
        </w:rPr>
      </w:pPr>
      <w:r w:rsidRPr="007C45C4">
        <w:rPr>
          <w:b/>
          <w:w w:val="108"/>
          <w:lang w:val="en-US"/>
        </w:rPr>
        <w:t xml:space="preserve">Scheme </w:t>
      </w:r>
      <w:proofErr w:type="gramStart"/>
      <w:r w:rsidRPr="007C45C4">
        <w:rPr>
          <w:b/>
          <w:w w:val="108"/>
          <w:lang w:val="en-US"/>
        </w:rPr>
        <w:t>1</w:t>
      </w:r>
      <w:proofErr w:type="gramEnd"/>
      <w:r w:rsidR="00F26C79">
        <w:rPr>
          <w:b/>
          <w:w w:val="108"/>
          <w:lang w:val="en-US"/>
        </w:rPr>
        <w:t xml:space="preserve"> </w:t>
      </w:r>
      <w:r w:rsidRPr="007C45C4">
        <w:rPr>
          <w:w w:val="108"/>
          <w:lang w:val="en-US"/>
        </w:rPr>
        <w:t xml:space="preserve">Synthesis of substituted indene </w:t>
      </w:r>
      <w:r w:rsidRPr="007C45C4">
        <w:rPr>
          <w:b/>
          <w:w w:val="108"/>
          <w:lang w:val="en-US"/>
        </w:rPr>
        <w:t>1</w:t>
      </w:r>
      <w:r w:rsidRPr="007C45C4">
        <w:rPr>
          <w:w w:val="108"/>
          <w:lang w:val="en-US"/>
        </w:rPr>
        <w:t>.</w:t>
      </w:r>
    </w:p>
    <w:p w14:paraId="36DC0C97" w14:textId="77777777" w:rsidR="00180CCB" w:rsidRPr="007C45C4" w:rsidRDefault="00180CCB" w:rsidP="00180CCB">
      <w:pPr>
        <w:pStyle w:val="RSCB02ArticleText"/>
        <w:rPr>
          <w:lang w:val="en-US"/>
        </w:rPr>
      </w:pPr>
      <w:proofErr w:type="spellStart"/>
      <w:r w:rsidRPr="007C45C4">
        <w:rPr>
          <w:rFonts w:cs="Arial"/>
          <w:szCs w:val="17"/>
          <w:lang w:val="en-US"/>
        </w:rPr>
        <w:t>Lithiation</w:t>
      </w:r>
      <w:proofErr w:type="spellEnd"/>
      <w:r w:rsidRPr="007C45C4">
        <w:rPr>
          <w:rFonts w:cs="Arial"/>
          <w:szCs w:val="17"/>
          <w:lang w:val="en-US"/>
        </w:rPr>
        <w:t xml:space="preserve"> of </w:t>
      </w:r>
      <w:r w:rsidRPr="007C45C4">
        <w:rPr>
          <w:rFonts w:cs="Arial"/>
          <w:b/>
          <w:szCs w:val="17"/>
          <w:lang w:val="en-US"/>
        </w:rPr>
        <w:t>1</w:t>
      </w:r>
      <w:r w:rsidRPr="007C45C4">
        <w:rPr>
          <w:rFonts w:cs="Arial"/>
          <w:szCs w:val="17"/>
          <w:lang w:val="en-US"/>
        </w:rPr>
        <w:t xml:space="preserve"> with </w:t>
      </w:r>
      <w:proofErr w:type="spellStart"/>
      <w:r w:rsidRPr="007C45C4">
        <w:rPr>
          <w:rFonts w:cs="Arial"/>
          <w:i/>
          <w:szCs w:val="17"/>
          <w:lang w:val="en-US"/>
        </w:rPr>
        <w:t>n</w:t>
      </w:r>
      <w:r w:rsidRPr="007C45C4">
        <w:rPr>
          <w:rFonts w:cs="Arial"/>
          <w:szCs w:val="17"/>
          <w:lang w:val="en-US"/>
        </w:rPr>
        <w:t>BuLi</w:t>
      </w:r>
      <w:proofErr w:type="spellEnd"/>
      <w:r w:rsidRPr="007C45C4">
        <w:rPr>
          <w:rFonts w:cs="Arial"/>
          <w:szCs w:val="17"/>
          <w:lang w:val="en-US"/>
        </w:rPr>
        <w:t xml:space="preserve"> in THF gives substituted indenyl lithium </w:t>
      </w:r>
      <w:r w:rsidRPr="007C45C4">
        <w:rPr>
          <w:rFonts w:cs="Arial"/>
          <w:b/>
          <w:szCs w:val="17"/>
          <w:lang w:val="en-US"/>
        </w:rPr>
        <w:t>1</w:t>
      </w:r>
      <w:r w:rsidRPr="007C45C4">
        <w:rPr>
          <w:rFonts w:cs="Arial"/>
          <w:szCs w:val="17"/>
          <w:lang w:val="en-US"/>
        </w:rPr>
        <w:t>-Li, which readily reacts with molybdenum complex [(</w:t>
      </w:r>
      <w:r w:rsidRPr="007C45C4">
        <w:rPr>
          <w:rFonts w:cs="Arial"/>
          <w:i/>
          <w:iCs/>
          <w:szCs w:val="17"/>
          <w:lang w:val="en-US"/>
        </w:rPr>
        <w:t>η</w:t>
      </w:r>
      <w:r w:rsidRPr="007C45C4">
        <w:rPr>
          <w:rFonts w:cs="Arial"/>
          <w:szCs w:val="17"/>
          <w:vertAlign w:val="superscript"/>
          <w:lang w:val="en-US"/>
        </w:rPr>
        <w:t>3</w:t>
      </w:r>
      <w:r w:rsidRPr="007C45C4">
        <w:rPr>
          <w:rFonts w:cs="Arial"/>
          <w:b/>
          <w:bCs/>
          <w:szCs w:val="17"/>
          <w:lang w:val="en-US"/>
        </w:rPr>
        <w:t>-</w:t>
      </w:r>
      <w:r w:rsidRPr="007C45C4">
        <w:rPr>
          <w:rFonts w:cs="Arial"/>
          <w:szCs w:val="17"/>
          <w:lang w:val="en-US"/>
        </w:rPr>
        <w:t>C</w:t>
      </w:r>
      <w:r w:rsidRPr="007C45C4">
        <w:rPr>
          <w:rFonts w:cs="Arial"/>
          <w:szCs w:val="17"/>
          <w:vertAlign w:val="subscript"/>
          <w:lang w:val="en-US"/>
        </w:rPr>
        <w:t>3</w:t>
      </w:r>
      <w:r w:rsidRPr="007C45C4">
        <w:rPr>
          <w:rFonts w:cs="Arial"/>
          <w:szCs w:val="17"/>
          <w:lang w:val="en-US"/>
        </w:rPr>
        <w:t>H</w:t>
      </w:r>
      <w:r w:rsidRPr="007C45C4">
        <w:rPr>
          <w:rFonts w:cs="Arial"/>
          <w:szCs w:val="17"/>
          <w:vertAlign w:val="subscript"/>
          <w:lang w:val="en-US"/>
        </w:rPr>
        <w:t>5</w:t>
      </w:r>
      <w:r w:rsidRPr="007C45C4">
        <w:rPr>
          <w:rFonts w:cs="Arial"/>
          <w:szCs w:val="17"/>
          <w:lang w:val="en-US"/>
        </w:rPr>
        <w:t>)Mo(CO)</w:t>
      </w:r>
      <w:r w:rsidRPr="007C45C4">
        <w:rPr>
          <w:rFonts w:cs="Arial"/>
          <w:szCs w:val="17"/>
          <w:vertAlign w:val="subscript"/>
          <w:lang w:val="en-US"/>
        </w:rPr>
        <w:t>2</w:t>
      </w:r>
      <w:r w:rsidRPr="007C45C4">
        <w:rPr>
          <w:rFonts w:cs="Arial"/>
          <w:szCs w:val="17"/>
          <w:lang w:val="en-US"/>
        </w:rPr>
        <w:t>(</w:t>
      </w:r>
      <w:proofErr w:type="spellStart"/>
      <w:r w:rsidRPr="007C45C4">
        <w:rPr>
          <w:rFonts w:cs="Arial"/>
          <w:szCs w:val="17"/>
          <w:lang w:val="en-US"/>
        </w:rPr>
        <w:t>NCMe</w:t>
      </w:r>
      <w:proofErr w:type="spellEnd"/>
      <w:r w:rsidRPr="007C45C4">
        <w:rPr>
          <w:rFonts w:cs="Arial"/>
          <w:szCs w:val="17"/>
          <w:lang w:val="en-US"/>
        </w:rPr>
        <w:t>)</w:t>
      </w:r>
      <w:r w:rsidRPr="007C45C4">
        <w:rPr>
          <w:rFonts w:cs="Arial"/>
          <w:szCs w:val="17"/>
          <w:vertAlign w:val="subscript"/>
          <w:lang w:val="en-US"/>
        </w:rPr>
        <w:t>2</w:t>
      </w:r>
      <w:r w:rsidRPr="007C45C4">
        <w:rPr>
          <w:rFonts w:cs="Arial"/>
          <w:szCs w:val="17"/>
          <w:lang w:val="en-US"/>
        </w:rPr>
        <w:t>Cl] to afford mixed allyl-indenyl compound [(</w:t>
      </w:r>
      <w:r w:rsidRPr="007C45C4">
        <w:rPr>
          <w:rFonts w:cs="Arial"/>
          <w:i/>
          <w:szCs w:val="17"/>
          <w:lang w:val="en-US"/>
        </w:rPr>
        <w:t>η</w:t>
      </w:r>
      <w:r w:rsidRPr="007C45C4">
        <w:rPr>
          <w:rFonts w:cs="Arial"/>
          <w:szCs w:val="17"/>
          <w:vertAlign w:val="superscript"/>
          <w:lang w:val="en-US"/>
        </w:rPr>
        <w:t>5</w:t>
      </w:r>
      <w:r w:rsidRPr="007C45C4">
        <w:rPr>
          <w:rFonts w:cs="Arial"/>
          <w:szCs w:val="17"/>
          <w:lang w:val="en-US"/>
        </w:rPr>
        <w:t>-C</w:t>
      </w:r>
      <w:r w:rsidRPr="007C45C4">
        <w:rPr>
          <w:rFonts w:cs="Arial"/>
          <w:szCs w:val="17"/>
          <w:vertAlign w:val="subscript"/>
          <w:lang w:val="en-US"/>
        </w:rPr>
        <w:t>9</w:t>
      </w:r>
      <w:r w:rsidRPr="007C45C4">
        <w:rPr>
          <w:rFonts w:cs="Arial"/>
          <w:szCs w:val="17"/>
          <w:lang w:val="en-US"/>
        </w:rPr>
        <w:t>H</w:t>
      </w:r>
      <w:r w:rsidRPr="007C45C4">
        <w:rPr>
          <w:rFonts w:cs="Arial"/>
          <w:szCs w:val="17"/>
          <w:vertAlign w:val="subscript"/>
          <w:lang w:val="en-US"/>
        </w:rPr>
        <w:t>6</w:t>
      </w:r>
      <w:r w:rsidRPr="007C45C4">
        <w:rPr>
          <w:rFonts w:cs="Arial"/>
          <w:szCs w:val="17"/>
          <w:lang w:val="en-US"/>
        </w:rPr>
        <w:t>CH</w:t>
      </w:r>
      <w:r w:rsidRPr="007C45C4">
        <w:rPr>
          <w:rFonts w:cs="Arial"/>
          <w:szCs w:val="17"/>
          <w:vertAlign w:val="subscript"/>
          <w:lang w:val="en-US"/>
        </w:rPr>
        <w:t>2</w:t>
      </w:r>
      <w:r w:rsidRPr="007C45C4">
        <w:rPr>
          <w:rFonts w:cs="Arial"/>
          <w:szCs w:val="17"/>
          <w:lang w:val="en-US"/>
        </w:rPr>
        <w:t>C</w:t>
      </w:r>
      <w:r w:rsidRPr="007C45C4">
        <w:rPr>
          <w:rFonts w:cs="Arial"/>
          <w:szCs w:val="17"/>
          <w:vertAlign w:val="subscript"/>
          <w:lang w:val="en-US"/>
        </w:rPr>
        <w:t>4</w:t>
      </w:r>
      <w:r w:rsidRPr="007C45C4">
        <w:rPr>
          <w:rFonts w:cs="Arial"/>
          <w:szCs w:val="17"/>
          <w:lang w:val="en-US"/>
        </w:rPr>
        <w:t>H</w:t>
      </w:r>
      <w:r w:rsidRPr="007C45C4">
        <w:rPr>
          <w:rFonts w:cs="Arial"/>
          <w:szCs w:val="17"/>
          <w:vertAlign w:val="subscript"/>
          <w:lang w:val="en-US"/>
        </w:rPr>
        <w:t>3</w:t>
      </w:r>
      <w:r w:rsidRPr="007C45C4">
        <w:rPr>
          <w:rFonts w:cs="Arial"/>
          <w:szCs w:val="17"/>
          <w:lang w:val="en-US"/>
        </w:rPr>
        <w:t>S)(</w:t>
      </w:r>
      <w:r w:rsidRPr="007C45C4">
        <w:rPr>
          <w:rFonts w:cs="Arial"/>
          <w:i/>
          <w:iCs/>
          <w:szCs w:val="17"/>
          <w:lang w:val="en-US"/>
        </w:rPr>
        <w:t>η</w:t>
      </w:r>
      <w:r w:rsidRPr="007C45C4">
        <w:rPr>
          <w:rFonts w:cs="Arial"/>
          <w:szCs w:val="17"/>
          <w:vertAlign w:val="superscript"/>
          <w:lang w:val="en-US"/>
        </w:rPr>
        <w:t>3</w:t>
      </w:r>
      <w:r w:rsidRPr="007C45C4">
        <w:rPr>
          <w:rFonts w:cs="Arial"/>
          <w:b/>
          <w:bCs/>
          <w:szCs w:val="17"/>
          <w:lang w:val="en-US"/>
        </w:rPr>
        <w:t>-</w:t>
      </w:r>
      <w:r w:rsidRPr="007C45C4">
        <w:rPr>
          <w:rFonts w:cs="Arial"/>
          <w:szCs w:val="17"/>
          <w:lang w:val="en-US"/>
        </w:rPr>
        <w:t>C</w:t>
      </w:r>
      <w:r w:rsidRPr="007C45C4">
        <w:rPr>
          <w:rFonts w:cs="Arial"/>
          <w:szCs w:val="17"/>
          <w:vertAlign w:val="subscript"/>
          <w:lang w:val="en-US"/>
        </w:rPr>
        <w:t>3</w:t>
      </w:r>
      <w:r w:rsidRPr="007C45C4">
        <w:rPr>
          <w:rFonts w:cs="Arial"/>
          <w:szCs w:val="17"/>
          <w:lang w:val="en-US"/>
        </w:rPr>
        <w:t>H</w:t>
      </w:r>
      <w:r w:rsidRPr="007C45C4">
        <w:rPr>
          <w:rFonts w:cs="Arial"/>
          <w:szCs w:val="17"/>
          <w:vertAlign w:val="subscript"/>
          <w:lang w:val="en-US"/>
        </w:rPr>
        <w:t>5</w:t>
      </w:r>
      <w:r w:rsidRPr="007C45C4">
        <w:rPr>
          <w:rFonts w:cs="Arial"/>
          <w:szCs w:val="17"/>
          <w:lang w:val="en-US"/>
        </w:rPr>
        <w:t>)Mo(CO)</w:t>
      </w:r>
      <w:r w:rsidRPr="007C45C4">
        <w:rPr>
          <w:rFonts w:cs="Arial"/>
          <w:szCs w:val="17"/>
          <w:vertAlign w:val="subscript"/>
          <w:lang w:val="en-US"/>
        </w:rPr>
        <w:t>2</w:t>
      </w:r>
      <w:r w:rsidRPr="007C45C4">
        <w:rPr>
          <w:rFonts w:cs="Arial"/>
          <w:szCs w:val="17"/>
          <w:lang w:val="en-US"/>
        </w:rPr>
        <w:t>] (</w:t>
      </w:r>
      <w:r w:rsidRPr="007C45C4">
        <w:rPr>
          <w:rFonts w:cs="Arial"/>
          <w:b/>
          <w:szCs w:val="17"/>
          <w:lang w:val="en-US"/>
        </w:rPr>
        <w:t>2</w:t>
      </w:r>
      <w:r w:rsidRPr="007C45C4">
        <w:rPr>
          <w:rFonts w:cs="Arial"/>
          <w:szCs w:val="17"/>
          <w:lang w:val="en-US"/>
        </w:rPr>
        <w:t>) in a moderate yield (63%)</w:t>
      </w:r>
      <w:r w:rsidR="00CB68FD" w:rsidRPr="007C45C4">
        <w:rPr>
          <w:rFonts w:cs="Arial"/>
          <w:szCs w:val="17"/>
          <w:lang w:val="en-US"/>
        </w:rPr>
        <w:t>;</w:t>
      </w:r>
      <w:r w:rsidR="00973FE9" w:rsidRPr="007C45C4">
        <w:rPr>
          <w:rFonts w:cs="Arial"/>
          <w:szCs w:val="17"/>
          <w:lang w:val="en-US"/>
        </w:rPr>
        <w:t xml:space="preserve"> Scheme 2</w:t>
      </w:r>
      <w:r w:rsidRPr="007C45C4">
        <w:rPr>
          <w:rFonts w:cs="Arial"/>
          <w:szCs w:val="17"/>
          <w:lang w:val="en-US"/>
        </w:rPr>
        <w:t xml:space="preserve">. Complex </w:t>
      </w:r>
      <w:r w:rsidRPr="007C45C4">
        <w:rPr>
          <w:rFonts w:cs="Arial"/>
          <w:b/>
          <w:szCs w:val="17"/>
          <w:lang w:val="en-US"/>
        </w:rPr>
        <w:t>2</w:t>
      </w:r>
      <w:r w:rsidRPr="007C45C4">
        <w:rPr>
          <w:rFonts w:cs="Arial"/>
          <w:szCs w:val="17"/>
          <w:lang w:val="en-US"/>
        </w:rPr>
        <w:t xml:space="preserve"> is a yellow crystalline powder well soluble in hot hexane, aromatic hydrocarbons and polar organic solvents. The solution structure of </w:t>
      </w:r>
      <w:proofErr w:type="gramStart"/>
      <w:r w:rsidRPr="007C45C4">
        <w:rPr>
          <w:rFonts w:cs="Arial"/>
          <w:b/>
          <w:szCs w:val="17"/>
          <w:lang w:val="en-US"/>
        </w:rPr>
        <w:t>2</w:t>
      </w:r>
      <w:proofErr w:type="gramEnd"/>
      <w:r w:rsidRPr="007C45C4">
        <w:rPr>
          <w:rFonts w:cs="Arial"/>
          <w:szCs w:val="17"/>
          <w:lang w:val="en-US"/>
        </w:rPr>
        <w:t xml:space="preserve"> was evaluated by NMR spectroscopy. </w:t>
      </w:r>
      <w:r w:rsidRPr="007C45C4">
        <w:rPr>
          <w:rFonts w:cs="Arial"/>
          <w:szCs w:val="17"/>
          <w:vertAlign w:val="superscript"/>
          <w:lang w:val="en-US"/>
        </w:rPr>
        <w:t>1</w:t>
      </w:r>
      <w:r w:rsidRPr="007C45C4">
        <w:rPr>
          <w:rFonts w:cs="Arial"/>
          <w:szCs w:val="17"/>
          <w:lang w:val="en-US"/>
        </w:rPr>
        <w:t xml:space="preserve">H and </w:t>
      </w:r>
      <w:proofErr w:type="gramStart"/>
      <w:r w:rsidRPr="007C45C4">
        <w:rPr>
          <w:rFonts w:cs="Arial"/>
          <w:szCs w:val="17"/>
          <w:vertAlign w:val="superscript"/>
          <w:lang w:val="en-US"/>
        </w:rPr>
        <w:t>13</w:t>
      </w:r>
      <w:r w:rsidRPr="007C45C4">
        <w:rPr>
          <w:rFonts w:cs="Arial"/>
          <w:szCs w:val="17"/>
          <w:lang w:val="en-US"/>
        </w:rPr>
        <w:t>C{</w:t>
      </w:r>
      <w:proofErr w:type="gramEnd"/>
      <w:r w:rsidRPr="007C45C4">
        <w:rPr>
          <w:rFonts w:cs="Arial"/>
          <w:szCs w:val="17"/>
          <w:vertAlign w:val="superscript"/>
          <w:lang w:val="en-US"/>
        </w:rPr>
        <w:t>1</w:t>
      </w:r>
      <w:r w:rsidRPr="007C45C4">
        <w:rPr>
          <w:rFonts w:cs="Arial"/>
          <w:szCs w:val="17"/>
          <w:lang w:val="en-US"/>
        </w:rPr>
        <w:t xml:space="preserve">H} NMR spectra of </w:t>
      </w:r>
      <w:r w:rsidRPr="007C45C4">
        <w:rPr>
          <w:rFonts w:cs="Arial"/>
          <w:b/>
          <w:szCs w:val="17"/>
          <w:lang w:val="en-US"/>
        </w:rPr>
        <w:t>2</w:t>
      </w:r>
      <w:r w:rsidRPr="007C45C4">
        <w:rPr>
          <w:rFonts w:cs="Arial"/>
          <w:szCs w:val="17"/>
          <w:lang w:val="en-US"/>
        </w:rPr>
        <w:t xml:space="preserve"> revealed two series of a sharp signals reflecting existence of two conformers arising from a different orientation of the </w:t>
      </w:r>
      <w:r w:rsidRPr="007C45C4">
        <w:rPr>
          <w:rFonts w:cs="Arial"/>
          <w:i/>
          <w:szCs w:val="17"/>
          <w:lang w:val="en-US"/>
        </w:rPr>
        <w:t>η</w:t>
      </w:r>
      <w:r w:rsidRPr="007C45C4">
        <w:rPr>
          <w:rFonts w:cs="Arial"/>
          <w:szCs w:val="17"/>
          <w:vertAlign w:val="superscript"/>
          <w:lang w:val="en-US"/>
        </w:rPr>
        <w:t>3</w:t>
      </w:r>
      <w:r w:rsidRPr="007C45C4">
        <w:rPr>
          <w:rFonts w:cs="Arial"/>
          <w:szCs w:val="17"/>
          <w:lang w:val="en-US"/>
        </w:rPr>
        <w:t>-bonded allyl ligand (</w:t>
      </w:r>
      <w:proofErr w:type="spellStart"/>
      <w:r w:rsidRPr="007C45C4">
        <w:rPr>
          <w:rFonts w:cs="Arial"/>
          <w:i/>
          <w:szCs w:val="17"/>
          <w:lang w:val="en-US"/>
        </w:rPr>
        <w:t>exo</w:t>
      </w:r>
      <w:proofErr w:type="spellEnd"/>
      <w:r w:rsidRPr="007C45C4">
        <w:rPr>
          <w:rFonts w:cs="Arial"/>
          <w:szCs w:val="17"/>
          <w:lang w:val="en-US"/>
        </w:rPr>
        <w:t xml:space="preserve">, </w:t>
      </w:r>
      <w:r w:rsidRPr="007C45C4">
        <w:rPr>
          <w:rFonts w:cs="Arial"/>
          <w:i/>
          <w:szCs w:val="17"/>
          <w:lang w:val="en-US"/>
        </w:rPr>
        <w:t>endo</w:t>
      </w:r>
      <w:r w:rsidRPr="007C45C4">
        <w:rPr>
          <w:rFonts w:cs="Arial"/>
          <w:szCs w:val="17"/>
          <w:lang w:val="en-US"/>
        </w:rPr>
        <w:t>). The species were assigned based on strong ring-current effect of the indenyl C</w:t>
      </w:r>
      <w:r w:rsidRPr="007C45C4">
        <w:rPr>
          <w:rFonts w:cs="Arial"/>
          <w:szCs w:val="17"/>
          <w:vertAlign w:val="subscript"/>
          <w:lang w:val="en-US"/>
        </w:rPr>
        <w:t>6</w:t>
      </w:r>
      <w:r w:rsidRPr="007C45C4">
        <w:rPr>
          <w:rFonts w:cs="Arial"/>
          <w:szCs w:val="17"/>
          <w:lang w:val="en-US"/>
        </w:rPr>
        <w:t>-ring shifting particular signals of allyl ligand (</w:t>
      </w:r>
      <w:proofErr w:type="spellStart"/>
      <w:r w:rsidRPr="007C45C4">
        <w:rPr>
          <w:rFonts w:cs="Arial"/>
          <w:szCs w:val="17"/>
          <w:lang w:val="en-US"/>
        </w:rPr>
        <w:t>H</w:t>
      </w:r>
      <w:r w:rsidRPr="007C45C4">
        <w:rPr>
          <w:rFonts w:cs="Arial"/>
          <w:i/>
          <w:szCs w:val="17"/>
          <w:vertAlign w:val="superscript"/>
          <w:lang w:val="en-US"/>
        </w:rPr>
        <w:t>meso</w:t>
      </w:r>
      <w:proofErr w:type="spellEnd"/>
      <w:r w:rsidRPr="007C45C4">
        <w:rPr>
          <w:rFonts w:cs="Arial"/>
          <w:szCs w:val="17"/>
          <w:lang w:val="en-US"/>
        </w:rPr>
        <w:t xml:space="preserve"> of </w:t>
      </w:r>
      <w:r w:rsidRPr="007C45C4">
        <w:rPr>
          <w:rFonts w:cs="Arial"/>
          <w:b/>
          <w:szCs w:val="17"/>
          <w:lang w:val="en-US"/>
        </w:rPr>
        <w:t>2</w:t>
      </w:r>
      <w:r w:rsidRPr="007C45C4">
        <w:rPr>
          <w:rFonts w:cs="Arial"/>
          <w:szCs w:val="17"/>
          <w:lang w:val="en-US"/>
        </w:rPr>
        <w:t>-</w:t>
      </w:r>
      <w:r w:rsidRPr="007C45C4">
        <w:rPr>
          <w:rFonts w:cs="Arial"/>
          <w:i/>
          <w:szCs w:val="17"/>
          <w:lang w:val="en-US"/>
        </w:rPr>
        <w:t>exo</w:t>
      </w:r>
      <w:r w:rsidRPr="007C45C4">
        <w:rPr>
          <w:rFonts w:cs="Arial"/>
          <w:szCs w:val="17"/>
          <w:lang w:val="en-US"/>
        </w:rPr>
        <w:t xml:space="preserve">, </w:t>
      </w:r>
      <w:proofErr w:type="spellStart"/>
      <w:r w:rsidRPr="007C45C4">
        <w:rPr>
          <w:rFonts w:cs="Arial"/>
          <w:szCs w:val="17"/>
          <w:lang w:val="en-US"/>
        </w:rPr>
        <w:t>H</w:t>
      </w:r>
      <w:r w:rsidRPr="007C45C4">
        <w:rPr>
          <w:rFonts w:cs="Arial"/>
          <w:i/>
          <w:szCs w:val="17"/>
          <w:vertAlign w:val="superscript"/>
          <w:lang w:val="en-US"/>
        </w:rPr>
        <w:t>anti</w:t>
      </w:r>
      <w:proofErr w:type="spellEnd"/>
      <w:r w:rsidRPr="007C45C4">
        <w:rPr>
          <w:rFonts w:cs="Arial"/>
          <w:szCs w:val="17"/>
          <w:lang w:val="en-US"/>
        </w:rPr>
        <w:t xml:space="preserve"> of </w:t>
      </w:r>
      <w:r w:rsidRPr="007C45C4">
        <w:rPr>
          <w:rFonts w:cs="Arial"/>
          <w:b/>
          <w:szCs w:val="17"/>
          <w:lang w:val="en-US"/>
        </w:rPr>
        <w:t>2</w:t>
      </w:r>
      <w:r w:rsidRPr="007C45C4">
        <w:rPr>
          <w:rFonts w:cs="Arial"/>
          <w:szCs w:val="17"/>
          <w:lang w:val="en-US"/>
        </w:rPr>
        <w:t>-</w:t>
      </w:r>
      <w:r w:rsidRPr="007C45C4">
        <w:rPr>
          <w:rFonts w:cs="Arial"/>
          <w:i/>
          <w:szCs w:val="17"/>
          <w:lang w:val="en-US"/>
        </w:rPr>
        <w:t>endo</w:t>
      </w:r>
      <w:r w:rsidRPr="007C45C4">
        <w:rPr>
          <w:rFonts w:cs="Arial"/>
          <w:szCs w:val="17"/>
          <w:lang w:val="en-US"/>
        </w:rPr>
        <w:t xml:space="preserve">) to higher fields when compared to unsubstituted </w:t>
      </w:r>
      <w:proofErr w:type="spellStart"/>
      <w:r w:rsidRPr="007C45C4">
        <w:rPr>
          <w:rFonts w:cs="Arial"/>
          <w:szCs w:val="17"/>
          <w:lang w:val="en-US"/>
        </w:rPr>
        <w:t>Cp</w:t>
      </w:r>
      <w:proofErr w:type="spellEnd"/>
      <w:r w:rsidRPr="007C45C4">
        <w:rPr>
          <w:rFonts w:cs="Arial"/>
          <w:szCs w:val="17"/>
          <w:lang w:val="en-US"/>
        </w:rPr>
        <w:t xml:space="preserve"> analogue. The </w:t>
      </w:r>
      <w:proofErr w:type="spellStart"/>
      <w:r w:rsidRPr="007C45C4">
        <w:rPr>
          <w:rFonts w:cs="Arial"/>
          <w:i/>
          <w:szCs w:val="17"/>
          <w:lang w:val="en-US"/>
        </w:rPr>
        <w:t>exo</w:t>
      </w:r>
      <w:proofErr w:type="spellEnd"/>
      <w:r w:rsidRPr="007C45C4">
        <w:rPr>
          <w:rFonts w:cs="Arial"/>
          <w:szCs w:val="17"/>
          <w:lang w:val="en-US"/>
        </w:rPr>
        <w:t>/</w:t>
      </w:r>
      <w:r w:rsidRPr="007C45C4">
        <w:rPr>
          <w:rFonts w:cs="Arial"/>
          <w:i/>
          <w:szCs w:val="17"/>
          <w:lang w:val="en-US"/>
        </w:rPr>
        <w:t>endo</w:t>
      </w:r>
      <w:r w:rsidRPr="007C45C4">
        <w:rPr>
          <w:rFonts w:cs="Arial"/>
          <w:szCs w:val="17"/>
          <w:lang w:val="en-US"/>
        </w:rPr>
        <w:t xml:space="preserve"> ratio of 4:1 nears the values previously reported for complexes with indenyl ligand unsubstituted or modified by various function (e.g. alkyl or amine and </w:t>
      </w:r>
      <w:proofErr w:type="spellStart"/>
      <w:r w:rsidRPr="007C45C4">
        <w:rPr>
          <w:rFonts w:cs="Arial"/>
          <w:szCs w:val="17"/>
          <w:lang w:val="en-US"/>
        </w:rPr>
        <w:t>methoxy</w:t>
      </w:r>
      <w:proofErr w:type="spellEnd"/>
      <w:r w:rsidRPr="007C45C4">
        <w:rPr>
          <w:rFonts w:cs="Arial"/>
          <w:szCs w:val="17"/>
          <w:lang w:val="en-US"/>
        </w:rPr>
        <w:t xml:space="preserve"> group in the side chain) confirming rather minor effect of this C</w:t>
      </w:r>
      <w:r w:rsidRPr="007C45C4">
        <w:rPr>
          <w:rFonts w:cs="Arial"/>
          <w:szCs w:val="17"/>
          <w:vertAlign w:val="subscript"/>
          <w:lang w:val="en-US"/>
        </w:rPr>
        <w:t>9</w:t>
      </w:r>
      <w:r w:rsidRPr="007C45C4">
        <w:rPr>
          <w:rFonts w:cs="Arial"/>
          <w:szCs w:val="17"/>
          <w:lang w:val="en-US"/>
        </w:rPr>
        <w:t>H</w:t>
      </w:r>
      <w:r w:rsidRPr="007C45C4">
        <w:rPr>
          <w:rFonts w:cs="Arial"/>
          <w:szCs w:val="17"/>
          <w:vertAlign w:val="subscript"/>
          <w:lang w:val="en-US"/>
        </w:rPr>
        <w:t>7</w:t>
      </w:r>
      <w:r w:rsidRPr="007C45C4">
        <w:rPr>
          <w:rFonts w:cs="Arial"/>
          <w:szCs w:val="17"/>
          <w:lang w:val="en-US"/>
        </w:rPr>
        <w:t xml:space="preserve"> modification on the conformational equilibria.</w:t>
      </w:r>
      <w:r w:rsidR="000D21C1" w:rsidRPr="007C45C4">
        <w:rPr>
          <w:rFonts w:cs="Arial"/>
          <w:szCs w:val="17"/>
          <w:lang w:val="en-US"/>
        </w:rPr>
        <w:fldChar w:fldCharType="begin" w:fldLock="1"/>
      </w:r>
      <w:r w:rsidRPr="007C45C4">
        <w:rPr>
          <w:rFonts w:cs="Arial"/>
          <w:szCs w:val="17"/>
          <w:lang w:val="en-US"/>
        </w:rPr>
        <w:instrText>ADDIN CSL_CITATION {"citationItems":[{"id":"ITEM-1","itemData":{"DOI":"http://dx.doi.org/10.1016/S0022-328X(00)95158-1","ISSN":"0022-328X","abstract":"Steric effects on π-allyl and π-indenyl orientation in molybdenum and tungsten complexes have been studied. Magnetic anistropies associated with indenyl derivatives have provided a definitive technique for determination of stereochemistry in these complexes. The steric factors which determine the stability of the orientations of the allyl moiety have been discussed. Generally π-cycloentadienyl or π-indenyl ligands have been considered to be essentially freely rotating. Analysis of the magnitude of the magnetic anisotropy arising from the benzene ring has suggested that there is relatively free rotation of the indenyl ligands, but there is a preferred conformation with the six-membered ring oriented over the allyl. Appropriate substitution on the allyl offers sufficient steric hindrance to make other conformations more probable.","author":[{"dropping-particle":"","family":"Faller","given":"J W","non-dropping-particle":"","parse-names":false,"suffix":""},{"dropping-particle":"","family":"Chen","given":"Chin-Chun","non-dropping-particle":"","parse-names":false,"suffix":""},{"dropping-particle":"","family":"Mattina","given":"M J","non-dropping-particle":"","parse-names":false,"suffix":""},{"dropping-particle":"","family":"Jakubowski","given":"A","non-dropping-particle":"","parse-names":false,"suffix":""}],"container-title":"Journal of Organometallic Chemistry","id":"ITEM-1","issue":"2","issued":{"date-parts":[["1973"]]},"page":"361-386","title":"Organometallic conformational equilbria","type":"article-journal","volume":"52"},"uris":["http://www.mendeley.com/documents/?uuid=800ce66b-96cc-445d-8da7-4b26c9e2d9fb"]},{"id":"ITEM-2","itemData":{"DOI":"10.1021/om400305z","ISSN":"0276-7333","author":[{"dropping-particle":"","family":"Honzíček","given":"Jan","non-dropping-particle":"","parse-names":false,"suffix":""},{"dropping-particle":"","family":"Vinklárek","given":"Jaromír","non-dropping-particle":"","parse-names":false,"suffix":""},{"dropping-particle":"","family":"Erben","given":"Milan","non-dropping-particle":"","parse-names":false,"suffix":""},{"dropping-particle":"","family":"Lodinský","given":"Jakub","non-dropping-particle":"","parse-names":false,"suffix":""},{"dropping-particle":"","family":"Dostál","given":"Libor","non-dropping-particle":"","parse-names":false,"suffix":""},{"dropping-particle":"","family":"Padělková","given":"Zdeňka","non-dropping-particle":"","parse-names":false,"suffix":""}],"container-title":"Organometallics","id":"ITEM-2","issue":"12","issued":{"date-parts":[["2013","6","24"]]},"note":"doi: 10.1021/om400305z","page":"3502-3511","publisher":"American Chemical Society","title":"Toward the Synthesis of Indenyl Molybdenum Compound [(η3-Ind)(η5-Cp)Mo(CO)2]: Modified Compounds and Structure of a Previously Unrecognized Intermediate","type":"article-journal","volume":"32"},"uris":["http://www.mendeley.com/documents/?uuid=0e62868c-3b86-4249-8d76-27a79e39f780"]},{"id":"ITEM-3","itemData":{"DOI":"https://doi.org/10.1016/j.jorganchem.2012.07.011","ISSN":"0022-328X","abstract":"A series of allyl molybdenum [(η3-C3H5)Mo(CO)2L2Cl], [(η3-C3H4COOMe)Mo(CO)2L2Br], cyclopentadienyl molybdenum [(η5-C5H4R)Mo(CO)2L2][BF4] (R = H, 4-MeOC6H4CH2, 3,4,5-(MeO)3C6H2CH2), indenyl molybdenum [(η5-C9H6R)Mo(CO)2L2][BF4] (R = H, 4-MeOC6H4CH2) and cyclopentadienyl tungsten compounds [(η5-C5H5)W(CO)2L2][BF4], where L2 is N,N′-chelating ligand, were synthesized and characterized. The in vitro assay on human leukemia cells MOLT-4 has shown that the substitution in the π-ligand has lower effect of on cytotoxicity than exchange of the N,N′-chelating ligand. Nevertheless, even this modification can lead to considerable enhance of cytotoxicity as was evidenced on the series of the indenyl molybdenum(II) compounds.","author":[{"dropping-particle":"","family":"Honzíček","given":"Jan","non-dropping-particle":"","parse-names":false,"suffix":""},{"dropping-particle":"","family":"Vinklárek","given":"Jaromír","non-dropping-particle":"","parse-names":false,"suffix":""},{"dropping-particle":"","family":"Padělková","given":"Zdeňka","non-dropping-particle":"","parse-names":false,"suffix":""},{"dropping-particle":"","family":"Šebestová","given":"Lucie","non-dropping-particle":"","parse-names":false,"suffix":""},{"dropping-particle":"","family":"Foltánová","given":"Karolína","non-dropping-particle":"","parse-names":false,"suffix":""},{"dropping-particle":"","family":"Řezáčová","given":"Martina","non-dropping-particle":"","parse-names":false,"suffix":""}],"container-title":"Journal of Organometallic Chemistry","id":"ITEM-3","issued":{"date-parts":[["2012"]]},"page":"258-268","title":"The effect of substitution on the cytotoxicity of molybdenum(II) and tungsten(II) compounds","type":"article-journal","volume":"716"},"uris":["http://www.mendeley.com/documents/?uuid=d0003565-9a94-48a0-ac6e-172e6f1bf7f5"]},{"id":"ITEM-4","itemData":{"DOI":"10.1002/ejic.201601029","ISSN":"1099-0682","abstract":"A series of cyclopentadienyl and indenyl molybdenum(II) compounds with intramolecularly coordinated pyridine arms, including scorpionate-like species bearing two irreversibly coordinated arms on the indenyl core, were synthesized and characterized. All presented structural types were confirmed by X-ray diffraction analysis. Owing to the strong nucleophilicity of pyridine, the intramolecular interaction was found to be considerably stronger than that in analogous species bearing tertiary amines in the side chain. Although the starting compounds for the syntheses were isostructural, the reaction outcomes differed considerably. The cyclopentadienyl precursor gave a pentacoordinate η5:κN-compound, whereas the indenyl analogue produced a hexacoordinate species with the unprecedented η3:κN-coordination mode of the indenyl ligand and thus represents an unusual example of the so-called indenyl effect. The unusually high stability of the η3:κN-coordination compounds toward η3 to η5 haptotropic rearrangement was clarified by theoretical calculations. As the strong intramolecular interaction prevented rotation of the indenyl moiety, it could not reach the conformation suitable for the η3 to η5 rearrangement. As a result, the low hapticity was effectively locked.","author":[{"dropping-particle":"","family":"Mrózek","given":"Ondřej","non-dropping-particle":"","parse-names":false,"suffix":""},{"dropping-particle":"","family":"Vinklárek","given":"Jaromír","non-dropping-particle":"","parse-names":false,"suffix":""},{"dropping-particle":"","family":"Růžičková","given":"Zdeňka","non-dropping-particle":"","parse-names":false,"suffix":""},{"dropping-particle":"","family":"Honzíček","given":"Jan","non-dropping-particle":"","parse-names":false,"suffix":""}],"container-title":"European Journal of Inorganic Chemistry","id":"ITEM-4","issue":"33","issued":{"date-parts":[["2016"]]},"page":"5250-5264","title":"Indenyl Compounds with Constrained Hapticity: The Effect of Strong Intramolecular Coordination","type":"article-journal","volume":"2016"},"uris":["http://www.mendeley.com/documents/?uuid=1f203a20-5c6d-4fea-bf5a-7bc07dfb111a"]},{"id":"ITEM-5","itemData":{"DOI":"10.1002/ejic.201501133","ISSN":"14341948","author":[{"dropping-particle":"","family":"Mrózek","given":"Ondřej","non-dropping-particle":"","parse-names":false,"suffix":""},{"dropping-particle":"","family":"Šebestová","given":"Lucie","non-dropping-particle":"","parse-names":false,"suffix":""},{"dropping-particle":"","family":"Vinklárek","given":"Jaromír","non-dropping-particle":"","parse-names":false,"suffix":""},{"dropping-particle":"","family":"Řezáčová","given":"Martina","non-dropping-particle":"","parse-names":false,"suffix":""},{"dropping-particle":"","family":"Eisner","given":"Aleš","non-dropping-particle":"","parse-names":false,"suffix":""},{"dropping-particle":"","family":"Růžičková","given":"Zdeňka","non-dropping-particle":"","parse-names":false,"suffix":""},{"dropping-particle":"","family":"Honzíček","given":"Jan","non-dropping-particle":"","parse-names":false,"suffix":""}],"container-title":"European Journal of Inorganic Chemistry","id":"ITEM-5","issue":"4","issued":{"date-parts":[["2016","2","5"]]},"page":"519-529","title":"Highly Water-Soluble Cyclopentadienyl and Indenyl Molybdenum(II) Complexes - Second Generation of Molybdenum-Based Cytotoxic Agents","type":"article-journal","volume":"2016"},"uris":["http://www.mendeley.com/documents/?uuid=cd036df7-c268-4e7c-90de-2f23aa9e0425"]}],"mendeley":{"formattedCitation":"&lt;sup&gt;14,16,22–24&lt;/sup&gt;","plainTextFormattedCitation":"14,16,22–24","previouslyFormattedCitation":"&lt;sup&gt;14,16,22–24&lt;/sup&gt;"},"properties":{"noteIndex":0},"schema":"https://github.com/citation-style-language/schema/raw/master/csl-citation.json"}</w:instrText>
      </w:r>
      <w:r w:rsidR="000D21C1" w:rsidRPr="007C45C4">
        <w:rPr>
          <w:rFonts w:cs="Arial"/>
          <w:szCs w:val="17"/>
          <w:lang w:val="en-US"/>
        </w:rPr>
        <w:fldChar w:fldCharType="separate"/>
      </w:r>
      <w:r w:rsidRPr="007C45C4">
        <w:rPr>
          <w:rFonts w:cs="Arial"/>
          <w:noProof/>
          <w:szCs w:val="17"/>
          <w:vertAlign w:val="superscript"/>
          <w:lang w:val="en-US"/>
        </w:rPr>
        <w:t>14,16,22–24</w:t>
      </w:r>
      <w:r w:rsidR="000D21C1" w:rsidRPr="007C45C4">
        <w:rPr>
          <w:rFonts w:cs="Arial"/>
          <w:szCs w:val="17"/>
          <w:lang w:val="en-US"/>
        </w:rPr>
        <w:fldChar w:fldCharType="end"/>
      </w:r>
    </w:p>
    <w:p w14:paraId="32DBD559" w14:textId="77777777" w:rsidR="00180CCB" w:rsidRPr="007C45C4" w:rsidRDefault="001A50E0" w:rsidP="00DD1497">
      <w:pPr>
        <w:pStyle w:val="RSCI02FigureSchemeChartwithtopbar"/>
        <w:rPr>
          <w:lang w:val="en-US"/>
        </w:rPr>
      </w:pPr>
      <w:r w:rsidRPr="007C45C4">
        <w:rPr>
          <w:noProof/>
          <w:lang w:val="en-US"/>
        </w:rPr>
        <w:drawing>
          <wp:inline distT="0" distB="0" distL="0" distR="0" wp14:anchorId="374601B0" wp14:editId="13BB98F4">
            <wp:extent cx="3095625" cy="773430"/>
            <wp:effectExtent l="0" t="0" r="9525" b="7620"/>
            <wp:docPr id="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2.tif"/>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95625" cy="773430"/>
                    </a:xfrm>
                    <a:prstGeom prst="rect">
                      <a:avLst/>
                    </a:prstGeom>
                  </pic:spPr>
                </pic:pic>
              </a:graphicData>
            </a:graphic>
          </wp:inline>
        </w:drawing>
      </w:r>
    </w:p>
    <w:p w14:paraId="36947EAA" w14:textId="454417BF" w:rsidR="001A50E0" w:rsidRPr="007C45C4" w:rsidRDefault="001A50E0" w:rsidP="00D654AD">
      <w:pPr>
        <w:pStyle w:val="RSCI05CaptiontoFigureSchemeChartwithbottombar"/>
        <w:rPr>
          <w:lang w:val="en-US"/>
        </w:rPr>
      </w:pPr>
      <w:r w:rsidRPr="007C45C4">
        <w:rPr>
          <w:b/>
          <w:lang w:val="en-US"/>
        </w:rPr>
        <w:t>Scheme 2</w:t>
      </w:r>
      <w:r w:rsidRPr="007C45C4">
        <w:rPr>
          <w:lang w:val="en-US"/>
        </w:rPr>
        <w:t xml:space="preserve"> Synthesis of [(</w:t>
      </w:r>
      <w:r w:rsidRPr="007C45C4">
        <w:rPr>
          <w:lang w:val="en-US"/>
        </w:rPr>
        <w:sym w:font="Symbol" w:char="F068"/>
      </w:r>
      <w:r w:rsidRPr="007C45C4">
        <w:rPr>
          <w:vertAlign w:val="superscript"/>
          <w:lang w:val="en-US"/>
        </w:rPr>
        <w:t>5</w:t>
      </w:r>
      <w:r w:rsidRPr="007C45C4">
        <w:rPr>
          <w:lang w:val="en-US"/>
        </w:rPr>
        <w:t>-C</w:t>
      </w:r>
      <w:r w:rsidRPr="007C45C4">
        <w:rPr>
          <w:vertAlign w:val="subscript"/>
          <w:lang w:val="en-US"/>
        </w:rPr>
        <w:t>9</w:t>
      </w:r>
      <w:r w:rsidRPr="007C45C4">
        <w:rPr>
          <w:lang w:val="en-US"/>
        </w:rPr>
        <w:t>H</w:t>
      </w:r>
      <w:r w:rsidRPr="007C45C4">
        <w:rPr>
          <w:vertAlign w:val="subscript"/>
          <w:lang w:val="en-US"/>
        </w:rPr>
        <w:t>6</w:t>
      </w:r>
      <w:r w:rsidRPr="007C45C4">
        <w:rPr>
          <w:lang w:val="en-US"/>
        </w:rPr>
        <w:t>CH</w:t>
      </w:r>
      <w:r w:rsidRPr="007C45C4">
        <w:rPr>
          <w:vertAlign w:val="subscript"/>
          <w:lang w:val="en-US"/>
        </w:rPr>
        <w:t>2</w:t>
      </w:r>
      <w:r w:rsidRPr="007C45C4">
        <w:rPr>
          <w:lang w:val="en-US"/>
        </w:rPr>
        <w:t>C</w:t>
      </w:r>
      <w:r w:rsidRPr="007C45C4">
        <w:rPr>
          <w:vertAlign w:val="subscript"/>
          <w:lang w:val="en-US"/>
        </w:rPr>
        <w:t>4</w:t>
      </w:r>
      <w:r w:rsidRPr="007C45C4">
        <w:rPr>
          <w:lang w:val="en-US"/>
        </w:rPr>
        <w:t>H</w:t>
      </w:r>
      <w:r w:rsidRPr="007C45C4">
        <w:rPr>
          <w:vertAlign w:val="subscript"/>
          <w:lang w:val="en-US"/>
        </w:rPr>
        <w:t>3</w:t>
      </w:r>
      <w:r w:rsidRPr="007C45C4">
        <w:rPr>
          <w:lang w:val="en-US"/>
        </w:rPr>
        <w:t>S</w:t>
      </w:r>
      <w:proofErr w:type="gramStart"/>
      <w:r w:rsidRPr="007C45C4">
        <w:rPr>
          <w:lang w:val="en-US"/>
        </w:rPr>
        <w:t>)(</w:t>
      </w:r>
      <w:proofErr w:type="gramEnd"/>
      <w:r w:rsidRPr="007C45C4">
        <w:rPr>
          <w:i/>
          <w:iCs/>
          <w:lang w:val="en-US"/>
        </w:rPr>
        <w:t>η</w:t>
      </w:r>
      <w:r w:rsidRPr="007C45C4">
        <w:rPr>
          <w:vertAlign w:val="superscript"/>
          <w:lang w:val="en-US"/>
        </w:rPr>
        <w:t>3</w:t>
      </w:r>
      <w:r w:rsidRPr="007C45C4">
        <w:rPr>
          <w:b/>
          <w:lang w:val="en-US"/>
        </w:rPr>
        <w:t>-</w:t>
      </w:r>
      <w:r w:rsidRPr="007C45C4">
        <w:rPr>
          <w:lang w:val="en-US"/>
        </w:rPr>
        <w:t>C</w:t>
      </w:r>
      <w:r w:rsidRPr="007C45C4">
        <w:rPr>
          <w:vertAlign w:val="subscript"/>
          <w:lang w:val="en-US"/>
        </w:rPr>
        <w:t>3</w:t>
      </w:r>
      <w:r w:rsidRPr="007C45C4">
        <w:rPr>
          <w:lang w:val="en-US"/>
        </w:rPr>
        <w:t>H</w:t>
      </w:r>
      <w:r w:rsidRPr="007C45C4">
        <w:rPr>
          <w:vertAlign w:val="subscript"/>
          <w:lang w:val="en-US"/>
        </w:rPr>
        <w:t>5</w:t>
      </w:r>
      <w:r w:rsidRPr="007C45C4">
        <w:rPr>
          <w:lang w:val="en-US"/>
        </w:rPr>
        <w:t>)Mo(CO)</w:t>
      </w:r>
      <w:r w:rsidRPr="007C45C4">
        <w:rPr>
          <w:vertAlign w:val="subscript"/>
          <w:lang w:val="en-US"/>
        </w:rPr>
        <w:t>2</w:t>
      </w:r>
      <w:r w:rsidRPr="007C45C4">
        <w:rPr>
          <w:lang w:val="en-US"/>
        </w:rPr>
        <w:t>] (</w:t>
      </w:r>
      <w:r w:rsidRPr="007C45C4">
        <w:rPr>
          <w:b/>
          <w:lang w:val="en-US"/>
        </w:rPr>
        <w:t>2</w:t>
      </w:r>
      <w:r w:rsidRPr="007C45C4">
        <w:rPr>
          <w:lang w:val="en-US"/>
        </w:rPr>
        <w:t>).</w:t>
      </w:r>
    </w:p>
    <w:p w14:paraId="258BD96E" w14:textId="4501ACE8" w:rsidR="008E19FA" w:rsidRPr="007C45C4" w:rsidRDefault="008E19FA" w:rsidP="008E19FA">
      <w:pPr>
        <w:pStyle w:val="RSCB02ArticleText"/>
        <w:rPr>
          <w:lang w:val="en-US"/>
        </w:rPr>
      </w:pPr>
      <w:r w:rsidRPr="007C45C4">
        <w:rPr>
          <w:rFonts w:cs="Arial"/>
          <w:szCs w:val="17"/>
          <w:vertAlign w:val="superscript"/>
          <w:lang w:val="en-US"/>
        </w:rPr>
        <w:t>1</w:t>
      </w:r>
      <w:r w:rsidRPr="007C45C4">
        <w:rPr>
          <w:rFonts w:cs="Arial"/>
          <w:szCs w:val="17"/>
          <w:lang w:val="en-US"/>
        </w:rPr>
        <w:t xml:space="preserve">Hand </w:t>
      </w:r>
      <w:proofErr w:type="gramStart"/>
      <w:r w:rsidRPr="007C45C4">
        <w:rPr>
          <w:rFonts w:cs="Arial"/>
          <w:szCs w:val="17"/>
          <w:vertAlign w:val="superscript"/>
          <w:lang w:val="en-US"/>
        </w:rPr>
        <w:t>13</w:t>
      </w:r>
      <w:r w:rsidRPr="007C45C4">
        <w:rPr>
          <w:rFonts w:cs="Arial"/>
          <w:szCs w:val="17"/>
          <w:lang w:val="en-US"/>
        </w:rPr>
        <w:t>C{</w:t>
      </w:r>
      <w:proofErr w:type="gramEnd"/>
      <w:r w:rsidRPr="007C45C4">
        <w:rPr>
          <w:rFonts w:cs="Arial"/>
          <w:szCs w:val="17"/>
          <w:vertAlign w:val="superscript"/>
          <w:lang w:val="en-US"/>
        </w:rPr>
        <w:t>1</w:t>
      </w:r>
      <w:r w:rsidRPr="007C45C4">
        <w:rPr>
          <w:rFonts w:cs="Arial"/>
          <w:szCs w:val="17"/>
          <w:lang w:val="en-US"/>
        </w:rPr>
        <w:t>H} APT NMR spectra were used for evaluation of hapticity of the indenyl. Resonances of C</w:t>
      </w:r>
      <w:r w:rsidRPr="007C45C4">
        <w:rPr>
          <w:rFonts w:cs="Arial"/>
          <w:szCs w:val="17"/>
          <w:vertAlign w:val="superscript"/>
          <w:lang w:val="en-US"/>
        </w:rPr>
        <w:t>3a</w:t>
      </w:r>
      <w:r w:rsidRPr="007C45C4">
        <w:rPr>
          <w:rFonts w:cs="Arial"/>
          <w:szCs w:val="17"/>
          <w:lang w:val="en-US"/>
        </w:rPr>
        <w:t xml:space="preserve"> and C</w:t>
      </w:r>
      <w:r w:rsidRPr="007C45C4">
        <w:rPr>
          <w:rFonts w:cs="Arial"/>
          <w:szCs w:val="17"/>
          <w:vertAlign w:val="superscript"/>
          <w:lang w:val="en-US"/>
        </w:rPr>
        <w:t>7a</w:t>
      </w:r>
      <w:r w:rsidRPr="007C45C4">
        <w:rPr>
          <w:rFonts w:cs="Arial"/>
          <w:szCs w:val="17"/>
          <w:lang w:val="en-US"/>
        </w:rPr>
        <w:t xml:space="preserve"> (~112 ppm) at </w:t>
      </w:r>
      <w:proofErr w:type="spellStart"/>
      <w:r w:rsidRPr="007C45C4">
        <w:rPr>
          <w:rFonts w:cs="Arial"/>
          <w:szCs w:val="17"/>
          <w:lang w:val="en-US"/>
        </w:rPr>
        <w:t>upfield</w:t>
      </w:r>
      <w:proofErr w:type="spellEnd"/>
      <w:r w:rsidRPr="007C45C4">
        <w:rPr>
          <w:rFonts w:cs="Arial"/>
          <w:szCs w:val="17"/>
          <w:lang w:val="en-US"/>
        </w:rPr>
        <w:t xml:space="preserve"> region suggest expected η</w:t>
      </w:r>
      <w:r w:rsidRPr="007C45C4">
        <w:rPr>
          <w:rFonts w:cs="Arial"/>
          <w:szCs w:val="17"/>
          <w:vertAlign w:val="superscript"/>
          <w:lang w:val="en-US"/>
        </w:rPr>
        <w:t>5</w:t>
      </w:r>
      <w:r w:rsidRPr="007C45C4">
        <w:rPr>
          <w:rFonts w:cs="Arial"/>
          <w:szCs w:val="17"/>
          <w:lang w:val="en-US"/>
        </w:rPr>
        <w:noBreakHyphen/>
        <w:t xml:space="preserve">coordination mode. </w:t>
      </w:r>
      <w:r w:rsidRPr="007C45C4">
        <w:rPr>
          <w:rFonts w:cs="Arial"/>
          <w:szCs w:val="17"/>
          <w:lang w:val="en-US"/>
        </w:rPr>
        <w:t>Confirmation of the indenyl hapticity was provided by position of H</w:t>
      </w:r>
      <w:r w:rsidRPr="007C45C4">
        <w:rPr>
          <w:rFonts w:cs="Arial"/>
          <w:szCs w:val="17"/>
          <w:vertAlign w:val="superscript"/>
          <w:lang w:val="en-US"/>
        </w:rPr>
        <w:t>2</w:t>
      </w:r>
      <w:r w:rsidRPr="007C45C4">
        <w:rPr>
          <w:rFonts w:cs="Arial"/>
          <w:szCs w:val="17"/>
          <w:lang w:val="en-US"/>
        </w:rPr>
        <w:t xml:space="preserve"> and H</w:t>
      </w:r>
      <w:r w:rsidRPr="007C45C4">
        <w:rPr>
          <w:rFonts w:cs="Arial"/>
          <w:szCs w:val="17"/>
          <w:vertAlign w:val="superscript"/>
          <w:lang w:val="en-US"/>
        </w:rPr>
        <w:t>3</w:t>
      </w:r>
      <w:r w:rsidRPr="007C45C4">
        <w:rPr>
          <w:rFonts w:cs="Arial"/>
          <w:szCs w:val="17"/>
          <w:lang w:val="en-US"/>
        </w:rPr>
        <w:t xml:space="preserve"> in </w:t>
      </w:r>
      <w:r w:rsidRPr="007C45C4">
        <w:rPr>
          <w:rFonts w:cs="Arial"/>
          <w:szCs w:val="17"/>
          <w:vertAlign w:val="superscript"/>
          <w:lang w:val="en-US"/>
        </w:rPr>
        <w:t>1</w:t>
      </w:r>
      <w:r w:rsidRPr="007C45C4">
        <w:rPr>
          <w:rFonts w:cs="Arial"/>
          <w:szCs w:val="17"/>
          <w:lang w:val="en-US"/>
        </w:rPr>
        <w:t xml:space="preserve">H NMR spectrum. The assignment of the signals was done using 2D NMR techniques. </w:t>
      </w:r>
      <w:proofErr w:type="gramStart"/>
      <w:r w:rsidRPr="007C45C4">
        <w:rPr>
          <w:rFonts w:cs="Arial"/>
          <w:szCs w:val="17"/>
          <w:vertAlign w:val="superscript"/>
          <w:lang w:val="en-US"/>
        </w:rPr>
        <w:t>1</w:t>
      </w:r>
      <w:r w:rsidRPr="007C45C4">
        <w:rPr>
          <w:rFonts w:cs="Arial"/>
          <w:szCs w:val="17"/>
          <w:lang w:val="en-US"/>
        </w:rPr>
        <w:t>H</w:t>
      </w:r>
      <w:proofErr w:type="gramEnd"/>
      <w:r w:rsidRPr="007C45C4">
        <w:rPr>
          <w:rFonts w:cs="Arial"/>
          <w:szCs w:val="17"/>
          <w:lang w:val="en-US"/>
        </w:rPr>
        <w:t>-</w:t>
      </w:r>
      <w:r w:rsidRPr="007C45C4">
        <w:rPr>
          <w:rFonts w:cs="Arial"/>
          <w:szCs w:val="17"/>
          <w:vertAlign w:val="superscript"/>
          <w:lang w:val="en-US"/>
        </w:rPr>
        <w:t>13</w:t>
      </w:r>
      <w:r w:rsidRPr="007C45C4">
        <w:rPr>
          <w:rFonts w:cs="Arial"/>
          <w:szCs w:val="17"/>
          <w:lang w:val="en-US"/>
        </w:rPr>
        <w:t xml:space="preserve">C HMBC revealed interactions of methylene bridge (δ = </w:t>
      </w:r>
      <w:r w:rsidRPr="007C45C4">
        <w:rPr>
          <w:rFonts w:cs="Arial"/>
          <w:bCs/>
          <w:szCs w:val="15"/>
          <w:lang w:val="en-US"/>
        </w:rPr>
        <w:t>4.01 and 4.53</w:t>
      </w:r>
      <w:r w:rsidRPr="007C45C4">
        <w:rPr>
          <w:rFonts w:cs="Arial"/>
          <w:szCs w:val="17"/>
          <w:lang w:val="en-US"/>
        </w:rPr>
        <w:t xml:space="preserve"> ppm) protons with carbon C</w:t>
      </w:r>
      <w:r w:rsidRPr="007C45C4">
        <w:rPr>
          <w:rFonts w:cs="Arial"/>
          <w:szCs w:val="17"/>
          <w:vertAlign w:val="superscript"/>
          <w:lang w:val="en-US"/>
        </w:rPr>
        <w:t>2</w:t>
      </w:r>
      <w:r w:rsidRPr="007C45C4">
        <w:rPr>
          <w:rFonts w:cs="Arial"/>
          <w:szCs w:val="17"/>
          <w:lang w:val="en-US"/>
        </w:rPr>
        <w:t xml:space="preserve"> (δ = </w:t>
      </w:r>
      <w:r w:rsidRPr="007C45C4">
        <w:rPr>
          <w:rFonts w:cs="Arial"/>
          <w:bCs/>
          <w:szCs w:val="15"/>
          <w:lang w:val="en-US"/>
        </w:rPr>
        <w:t>90.7</w:t>
      </w:r>
      <w:r w:rsidRPr="007C45C4">
        <w:rPr>
          <w:rFonts w:cs="Arial"/>
          <w:szCs w:val="17"/>
          <w:lang w:val="en-US"/>
        </w:rPr>
        <w:t xml:space="preserve"> ppm) and subsequently </w:t>
      </w:r>
      <w:r w:rsidRPr="007C45C4">
        <w:rPr>
          <w:rFonts w:cs="Arial"/>
          <w:szCs w:val="17"/>
          <w:vertAlign w:val="superscript"/>
          <w:lang w:val="en-US"/>
        </w:rPr>
        <w:t>1</w:t>
      </w:r>
      <w:r w:rsidRPr="007C45C4">
        <w:rPr>
          <w:rFonts w:cs="Arial"/>
          <w:szCs w:val="17"/>
          <w:lang w:val="en-US"/>
        </w:rPr>
        <w:t>H-</w:t>
      </w:r>
      <w:r w:rsidRPr="007C45C4">
        <w:rPr>
          <w:rFonts w:cs="Arial"/>
          <w:szCs w:val="17"/>
          <w:vertAlign w:val="superscript"/>
          <w:lang w:val="en-US"/>
        </w:rPr>
        <w:t>13</w:t>
      </w:r>
      <w:r w:rsidRPr="007C45C4">
        <w:rPr>
          <w:rFonts w:cs="Arial"/>
          <w:szCs w:val="17"/>
          <w:lang w:val="en-US"/>
        </w:rPr>
        <w:t>C HSQC shows C</w:t>
      </w:r>
      <w:r w:rsidRPr="007C45C4">
        <w:rPr>
          <w:rFonts w:cs="Arial"/>
          <w:szCs w:val="17"/>
          <w:vertAlign w:val="superscript"/>
          <w:lang w:val="en-US"/>
        </w:rPr>
        <w:t>2</w:t>
      </w:r>
      <w:r w:rsidRPr="007C45C4">
        <w:rPr>
          <w:rFonts w:cs="Arial"/>
          <w:szCs w:val="17"/>
          <w:lang w:val="en-US"/>
        </w:rPr>
        <w:t>–H</w:t>
      </w:r>
      <w:r w:rsidRPr="007C45C4">
        <w:rPr>
          <w:rFonts w:cs="Arial"/>
          <w:szCs w:val="17"/>
          <w:vertAlign w:val="superscript"/>
          <w:lang w:val="en-US"/>
        </w:rPr>
        <w:t>2</w:t>
      </w:r>
      <w:r w:rsidRPr="007C45C4">
        <w:rPr>
          <w:rFonts w:cs="Arial"/>
          <w:szCs w:val="17"/>
          <w:lang w:val="en-US"/>
        </w:rPr>
        <w:t xml:space="preserve"> connectivity. Thus, the </w:t>
      </w:r>
      <w:r w:rsidRPr="007C45C4">
        <w:rPr>
          <w:rFonts w:cs="Arial"/>
          <w:szCs w:val="17"/>
          <w:vertAlign w:val="superscript"/>
          <w:lang w:val="en-US"/>
        </w:rPr>
        <w:t>1</w:t>
      </w:r>
      <w:r w:rsidRPr="007C45C4">
        <w:rPr>
          <w:rFonts w:cs="Arial"/>
          <w:szCs w:val="17"/>
          <w:lang w:val="en-US"/>
        </w:rPr>
        <w:t>H NMR pattern with H</w:t>
      </w:r>
      <w:r w:rsidRPr="007C45C4">
        <w:rPr>
          <w:rFonts w:cs="Arial"/>
          <w:szCs w:val="17"/>
          <w:vertAlign w:val="superscript"/>
          <w:lang w:val="en-US"/>
        </w:rPr>
        <w:t>2</w:t>
      </w:r>
      <w:r w:rsidRPr="007C45C4">
        <w:rPr>
          <w:rFonts w:cs="Arial"/>
          <w:szCs w:val="17"/>
          <w:lang w:val="en-US"/>
        </w:rPr>
        <w:t xml:space="preserve"> at higher field (δ = 5.18 ppm) than H</w:t>
      </w:r>
      <w:r w:rsidRPr="007C45C4">
        <w:rPr>
          <w:rFonts w:cs="Arial"/>
          <w:szCs w:val="17"/>
          <w:vertAlign w:val="superscript"/>
          <w:lang w:val="en-US"/>
        </w:rPr>
        <w:t>3</w:t>
      </w:r>
      <w:r w:rsidRPr="007C45C4">
        <w:rPr>
          <w:rFonts w:cs="Arial"/>
          <w:szCs w:val="17"/>
          <w:lang w:val="en-US"/>
        </w:rPr>
        <w:t xml:space="preserve"> (δ = 5.31 ppm) well correlates with literature data for η</w:t>
      </w:r>
      <w:r w:rsidRPr="007C45C4">
        <w:rPr>
          <w:rFonts w:cs="Arial"/>
          <w:szCs w:val="17"/>
          <w:vertAlign w:val="superscript"/>
          <w:lang w:val="en-US"/>
        </w:rPr>
        <w:t>5</w:t>
      </w:r>
      <w:r w:rsidRPr="007C45C4">
        <w:rPr>
          <w:rFonts w:cs="Arial"/>
          <w:szCs w:val="17"/>
          <w:lang w:val="en-US"/>
        </w:rPr>
        <w:noBreakHyphen/>
        <w:t>indenyl molybdenum compounds.</w:t>
      </w:r>
      <w:r w:rsidR="000D21C1" w:rsidRPr="007C45C4">
        <w:rPr>
          <w:rFonts w:cs="Arial"/>
          <w:szCs w:val="17"/>
          <w:lang w:val="en-US"/>
        </w:rPr>
        <w:fldChar w:fldCharType="begin" w:fldLock="1"/>
      </w:r>
      <w:r w:rsidRPr="007C45C4">
        <w:rPr>
          <w:rFonts w:cs="Arial"/>
          <w:szCs w:val="17"/>
          <w:lang w:val="en-US"/>
        </w:rPr>
        <w:instrText>ADDIN CSL_CITATION {"citationItems":[{"id":"ITEM-1","itemData":{"DOI":"http://dx.doi.org/10.1016/0022-328X(95)05859-N","ISSN":"0022-328X","abstract":"Ring slippage of the indenyl occurs upon dissolution of the complexes [η5-IndM(CO)2L2]BF4 (M=Mo of W; L=NCMe or dimethylformamide) in an excess of L, to give [(η3-Ind)M(CO)2L3]Bf4. Other ring-slipped complexes synthesized are [(η3-Ind)Mo(CO)2L3]BF4 (L3=HC(pz)3, [HB(pz)3]−, Me3tacn or {en(NCMe)}). Addition of NCMe or an excess of L failed to give ring slippage in [η5-IndMo(CO)2L2]BF4 (L2=bipy, dppe, (PMe3)2, {P(OMe)3}2 or triphos). NMR and X-ray studies reveal a large folding of the η3-indenyl ring. The structure complex [(η3-Ind)W(CO)2(NCMe)3]BF4 (5) was determined by X-ray analysis.","author":[{"dropping-particle":"","family":"Ascenso","given":"JoséR.","non-dropping-particle":"","parse-names":false,"suffix":""},{"dropping-particle":"","family":"Gonçalves","given":"Isabel S","non-dropping-particle":"","parse-names":false,"suffix":""},{"dropping-particle":"","family":"Herdtweck","given":"Eberhardt","non-dropping-particle":"","parse-names":false,"suffix":""},{"dropping-particle":"","family":"Romão","given":"Carlos C","non-dropping-particle":"","parse-names":false,"suffix":""}],"container-title":"Journal of Organometallic Chemistry","id":"ITEM-1","issue":"1","issued":{"date-parts":[["1996"]]},"note":"NULL","page":"169-181","title":"Ring slippage in indenyl derivatives of molybdenum and tungsten","type":"article-journal","volume":"508"},"uris":["http://www.mendeley.com/documents/?uuid=ccb58ea1-2790-4939-9971-24f90e28f99c"]}],"mendeley":{"formattedCitation":"&lt;sup&gt;25&lt;/sup&gt;","plainTextFormattedCitation":"25","previouslyFormattedCitation":"&lt;sup&gt;25&lt;/sup&gt;"},"properties":{"noteIndex":0},"schema":"https://github.com/citation-style-language/schema/raw/master/csl-citation.json"}</w:instrText>
      </w:r>
      <w:r w:rsidR="000D21C1" w:rsidRPr="007C45C4">
        <w:rPr>
          <w:rFonts w:cs="Arial"/>
          <w:szCs w:val="17"/>
          <w:lang w:val="en-US"/>
        </w:rPr>
        <w:fldChar w:fldCharType="separate"/>
      </w:r>
      <w:r w:rsidRPr="007C45C4">
        <w:rPr>
          <w:rFonts w:cs="Arial"/>
          <w:noProof/>
          <w:szCs w:val="17"/>
          <w:vertAlign w:val="superscript"/>
          <w:lang w:val="en-US"/>
        </w:rPr>
        <w:t>25</w:t>
      </w:r>
      <w:r w:rsidR="000D21C1" w:rsidRPr="007C45C4">
        <w:rPr>
          <w:rFonts w:cs="Arial"/>
          <w:szCs w:val="17"/>
          <w:lang w:val="en-US"/>
        </w:rPr>
        <w:fldChar w:fldCharType="end"/>
      </w:r>
      <w:r w:rsidR="00AB711A" w:rsidRPr="007C45C4">
        <w:rPr>
          <w:rFonts w:cs="Arial"/>
          <w:szCs w:val="17"/>
          <w:lang w:val="en-US"/>
        </w:rPr>
        <w:t xml:space="preserve"> </w:t>
      </w:r>
      <w:r w:rsidRPr="007C45C4">
        <w:rPr>
          <w:rFonts w:cs="Arial"/>
          <w:bCs/>
          <w:szCs w:val="17"/>
          <w:lang w:val="en-US"/>
        </w:rPr>
        <w:t xml:space="preserve">Infrared spectrum of compound </w:t>
      </w:r>
      <w:proofErr w:type="gramStart"/>
      <w:r w:rsidRPr="007C45C4">
        <w:rPr>
          <w:rFonts w:cs="Arial"/>
          <w:b/>
          <w:bCs/>
          <w:szCs w:val="17"/>
          <w:lang w:val="en-US"/>
        </w:rPr>
        <w:t>2</w:t>
      </w:r>
      <w:proofErr w:type="gramEnd"/>
      <w:r w:rsidRPr="007C45C4">
        <w:rPr>
          <w:rFonts w:cs="Arial"/>
          <w:bCs/>
          <w:szCs w:val="17"/>
          <w:lang w:val="en-US"/>
        </w:rPr>
        <w:t xml:space="preserve"> shows two carbonyl stretching bands in the range typical for terminal carbonyl ligands (Table 1). The wavenumbers are comparable with those reported for parent indenyl complex [(η</w:t>
      </w:r>
      <w:r w:rsidRPr="007C45C4">
        <w:rPr>
          <w:rFonts w:cs="Arial"/>
          <w:bCs/>
          <w:szCs w:val="17"/>
          <w:vertAlign w:val="superscript"/>
          <w:lang w:val="en-US"/>
        </w:rPr>
        <w:t>5</w:t>
      </w:r>
      <w:r w:rsidRPr="007C45C4">
        <w:rPr>
          <w:rFonts w:cs="Arial"/>
          <w:bCs/>
          <w:szCs w:val="17"/>
          <w:lang w:val="en-US"/>
        </w:rPr>
        <w:t>-C</w:t>
      </w:r>
      <w:r w:rsidRPr="007C45C4">
        <w:rPr>
          <w:rFonts w:cs="Arial"/>
          <w:bCs/>
          <w:szCs w:val="17"/>
          <w:vertAlign w:val="subscript"/>
          <w:lang w:val="en-US"/>
        </w:rPr>
        <w:t>9</w:t>
      </w:r>
      <w:r w:rsidRPr="007C45C4">
        <w:rPr>
          <w:rFonts w:cs="Arial"/>
          <w:bCs/>
          <w:szCs w:val="17"/>
          <w:lang w:val="en-US"/>
        </w:rPr>
        <w:t>H</w:t>
      </w:r>
      <w:r w:rsidRPr="007C45C4">
        <w:rPr>
          <w:rFonts w:cs="Arial"/>
          <w:bCs/>
          <w:szCs w:val="17"/>
          <w:vertAlign w:val="subscript"/>
          <w:lang w:val="en-US"/>
        </w:rPr>
        <w:t>7</w:t>
      </w:r>
      <w:r w:rsidRPr="007C45C4">
        <w:rPr>
          <w:rFonts w:cs="Arial"/>
          <w:bCs/>
          <w:szCs w:val="17"/>
          <w:lang w:val="en-US"/>
        </w:rPr>
        <w:t>)(η</w:t>
      </w:r>
      <w:r w:rsidRPr="007C45C4">
        <w:rPr>
          <w:rFonts w:cs="Arial"/>
          <w:bCs/>
          <w:szCs w:val="17"/>
          <w:vertAlign w:val="superscript"/>
          <w:lang w:val="en-US"/>
        </w:rPr>
        <w:t>3</w:t>
      </w:r>
      <w:r w:rsidRPr="007C45C4">
        <w:rPr>
          <w:rFonts w:cs="Arial"/>
          <w:bCs/>
          <w:szCs w:val="17"/>
          <w:lang w:val="en-US"/>
        </w:rPr>
        <w:t>-C</w:t>
      </w:r>
      <w:r w:rsidRPr="007C45C4">
        <w:rPr>
          <w:rFonts w:cs="Arial"/>
          <w:bCs/>
          <w:szCs w:val="17"/>
          <w:vertAlign w:val="subscript"/>
          <w:lang w:val="en-US"/>
        </w:rPr>
        <w:t>3</w:t>
      </w:r>
      <w:r w:rsidRPr="007C45C4">
        <w:rPr>
          <w:rFonts w:cs="Arial"/>
          <w:bCs/>
          <w:szCs w:val="17"/>
          <w:lang w:val="en-US"/>
        </w:rPr>
        <w:t>H</w:t>
      </w:r>
      <w:r w:rsidRPr="007C45C4">
        <w:rPr>
          <w:rFonts w:cs="Arial"/>
          <w:bCs/>
          <w:szCs w:val="17"/>
          <w:vertAlign w:val="subscript"/>
          <w:lang w:val="en-US"/>
        </w:rPr>
        <w:t>5</w:t>
      </w:r>
      <w:r w:rsidRPr="007C45C4">
        <w:rPr>
          <w:rFonts w:cs="Arial"/>
          <w:bCs/>
          <w:szCs w:val="17"/>
          <w:lang w:val="en-US"/>
        </w:rPr>
        <w:t>)Mo(CO)</w:t>
      </w:r>
      <w:r w:rsidRPr="007C45C4">
        <w:rPr>
          <w:rFonts w:cs="Arial"/>
          <w:bCs/>
          <w:szCs w:val="17"/>
          <w:vertAlign w:val="subscript"/>
          <w:lang w:val="en-US"/>
        </w:rPr>
        <w:t>2</w:t>
      </w:r>
      <w:r w:rsidRPr="007C45C4">
        <w:rPr>
          <w:rFonts w:cs="Arial"/>
          <w:bCs/>
          <w:szCs w:val="17"/>
          <w:lang w:val="en-US"/>
        </w:rPr>
        <w:t>]</w:t>
      </w:r>
      <w:r w:rsidR="00986E00" w:rsidRPr="007C45C4">
        <w:rPr>
          <w:rFonts w:cs="Arial"/>
          <w:bCs/>
          <w:szCs w:val="17"/>
          <w:lang w:val="en-US"/>
        </w:rPr>
        <w:t xml:space="preserve"> </w:t>
      </w:r>
      <w:r w:rsidR="000D21C1" w:rsidRPr="007C45C4">
        <w:rPr>
          <w:rFonts w:cs="Arial"/>
          <w:bCs/>
          <w:szCs w:val="17"/>
          <w:lang w:val="en-US"/>
        </w:rPr>
        <w:fldChar w:fldCharType="begin" w:fldLock="1"/>
      </w:r>
      <w:r w:rsidRPr="007C45C4">
        <w:rPr>
          <w:rFonts w:cs="Arial"/>
          <w:bCs/>
          <w:szCs w:val="17"/>
          <w:lang w:val="en-US"/>
        </w:rPr>
        <w:instrText>ADDIN CSL_CITATION {"citationItems":[{"id":"ITEM-1","itemData":{"DOI":"http://dx.doi.org/10.1016/S0022-328X(00)95158-1","ISSN":"0022-328X","abstract":"Steric effects on π-allyl and π-indenyl orientation in molybdenum and tungsten complexes have been studied. Magnetic anistropies associated with indenyl derivatives have provided a definitive technique for determination of stereochemistry in these complexes. The steric factors which determine the stability of the orientations of the allyl moiety have been discussed. Generally π-cycloentadienyl or π-indenyl ligands have been considered to be essentially freely rotating. Analysis of the magnitude of the magnetic anisotropy arising from the benzene ring has suggested that there is relatively free rotation of the indenyl ligands, but there is a preferred conformation with the six-membered ring oriented over the allyl. Appropriate substitution on the allyl offers sufficient steric hindrance to make other conformations more probable.","author":[{"dropping-particle":"","family":"Faller","given":"J W","non-dropping-particle":"","parse-names":false,"suffix":""},{"dropping-particle":"","family":"Chen","given":"Chin-Chun","non-dropping-particle":"","parse-names":false,"suffix":""},{"dropping-particle":"","family":"Mattina","given":"M J","non-dropping-particle":"","parse-names":false,"suffix":""},{"dropping-particle":"","family":"Jakubowski","given":"A","non-dropping-particle":"","parse-names":false,"suffix":""}],"container-title":"Journal of Organometallic Chemistry","id":"ITEM-1","issue":"2","issued":{"date-parts":[["1973"]]},"page":"361-386","title":"Organometallic conformational equilbria","type":"article-journal","volume":"52"},"uris":["http://www.mendeley.com/documents/?uuid=800ce66b-96cc-445d-8da7-4b26c9e2d9fb"]}],"mendeley":{"formattedCitation":"&lt;sup&gt;22&lt;/sup&gt;","plainTextFormattedCitation":"22","previouslyFormattedCitation":"&lt;sup&gt;22&lt;/sup&gt;"},"properties":{"noteIndex":0},"schema":"https://github.com/citation-style-language/schema/raw/master/csl-citation.json"}</w:instrText>
      </w:r>
      <w:r w:rsidR="000D21C1" w:rsidRPr="007C45C4">
        <w:rPr>
          <w:rFonts w:cs="Arial"/>
          <w:bCs/>
          <w:szCs w:val="17"/>
          <w:lang w:val="en-US"/>
        </w:rPr>
        <w:fldChar w:fldCharType="separate"/>
      </w:r>
      <w:r w:rsidRPr="007C45C4">
        <w:rPr>
          <w:rFonts w:cs="Arial"/>
          <w:bCs/>
          <w:noProof/>
          <w:szCs w:val="17"/>
          <w:vertAlign w:val="superscript"/>
          <w:lang w:val="en-US"/>
        </w:rPr>
        <w:t>22</w:t>
      </w:r>
      <w:r w:rsidR="000D21C1" w:rsidRPr="007C45C4">
        <w:rPr>
          <w:rFonts w:cs="Arial"/>
          <w:bCs/>
          <w:szCs w:val="17"/>
          <w:lang w:val="en-US"/>
        </w:rPr>
        <w:fldChar w:fldCharType="end"/>
      </w:r>
      <w:r w:rsidRPr="007C45C4">
        <w:rPr>
          <w:rFonts w:cs="Arial"/>
          <w:bCs/>
          <w:szCs w:val="17"/>
          <w:lang w:val="en-US"/>
        </w:rPr>
        <w:t xml:space="preserve"> suggesting negligible effect of the indenyl modification on electron density on molybdenum atom.</w:t>
      </w:r>
    </w:p>
    <w:p w14:paraId="01210F88" w14:textId="77777777" w:rsidR="008E19FA" w:rsidRPr="007C45C4" w:rsidRDefault="001A50E0" w:rsidP="009964FB">
      <w:pPr>
        <w:pStyle w:val="RSCI02FigureSchemeChartwithtopbar"/>
        <w:rPr>
          <w:lang w:val="en-US"/>
        </w:rPr>
      </w:pPr>
      <w:r w:rsidRPr="007C45C4">
        <w:rPr>
          <w:noProof/>
          <w:lang w:val="en-US"/>
        </w:rPr>
        <w:drawing>
          <wp:inline distT="0" distB="0" distL="0" distR="0" wp14:anchorId="1EE77E37" wp14:editId="31E1D8F3">
            <wp:extent cx="3049200" cy="3567600"/>
            <wp:effectExtent l="0" t="0" r="0" b="0"/>
            <wp:docPr id="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xrd_2_final.tiff"/>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049200" cy="3567600"/>
                    </a:xfrm>
                    <a:prstGeom prst="rect">
                      <a:avLst/>
                    </a:prstGeom>
                  </pic:spPr>
                </pic:pic>
              </a:graphicData>
            </a:graphic>
          </wp:inline>
        </w:drawing>
      </w:r>
    </w:p>
    <w:p w14:paraId="6C5D7B37" w14:textId="7663DF32" w:rsidR="001A50E0" w:rsidRPr="007C45C4" w:rsidRDefault="007C45C4" w:rsidP="002352D4">
      <w:pPr>
        <w:pStyle w:val="RSCI05CaptiontoFigureSchemeChartwithbottombar"/>
        <w:rPr>
          <w:szCs w:val="17"/>
          <w:lang w:val="en-US"/>
        </w:rPr>
      </w:pPr>
      <w:r w:rsidRPr="007C45C4">
        <w:rPr>
          <w:b/>
          <w:lang w:val="en-US"/>
        </w:rPr>
        <w:t>Fig.</w:t>
      </w:r>
      <w:r w:rsidR="001A50E0" w:rsidRPr="007C45C4">
        <w:rPr>
          <w:b/>
          <w:lang w:val="en-US"/>
        </w:rPr>
        <w:t xml:space="preserve"> 1</w:t>
      </w:r>
      <w:r w:rsidR="001A50E0" w:rsidRPr="007C45C4">
        <w:rPr>
          <w:lang w:val="en-US"/>
        </w:rPr>
        <w:t xml:space="preserve"> ORTEP view of</w:t>
      </w:r>
      <w:r w:rsidR="00832F13" w:rsidRPr="007C45C4">
        <w:rPr>
          <w:lang w:val="en-US"/>
        </w:rPr>
        <w:t xml:space="preserve"> </w:t>
      </w:r>
      <w:r w:rsidR="001A50E0" w:rsidRPr="007C45C4">
        <w:rPr>
          <w:lang w:val="en-US"/>
        </w:rPr>
        <w:t>[(η</w:t>
      </w:r>
      <w:r w:rsidR="001A50E0" w:rsidRPr="007C45C4">
        <w:rPr>
          <w:vertAlign w:val="superscript"/>
          <w:lang w:val="en-US"/>
        </w:rPr>
        <w:t>5</w:t>
      </w:r>
      <w:r w:rsidR="001A50E0" w:rsidRPr="007C45C4">
        <w:rPr>
          <w:lang w:val="en-US"/>
        </w:rPr>
        <w:t>-C</w:t>
      </w:r>
      <w:r w:rsidR="001A50E0" w:rsidRPr="007C45C4">
        <w:rPr>
          <w:vertAlign w:val="subscript"/>
          <w:lang w:val="en-US"/>
        </w:rPr>
        <w:t>9</w:t>
      </w:r>
      <w:r w:rsidR="001A50E0" w:rsidRPr="007C45C4">
        <w:rPr>
          <w:lang w:val="en-US"/>
        </w:rPr>
        <w:t>H</w:t>
      </w:r>
      <w:r w:rsidR="001A50E0" w:rsidRPr="007C45C4">
        <w:rPr>
          <w:vertAlign w:val="subscript"/>
          <w:lang w:val="en-US"/>
        </w:rPr>
        <w:t>6</w:t>
      </w:r>
      <w:r w:rsidR="001A50E0" w:rsidRPr="007C45C4">
        <w:rPr>
          <w:lang w:val="en-US"/>
        </w:rPr>
        <w:t>CH</w:t>
      </w:r>
      <w:r w:rsidR="001A50E0" w:rsidRPr="007C45C4">
        <w:rPr>
          <w:vertAlign w:val="subscript"/>
          <w:lang w:val="en-US"/>
        </w:rPr>
        <w:t>2</w:t>
      </w:r>
      <w:r w:rsidR="001A50E0" w:rsidRPr="007C45C4">
        <w:rPr>
          <w:lang w:val="en-US"/>
        </w:rPr>
        <w:t>C</w:t>
      </w:r>
      <w:r w:rsidR="001A50E0" w:rsidRPr="007C45C4">
        <w:rPr>
          <w:vertAlign w:val="subscript"/>
          <w:lang w:val="en-US"/>
        </w:rPr>
        <w:t>4</w:t>
      </w:r>
      <w:r w:rsidR="001A50E0" w:rsidRPr="007C45C4">
        <w:rPr>
          <w:lang w:val="en-US"/>
        </w:rPr>
        <w:t>H</w:t>
      </w:r>
      <w:r w:rsidR="001A50E0" w:rsidRPr="007C45C4">
        <w:rPr>
          <w:vertAlign w:val="subscript"/>
          <w:lang w:val="en-US"/>
        </w:rPr>
        <w:t>3</w:t>
      </w:r>
      <w:r w:rsidR="001A50E0" w:rsidRPr="007C45C4">
        <w:rPr>
          <w:lang w:val="en-US"/>
        </w:rPr>
        <w:t>S</w:t>
      </w:r>
      <w:proofErr w:type="gramStart"/>
      <w:r w:rsidR="001A50E0" w:rsidRPr="007C45C4">
        <w:rPr>
          <w:lang w:val="en-US"/>
        </w:rPr>
        <w:t>)(</w:t>
      </w:r>
      <w:proofErr w:type="gramEnd"/>
      <w:r w:rsidR="001A50E0" w:rsidRPr="007C45C4">
        <w:rPr>
          <w:i/>
          <w:iCs/>
          <w:lang w:val="en-US"/>
        </w:rPr>
        <w:t>η</w:t>
      </w:r>
      <w:r w:rsidR="001A50E0" w:rsidRPr="007C45C4">
        <w:rPr>
          <w:vertAlign w:val="superscript"/>
          <w:lang w:val="en-US"/>
        </w:rPr>
        <w:t>3</w:t>
      </w:r>
      <w:r w:rsidR="001A50E0" w:rsidRPr="007C45C4">
        <w:rPr>
          <w:b/>
          <w:lang w:val="en-US"/>
        </w:rPr>
        <w:t>-</w:t>
      </w:r>
      <w:r w:rsidR="001A50E0" w:rsidRPr="007C45C4">
        <w:rPr>
          <w:lang w:val="en-US"/>
        </w:rPr>
        <w:t>C</w:t>
      </w:r>
      <w:r w:rsidR="001A50E0" w:rsidRPr="007C45C4">
        <w:rPr>
          <w:vertAlign w:val="subscript"/>
          <w:lang w:val="en-US"/>
        </w:rPr>
        <w:t>3</w:t>
      </w:r>
      <w:r w:rsidR="001A50E0" w:rsidRPr="007C45C4">
        <w:rPr>
          <w:lang w:val="en-US"/>
        </w:rPr>
        <w:t>H</w:t>
      </w:r>
      <w:r w:rsidR="001A50E0" w:rsidRPr="007C45C4">
        <w:rPr>
          <w:vertAlign w:val="subscript"/>
          <w:lang w:val="en-US"/>
        </w:rPr>
        <w:t>5</w:t>
      </w:r>
      <w:r w:rsidR="001A50E0" w:rsidRPr="007C45C4">
        <w:rPr>
          <w:lang w:val="en-US"/>
        </w:rPr>
        <w:t>)Mo(CO)</w:t>
      </w:r>
      <w:r w:rsidR="001A50E0" w:rsidRPr="007C45C4">
        <w:rPr>
          <w:vertAlign w:val="subscript"/>
          <w:lang w:val="en-US"/>
        </w:rPr>
        <w:t>2</w:t>
      </w:r>
      <w:r w:rsidR="001A50E0" w:rsidRPr="007C45C4">
        <w:rPr>
          <w:lang w:val="en-US"/>
        </w:rPr>
        <w:t>] (</w:t>
      </w:r>
      <w:r w:rsidR="001A50E0" w:rsidRPr="007C45C4">
        <w:rPr>
          <w:b/>
          <w:lang w:val="en-US"/>
        </w:rPr>
        <w:t>2</w:t>
      </w:r>
      <w:r w:rsidR="001A50E0" w:rsidRPr="007C45C4">
        <w:rPr>
          <w:lang w:val="en-US"/>
        </w:rPr>
        <w:t>). Only one position of disordered thiophene function and allyl is shown for clarity. Thermal ellipsoids are drawn at 30% probability level. Select</w:t>
      </w:r>
      <w:r w:rsidR="00832F13" w:rsidRPr="007C45C4">
        <w:rPr>
          <w:lang w:val="en-US"/>
        </w:rPr>
        <w:t>ed bond length (Å) and angles (°</w:t>
      </w:r>
      <w:r w:rsidR="001A50E0" w:rsidRPr="007C45C4">
        <w:rPr>
          <w:lang w:val="en-US"/>
        </w:rPr>
        <w:t>): Mo1</w:t>
      </w:r>
      <w:r w:rsidR="001A50E0" w:rsidRPr="007C45C4">
        <w:rPr>
          <w:lang w:val="en-US"/>
        </w:rPr>
        <w:sym w:font="Symbol" w:char="F02D"/>
      </w:r>
      <w:proofErr w:type="gramStart"/>
      <w:r w:rsidR="001A50E0" w:rsidRPr="007C45C4">
        <w:rPr>
          <w:lang w:val="en-US"/>
        </w:rPr>
        <w:t>Cg(</w:t>
      </w:r>
      <w:proofErr w:type="spellStart"/>
      <w:proofErr w:type="gramEnd"/>
      <w:r w:rsidR="001A50E0" w:rsidRPr="007C45C4">
        <w:rPr>
          <w:lang w:val="en-US"/>
        </w:rPr>
        <w:t>Cp</w:t>
      </w:r>
      <w:proofErr w:type="spellEnd"/>
      <w:r w:rsidR="001A50E0" w:rsidRPr="007C45C4">
        <w:rPr>
          <w:lang w:val="en-US"/>
        </w:rPr>
        <w:t>) = 2.0304(8), Mo1</w:t>
      </w:r>
      <w:r w:rsidR="001A50E0" w:rsidRPr="007C45C4">
        <w:rPr>
          <w:lang w:val="en-US"/>
        </w:rPr>
        <w:sym w:font="Symbol" w:char="F02D"/>
      </w:r>
      <w:r w:rsidR="001A50E0" w:rsidRPr="007C45C4">
        <w:rPr>
          <w:lang w:val="en-US"/>
        </w:rPr>
        <w:t>Cg(allyl) = 2.0450(15), Mo1</w:t>
      </w:r>
      <w:r w:rsidR="001A50E0" w:rsidRPr="007C45C4">
        <w:rPr>
          <w:lang w:val="en-US"/>
        </w:rPr>
        <w:sym w:font="Symbol" w:char="F02D"/>
      </w:r>
      <w:r w:rsidR="001A50E0" w:rsidRPr="007C45C4">
        <w:rPr>
          <w:lang w:val="en-US"/>
        </w:rPr>
        <w:t>C15 = 1.9432(18), Mo1</w:t>
      </w:r>
      <w:r w:rsidR="001A50E0" w:rsidRPr="007C45C4">
        <w:rPr>
          <w:lang w:val="en-US"/>
        </w:rPr>
        <w:sym w:font="Symbol" w:char="F02D"/>
      </w:r>
      <w:r w:rsidR="001A50E0" w:rsidRPr="007C45C4">
        <w:rPr>
          <w:lang w:val="en-US"/>
        </w:rPr>
        <w:t>C16 = 1.9541(19), C15</w:t>
      </w:r>
      <w:r w:rsidR="001A50E0" w:rsidRPr="007C45C4">
        <w:rPr>
          <w:lang w:val="en-US"/>
        </w:rPr>
        <w:sym w:font="Symbol" w:char="F02D"/>
      </w:r>
      <w:r w:rsidR="001A50E0" w:rsidRPr="007C45C4">
        <w:rPr>
          <w:lang w:val="en-US"/>
        </w:rPr>
        <w:t>Mo1</w:t>
      </w:r>
      <w:r w:rsidR="001A50E0" w:rsidRPr="007C45C4">
        <w:rPr>
          <w:lang w:val="en-US"/>
        </w:rPr>
        <w:sym w:font="Symbol" w:char="F02D"/>
      </w:r>
      <w:r w:rsidR="001A50E0" w:rsidRPr="007C45C4">
        <w:rPr>
          <w:lang w:val="en-US"/>
        </w:rPr>
        <w:t>C16 = 80.8(7), Cg(</w:t>
      </w:r>
      <w:proofErr w:type="spellStart"/>
      <w:r w:rsidR="001A50E0" w:rsidRPr="007C45C4">
        <w:rPr>
          <w:lang w:val="en-US"/>
        </w:rPr>
        <w:t>Cp</w:t>
      </w:r>
      <w:proofErr w:type="spellEnd"/>
      <w:r w:rsidR="001A50E0" w:rsidRPr="007C45C4">
        <w:rPr>
          <w:lang w:val="en-US"/>
        </w:rPr>
        <w:t>)</w:t>
      </w:r>
      <w:r w:rsidR="001A50E0" w:rsidRPr="007C45C4">
        <w:rPr>
          <w:lang w:val="en-US"/>
        </w:rPr>
        <w:sym w:font="Symbol" w:char="F02D"/>
      </w:r>
      <w:r w:rsidR="001A50E0" w:rsidRPr="007C45C4">
        <w:rPr>
          <w:lang w:val="en-US"/>
        </w:rPr>
        <w:t>Mo</w:t>
      </w:r>
      <w:r w:rsidR="001A50E0" w:rsidRPr="007C45C4">
        <w:rPr>
          <w:lang w:val="en-US"/>
        </w:rPr>
        <w:sym w:font="Symbol" w:char="F02D"/>
      </w:r>
      <w:r w:rsidR="001A50E0" w:rsidRPr="007C45C4">
        <w:rPr>
          <w:lang w:val="en-US"/>
        </w:rPr>
        <w:t>Cg(allyl) =127.6(5).</w:t>
      </w:r>
    </w:p>
    <w:p w14:paraId="77B83B68" w14:textId="735B458F" w:rsidR="00AB711A" w:rsidRPr="007C45C4" w:rsidRDefault="00973FE9" w:rsidP="00986E00">
      <w:pPr>
        <w:pStyle w:val="RSCB02ArticleText"/>
        <w:rPr>
          <w:rFonts w:cs="Arial"/>
          <w:bCs/>
          <w:szCs w:val="17"/>
          <w:lang w:val="en-US"/>
        </w:rPr>
      </w:pPr>
      <w:r w:rsidRPr="007C45C4">
        <w:rPr>
          <w:rFonts w:cs="Arial"/>
          <w:bCs/>
          <w:szCs w:val="17"/>
          <w:lang w:val="en-US"/>
        </w:rPr>
        <w:t xml:space="preserve">The molecular structure of </w:t>
      </w:r>
      <w:proofErr w:type="gramStart"/>
      <w:r w:rsidRPr="007C45C4">
        <w:rPr>
          <w:rFonts w:cs="Arial"/>
          <w:b/>
          <w:bCs/>
          <w:szCs w:val="17"/>
          <w:lang w:val="en-US"/>
        </w:rPr>
        <w:t>2</w:t>
      </w:r>
      <w:proofErr w:type="gramEnd"/>
      <w:r w:rsidRPr="007C45C4">
        <w:rPr>
          <w:rFonts w:cs="Arial"/>
          <w:bCs/>
          <w:szCs w:val="17"/>
          <w:lang w:val="en-US"/>
        </w:rPr>
        <w:t xml:space="preserve"> was determined by single-crystal X</w:t>
      </w:r>
      <w:r w:rsidRPr="007C45C4">
        <w:rPr>
          <w:rFonts w:cs="Arial"/>
          <w:bCs/>
          <w:szCs w:val="17"/>
          <w:lang w:val="en-US"/>
        </w:rPr>
        <w:noBreakHyphen/>
        <w:t>ray diffraction analysis (see Fig</w:t>
      </w:r>
      <w:r w:rsidR="007C45C4" w:rsidRPr="007C45C4">
        <w:rPr>
          <w:rFonts w:cs="Arial"/>
          <w:bCs/>
          <w:szCs w:val="17"/>
          <w:lang w:val="en-US"/>
        </w:rPr>
        <w:t>.</w:t>
      </w:r>
      <w:r w:rsidRPr="007C45C4">
        <w:rPr>
          <w:rFonts w:cs="Arial"/>
          <w:bCs/>
          <w:szCs w:val="17"/>
          <w:lang w:val="en-US"/>
        </w:rPr>
        <w:t xml:space="preserve"> 1). The selected bond lengths and angles are summarized in caption of Fig</w:t>
      </w:r>
      <w:r w:rsidR="007C45C4" w:rsidRPr="007C45C4">
        <w:rPr>
          <w:rFonts w:cs="Arial"/>
          <w:bCs/>
          <w:szCs w:val="17"/>
          <w:lang w:val="en-US"/>
        </w:rPr>
        <w:t>.</w:t>
      </w:r>
      <w:r w:rsidRPr="007C45C4">
        <w:rPr>
          <w:rFonts w:cs="Arial"/>
          <w:bCs/>
          <w:szCs w:val="17"/>
          <w:lang w:val="en-US"/>
        </w:rPr>
        <w:t xml:space="preserve"> 1. The X-ray data confirms absence of interaction between thiophene and molybdenum. Thus, the η</w:t>
      </w:r>
      <w:r w:rsidRPr="007C45C4">
        <w:rPr>
          <w:rFonts w:cs="Arial"/>
          <w:bCs/>
          <w:szCs w:val="17"/>
          <w:vertAlign w:val="superscript"/>
          <w:lang w:val="en-US"/>
        </w:rPr>
        <w:t>3</w:t>
      </w:r>
      <w:r w:rsidRPr="007C45C4">
        <w:rPr>
          <w:rFonts w:cs="Arial"/>
          <w:bCs/>
          <w:szCs w:val="17"/>
          <w:lang w:val="en-US"/>
        </w:rPr>
        <w:noBreakHyphen/>
        <w:t>allyl, η</w:t>
      </w:r>
      <w:r w:rsidRPr="007C45C4">
        <w:rPr>
          <w:rFonts w:cs="Arial"/>
          <w:bCs/>
          <w:szCs w:val="17"/>
          <w:vertAlign w:val="superscript"/>
          <w:lang w:val="en-US"/>
        </w:rPr>
        <w:t>5</w:t>
      </w:r>
      <w:r w:rsidRPr="007C45C4">
        <w:rPr>
          <w:rFonts w:cs="Arial"/>
          <w:bCs/>
          <w:szCs w:val="17"/>
          <w:lang w:val="en-US"/>
        </w:rPr>
        <w:t>-indenyl and two carbonyls</w:t>
      </w:r>
      <w:r w:rsidR="00986E00" w:rsidRPr="007C45C4">
        <w:rPr>
          <w:rFonts w:cs="Arial"/>
          <w:bCs/>
          <w:szCs w:val="17"/>
          <w:lang w:val="en-US"/>
        </w:rPr>
        <w:t xml:space="preserve"> </w:t>
      </w:r>
      <w:r w:rsidRPr="007C45C4">
        <w:rPr>
          <w:rFonts w:cs="Arial"/>
          <w:bCs/>
          <w:szCs w:val="17"/>
          <w:lang w:val="en-US"/>
        </w:rPr>
        <w:t xml:space="preserve">adopt pseudo-tetrahedral environment around molybdenum atom. Hapticity of the indenyl in crystal structure was quantified using structural parameter </w:t>
      </w:r>
      <w:r w:rsidRPr="007C45C4">
        <w:rPr>
          <w:rFonts w:cs="Arial"/>
          <w:lang w:val="en-US"/>
        </w:rPr>
        <w:sym w:font="Symbol" w:char="F044"/>
      </w:r>
      <w:r w:rsidRPr="007C45C4">
        <w:rPr>
          <w:rFonts w:cs="Arial"/>
          <w:lang w:val="en-US"/>
        </w:rPr>
        <w:t>(M</w:t>
      </w:r>
      <w:r w:rsidRPr="007C45C4">
        <w:rPr>
          <w:rFonts w:cs="Arial"/>
          <w:lang w:val="en-US"/>
        </w:rPr>
        <w:sym w:font="Symbol" w:char="F02D"/>
      </w:r>
      <w:r w:rsidRPr="007C45C4">
        <w:rPr>
          <w:rFonts w:cs="Arial"/>
          <w:lang w:val="en-US"/>
        </w:rPr>
        <w:t xml:space="preserve">C) and envelop fold angle </w:t>
      </w:r>
      <w:r w:rsidRPr="007C45C4">
        <w:rPr>
          <w:rFonts w:cs="Arial"/>
          <w:lang w:val="en-US"/>
        </w:rPr>
        <w:sym w:font="Symbol" w:char="F057"/>
      </w:r>
      <w:r w:rsidRPr="007C45C4">
        <w:rPr>
          <w:rFonts w:cs="Arial"/>
          <w:lang w:val="en-US"/>
        </w:rPr>
        <w:t xml:space="preserve"> (for definition see footnote of Table 2)</w:t>
      </w:r>
      <w:r w:rsidRPr="007C45C4">
        <w:rPr>
          <w:rFonts w:cs="Arial"/>
          <w:bCs/>
          <w:szCs w:val="17"/>
          <w:lang w:val="en-US"/>
        </w:rPr>
        <w:t xml:space="preserve">. Low values of </w:t>
      </w:r>
      <w:r w:rsidRPr="007C45C4">
        <w:rPr>
          <w:rFonts w:cs="Arial"/>
          <w:lang w:val="en-US"/>
        </w:rPr>
        <w:sym w:font="Symbol" w:char="F044"/>
      </w:r>
      <w:r w:rsidRPr="007C45C4">
        <w:rPr>
          <w:rFonts w:cs="Arial"/>
          <w:lang w:val="en-US"/>
        </w:rPr>
        <w:t>(M</w:t>
      </w:r>
      <w:r w:rsidRPr="007C45C4">
        <w:rPr>
          <w:rFonts w:cs="Arial"/>
          <w:lang w:val="en-US"/>
        </w:rPr>
        <w:sym w:font="Symbol" w:char="F02D"/>
      </w:r>
      <w:r w:rsidRPr="007C45C4">
        <w:rPr>
          <w:rFonts w:cs="Arial"/>
          <w:lang w:val="en-US"/>
        </w:rPr>
        <w:t>C) [</w:t>
      </w:r>
      <w:r w:rsidRPr="007C45C4">
        <w:rPr>
          <w:rFonts w:cs="Arial"/>
          <w:bCs/>
          <w:szCs w:val="17"/>
          <w:lang w:val="en-US"/>
        </w:rPr>
        <w:t>0.109(17) Å</w:t>
      </w:r>
      <w:r w:rsidRPr="007C45C4">
        <w:rPr>
          <w:rFonts w:cs="Arial"/>
          <w:lang w:val="en-US"/>
        </w:rPr>
        <w:t xml:space="preserve">] and </w:t>
      </w:r>
      <w:r w:rsidRPr="007C45C4">
        <w:rPr>
          <w:rFonts w:cs="Arial"/>
          <w:lang w:val="en-US"/>
        </w:rPr>
        <w:sym w:font="Symbol" w:char="F057"/>
      </w:r>
      <w:r w:rsidRPr="007C45C4">
        <w:rPr>
          <w:rFonts w:cs="Arial"/>
          <w:lang w:val="en-US"/>
        </w:rPr>
        <w:t xml:space="preserve"> [</w:t>
      </w:r>
      <w:r w:rsidRPr="007C45C4">
        <w:rPr>
          <w:rFonts w:cs="Arial"/>
          <w:bCs/>
          <w:szCs w:val="17"/>
          <w:lang w:val="en-US"/>
        </w:rPr>
        <w:t>4.4(2)°</w:t>
      </w:r>
      <w:r w:rsidRPr="007C45C4">
        <w:rPr>
          <w:rFonts w:cs="Arial"/>
          <w:lang w:val="en-US"/>
        </w:rPr>
        <w:t xml:space="preserve">] prove </w:t>
      </w:r>
      <w:r w:rsidRPr="007C45C4">
        <w:rPr>
          <w:rFonts w:cs="Arial"/>
          <w:bCs/>
          <w:szCs w:val="17"/>
          <w:lang w:val="en-US"/>
        </w:rPr>
        <w:t>η</w:t>
      </w:r>
      <w:r w:rsidRPr="007C45C4">
        <w:rPr>
          <w:rFonts w:cs="Arial"/>
          <w:bCs/>
          <w:szCs w:val="17"/>
          <w:vertAlign w:val="superscript"/>
          <w:lang w:val="en-US"/>
        </w:rPr>
        <w:t>5</w:t>
      </w:r>
      <w:r w:rsidRPr="007C45C4">
        <w:rPr>
          <w:rFonts w:cs="Arial"/>
          <w:bCs/>
          <w:szCs w:val="17"/>
          <w:lang w:val="en-US"/>
        </w:rPr>
        <w:t>-coordination mode with small contribution of η</w:t>
      </w:r>
      <w:r w:rsidRPr="007C45C4">
        <w:rPr>
          <w:rFonts w:cs="Arial"/>
          <w:bCs/>
          <w:szCs w:val="17"/>
          <w:vertAlign w:val="superscript"/>
          <w:lang w:val="en-US"/>
        </w:rPr>
        <w:t>3+2</w:t>
      </w:r>
      <w:r w:rsidRPr="007C45C4">
        <w:rPr>
          <w:rFonts w:cs="Arial"/>
          <w:bCs/>
          <w:szCs w:val="17"/>
          <w:lang w:val="en-US"/>
        </w:rPr>
        <w:t xml:space="preserve"> that is typical for η</w:t>
      </w:r>
      <w:r w:rsidRPr="007C45C4">
        <w:rPr>
          <w:rFonts w:cs="Arial"/>
          <w:bCs/>
          <w:szCs w:val="17"/>
          <w:vertAlign w:val="superscript"/>
          <w:lang w:val="en-US"/>
        </w:rPr>
        <w:t>5</w:t>
      </w:r>
      <w:r w:rsidRPr="007C45C4">
        <w:rPr>
          <w:rFonts w:cs="Arial"/>
          <w:bCs/>
          <w:szCs w:val="17"/>
          <w:lang w:val="en-US"/>
        </w:rPr>
        <w:t>-indenyl molybdenum complexes of (Table 2).</w:t>
      </w:r>
      <w:r w:rsidR="000D21C1" w:rsidRPr="007C45C4">
        <w:rPr>
          <w:rFonts w:cs="Arial"/>
          <w:bCs/>
          <w:szCs w:val="17"/>
          <w:lang w:val="en-US"/>
        </w:rPr>
        <w:fldChar w:fldCharType="begin" w:fldLock="1"/>
      </w:r>
      <w:r w:rsidRPr="007C45C4">
        <w:rPr>
          <w:rFonts w:cs="Arial"/>
          <w:bCs/>
          <w:szCs w:val="17"/>
          <w:lang w:val="en-US"/>
        </w:rPr>
        <w:instrText>ADDIN CSL_CITATION {"citationItems":[{"id":"ITEM-1","itemData":{"DOI":"10.1002/ejic.201601029","ISSN":"1099-0682","abstract":"A series of cyclopentadienyl and indenyl molybdenum(II) compounds with intramolecularly coordinated pyridine arms, including scorpionate-like species bearing two irreversibly coordinated arms on the indenyl core, were synthesized and characterized. All presented structural types were confirmed by X-ray diffraction analysis. Owing to the strong nucleophilicity of pyridine, the intramolecular interaction was found to be considerably stronger than that in analogous species bearing tertiary amines in the side chain. Although the starting compounds for the syntheses were isostructural, the reaction outcomes differed considerably. The cyclopentadienyl precursor gave a pentacoordinate η5:κN-compound, whereas the indenyl analogue produced a hexacoordinate species with the unprecedented η3:κN-coordination mode of the indenyl ligand and thus represents an unusual example of the so-called indenyl effect. The unusually high stability of the η3:κN-coordination compounds toward η3 to η5 haptotropic rearrangement was clarified by theoretical calculations. As the strong intramolecular interaction prevented rotation of the indenyl moiety, it could not reach the conformation suitable for the η3 to η5 rearrangement. As a result, the low hapticity was effectively locked.","author":[{"dropping-particle":"","family":"Mrózek","given":"Ondřej","non-dropping-particle":"","parse-names":false,"suffix":""},{"dropping-particle":"","family":"Vinklárek","given":"Jaromír","non-dropping-particle":"","parse-names":false,"suffix":""},{"dropping-particle":"","family":"Růžičková","given":"Zdeňka","non-dropping-particle":"","parse-names":false,"suffix":""},{"dropping-particle":"","family":"Honzíček","given":"Jan","non-dropping-particle":"","parse-names":false,"suffix":""}],"container-title":"European Journal of Inorganic Chemistry","id":"ITEM-1","issue":"33","issued":{"date-parts":[["2016"]]},"page":"5250-5264","title":"Indenyl Compounds with Constrained Hapticity: The Effect of Strong Intramolecular Coordination","type":"article-journal","volume":"2016"},"uris":["http://www.mendeley.com/documents/?uuid=1f203a20-5c6d-4fea-bf5a-7bc07dfb111a"]},{"id":"ITEM-2","itemData":{"DOI":"10.1002/ejic.201501133","ISSN":"14341948","author":[{"dropping-particle":"","family":"Mrózek","given":"Ondřej","non-dropping-particle":"","parse-names":false,"suffix":""},{"dropping-particle":"","family":"Šebestová","given":"Lucie","non-dropping-particle":"","parse-names":false,"suffix":""},{"dropping-particle":"","family":"Vinklárek","given":"Jaromír","non-dropping-particle":"","parse-names":false,"suffix":""},{"dropping-particle":"","family":"Řezáčová","given":"Martina","non-dropping-particle":"","parse-names":false,"suffix":""},{"dropping-particle":"","family":"Eisner","given":"Aleš","non-dropping-particle":"","parse-names":false,"suffix":""},{"dropping-particle":"","family":"Růžičková","given":"Zdeňka","non-dropping-particle":"","parse-names":false,"suffix":""},{"dropping-particle":"","family":"Honzíček","given":"Jan","non-dropping-particle":"","parse-names":false,"suffix":""}],"container-title":"European Journal of Inorganic Chemistry","id":"ITEM-2","issue":"4","issued":{"date-parts":[["2016","2","5"]]},"page":"519-529","title":"Highly Water-Soluble Cyclopentadienyl and Indenyl Molybdenum(II) Complexes - Second Generation of Molybdenum-Based Cytotoxic Agents","type":"article-journal","volume":"2016"},"uris":["http://www.mendeley.com/documents/?uuid=cd036df7-c268-4e7c-90de-2f23aa9e0425"]},{"id":"ITEM-3","itemData":{"DOI":"https://doi.org/10.1016/j.jorganchem.2012.07.011","ISSN":"0022-328X","abstract":"A series of allyl molybdenum [(η3-C3H5)Mo(CO)2L2Cl], [(η3-C3H4COOMe)Mo(CO)2L2Br], cyclopentadienyl molybdenum [(η5-C5H4R)Mo(CO)2L2][BF4] (R = H, 4-MeOC6H4CH2, 3,4,5-(MeO)3C6H2CH2), indenyl molybdenum [(η5-C9H6R)Mo(CO)2L2][BF4] (R = H, 4-MeOC6H4CH2) and cyclopentadienyl tungsten compounds [(η5-C5H5)W(CO)2L2][BF4], where L2 is N,N′-chelating ligand, were synthesized and characterized. The in vitro assay on human leukemia cells MOLT-4 has shown that the substitution in the π-ligand has lower effect of on cytotoxicity than exchange of the N,N′-chelating ligand. Nevertheless, even this modification can lead to considerable enhance of cytotoxicity as was evidenced on the series of the indenyl molybdenum(II) compounds.","author":[{"dropping-particle":"","family":"Honzíček","given":"Jan","non-dropping-particle":"","parse-names":false,"suffix":""},{"dropping-particle":"","family":"Vinklárek","given":"Jaromír","non-dropping-particle":"","parse-names":false,"suffix":""},{"dropping-particle":"","family":"Padělková","given":"Zdeňka","non-dropping-particle":"","parse-names":false,"suffix":""},{"dropping-particle":"","family":"Šebestová","given":"Lucie","non-dropping-particle":"","parse-names":false,"suffix":""},{"dropping-particle":"","family":"Foltánová","given":"Karolína","non-dropping-particle":"","parse-names":false,"suffix":""},{"dropping-particle":"","family":"Řezáčová","given":"Martina","non-dropping-particle":"","parse-names":false,"suffix":""}],"container-title":"Journal of Organometallic Chemistry","id":"ITEM-3","issued":{"date-parts":[["2012"]]},"page":"258-268","title":"The effect of substitution on the cytotoxicity of molybdenum(II) and tungsten(II) compounds","type":"article-journal","volume":"716"},"uris":["http://www.mendeley.com/documents/?uuid=d0003565-9a94-48a0-ac6e-172e6f1bf7f5"]}],"mendeley":{"formattedCitation":"&lt;sup&gt;14,16,24&lt;/sup&gt;","plainTextFormattedCitation":"14,16,24","previouslyFormattedCitation":"&lt;sup&gt;14,16,24&lt;/sup&gt;"},"properties":{"noteIndex":0},"schema":"https://github.com/citation-style-language/schema/raw/master/csl-citation.json"}</w:instrText>
      </w:r>
      <w:r w:rsidR="000D21C1" w:rsidRPr="007C45C4">
        <w:rPr>
          <w:rFonts w:cs="Arial"/>
          <w:bCs/>
          <w:szCs w:val="17"/>
          <w:lang w:val="en-US"/>
        </w:rPr>
        <w:fldChar w:fldCharType="separate"/>
      </w:r>
      <w:r w:rsidRPr="007C45C4">
        <w:rPr>
          <w:rFonts w:cs="Arial"/>
          <w:bCs/>
          <w:noProof/>
          <w:szCs w:val="17"/>
          <w:vertAlign w:val="superscript"/>
          <w:lang w:val="en-US"/>
        </w:rPr>
        <w:t>14,16,24</w:t>
      </w:r>
      <w:r w:rsidR="000D21C1" w:rsidRPr="007C45C4">
        <w:rPr>
          <w:rFonts w:cs="Arial"/>
          <w:bCs/>
          <w:szCs w:val="17"/>
          <w:lang w:val="en-US"/>
        </w:rPr>
        <w:fldChar w:fldCharType="end"/>
      </w:r>
    </w:p>
    <w:p w14:paraId="7FD280D8" w14:textId="77777777" w:rsidR="00986E00" w:rsidRPr="007C45C4" w:rsidRDefault="00986E00" w:rsidP="00986E00">
      <w:pPr>
        <w:pStyle w:val="RSCB02ArticleText"/>
        <w:rPr>
          <w:lang w:val="en-US"/>
        </w:rPr>
      </w:pPr>
    </w:p>
    <w:p w14:paraId="71CC0CB3" w14:textId="77777777" w:rsidR="00973FE9" w:rsidRPr="007C45C4" w:rsidRDefault="00973FE9" w:rsidP="00973FE9">
      <w:pPr>
        <w:pStyle w:val="RSCB06BHeadingSub-Section"/>
        <w:rPr>
          <w:lang w:val="en-US"/>
        </w:rPr>
      </w:pPr>
      <w:r w:rsidRPr="007C45C4">
        <w:rPr>
          <w:lang w:val="en-US"/>
        </w:rPr>
        <w:lastRenderedPageBreak/>
        <w:t>Synthesis and characterization of acetonitrile complex</w:t>
      </w:r>
    </w:p>
    <w:p w14:paraId="3C101C0C" w14:textId="77777777" w:rsidR="00973FE9" w:rsidRPr="007C45C4" w:rsidRDefault="00973FE9" w:rsidP="00973FE9">
      <w:pPr>
        <w:pStyle w:val="RSCB02ArticleText"/>
        <w:rPr>
          <w:lang w:val="en-US"/>
        </w:rPr>
      </w:pPr>
      <w:r w:rsidRPr="007C45C4">
        <w:rPr>
          <w:rFonts w:cs="Arial"/>
          <w:bCs/>
          <w:color w:val="000000" w:themeColor="text1"/>
          <w:szCs w:val="17"/>
          <w:lang w:val="en-US"/>
        </w:rPr>
        <w:t xml:space="preserve">The allyl ligand of </w:t>
      </w:r>
      <w:r w:rsidRPr="007C45C4">
        <w:rPr>
          <w:rFonts w:cs="Arial"/>
          <w:b/>
          <w:bCs/>
          <w:color w:val="000000" w:themeColor="text1"/>
          <w:szCs w:val="17"/>
          <w:lang w:val="en-US"/>
        </w:rPr>
        <w:t>2</w:t>
      </w:r>
      <w:r w:rsidRPr="007C45C4">
        <w:rPr>
          <w:rFonts w:cs="Arial"/>
          <w:bCs/>
          <w:color w:val="000000" w:themeColor="text1"/>
          <w:szCs w:val="17"/>
          <w:lang w:val="en-US"/>
        </w:rPr>
        <w:t xml:space="preserve"> is readily cleaved using </w:t>
      </w:r>
      <w:proofErr w:type="spellStart"/>
      <w:r w:rsidRPr="007C45C4">
        <w:rPr>
          <w:rFonts w:cs="Arial"/>
          <w:bCs/>
          <w:color w:val="000000" w:themeColor="text1"/>
          <w:szCs w:val="17"/>
          <w:lang w:val="en-US"/>
        </w:rPr>
        <w:t>fluoroboric</w:t>
      </w:r>
      <w:proofErr w:type="spellEnd"/>
      <w:r w:rsidRPr="007C45C4">
        <w:rPr>
          <w:rFonts w:cs="Arial"/>
          <w:bCs/>
          <w:color w:val="000000" w:themeColor="text1"/>
          <w:szCs w:val="17"/>
          <w:lang w:val="en-US"/>
        </w:rPr>
        <w:t xml:space="preserve"> acid in presence of acetonitrile to afford complex </w:t>
      </w:r>
      <w:r w:rsidRPr="007C45C4">
        <w:rPr>
          <w:rFonts w:cs="Arial"/>
          <w:szCs w:val="17"/>
          <w:lang w:val="en-US"/>
        </w:rPr>
        <w:t>[(η</w:t>
      </w:r>
      <w:r w:rsidRPr="007C45C4">
        <w:rPr>
          <w:rFonts w:cs="Arial"/>
          <w:szCs w:val="17"/>
          <w:vertAlign w:val="superscript"/>
          <w:lang w:val="en-US"/>
        </w:rPr>
        <w:t>5</w:t>
      </w:r>
      <w:r w:rsidRPr="007C45C4">
        <w:rPr>
          <w:rFonts w:cs="Arial"/>
          <w:szCs w:val="17"/>
          <w:lang w:val="en-US"/>
        </w:rPr>
        <w:noBreakHyphen/>
        <w:t>C</w:t>
      </w:r>
      <w:r w:rsidRPr="007C45C4">
        <w:rPr>
          <w:rFonts w:cs="Arial"/>
          <w:szCs w:val="17"/>
          <w:vertAlign w:val="subscript"/>
          <w:lang w:val="en-US"/>
        </w:rPr>
        <w:t>9</w:t>
      </w:r>
      <w:r w:rsidRPr="007C45C4">
        <w:rPr>
          <w:rFonts w:cs="Arial"/>
          <w:szCs w:val="17"/>
          <w:lang w:val="en-US"/>
        </w:rPr>
        <w:t>H</w:t>
      </w:r>
      <w:r w:rsidRPr="007C45C4">
        <w:rPr>
          <w:rFonts w:cs="Arial"/>
          <w:szCs w:val="17"/>
          <w:vertAlign w:val="subscript"/>
          <w:lang w:val="en-US"/>
        </w:rPr>
        <w:t>6</w:t>
      </w:r>
      <w:r w:rsidRPr="007C45C4">
        <w:rPr>
          <w:rFonts w:cs="Arial"/>
          <w:szCs w:val="17"/>
          <w:lang w:val="en-US"/>
        </w:rPr>
        <w:t>CH</w:t>
      </w:r>
      <w:r w:rsidRPr="007C45C4">
        <w:rPr>
          <w:rFonts w:cs="Arial"/>
          <w:szCs w:val="17"/>
          <w:vertAlign w:val="subscript"/>
          <w:lang w:val="en-US"/>
        </w:rPr>
        <w:t>2</w:t>
      </w:r>
      <w:r w:rsidRPr="007C45C4">
        <w:rPr>
          <w:rFonts w:cs="Arial"/>
          <w:szCs w:val="17"/>
          <w:lang w:val="en-US"/>
        </w:rPr>
        <w:t>C</w:t>
      </w:r>
      <w:r w:rsidRPr="007C45C4">
        <w:rPr>
          <w:rFonts w:cs="Arial"/>
          <w:szCs w:val="17"/>
          <w:vertAlign w:val="subscript"/>
          <w:lang w:val="en-US"/>
        </w:rPr>
        <w:t>4</w:t>
      </w:r>
      <w:r w:rsidRPr="007C45C4">
        <w:rPr>
          <w:rFonts w:cs="Arial"/>
          <w:szCs w:val="17"/>
          <w:lang w:val="en-US"/>
        </w:rPr>
        <w:t>H</w:t>
      </w:r>
      <w:r w:rsidRPr="007C45C4">
        <w:rPr>
          <w:rFonts w:cs="Arial"/>
          <w:szCs w:val="17"/>
          <w:vertAlign w:val="subscript"/>
          <w:lang w:val="en-US"/>
        </w:rPr>
        <w:t>3</w:t>
      </w:r>
      <w:r w:rsidRPr="007C45C4">
        <w:rPr>
          <w:rFonts w:cs="Arial"/>
          <w:szCs w:val="17"/>
          <w:lang w:val="en-US"/>
        </w:rPr>
        <w:t>S</w:t>
      </w:r>
      <w:proofErr w:type="gramStart"/>
      <w:r w:rsidRPr="007C45C4">
        <w:rPr>
          <w:rFonts w:cs="Arial"/>
          <w:szCs w:val="17"/>
          <w:lang w:val="en-US"/>
        </w:rPr>
        <w:t>)Mo</w:t>
      </w:r>
      <w:proofErr w:type="gramEnd"/>
      <w:r w:rsidRPr="007C45C4">
        <w:rPr>
          <w:rFonts w:cs="Arial"/>
          <w:szCs w:val="17"/>
          <w:lang w:val="en-US"/>
        </w:rPr>
        <w:t>(CO)</w:t>
      </w:r>
      <w:r w:rsidRPr="007C45C4">
        <w:rPr>
          <w:rFonts w:cs="Arial"/>
          <w:szCs w:val="17"/>
          <w:vertAlign w:val="subscript"/>
          <w:lang w:val="en-US"/>
        </w:rPr>
        <w:t>2</w:t>
      </w:r>
      <w:r w:rsidRPr="007C45C4">
        <w:rPr>
          <w:rFonts w:cs="Arial"/>
          <w:szCs w:val="17"/>
          <w:lang w:val="en-US"/>
        </w:rPr>
        <w:t>(</w:t>
      </w:r>
      <w:proofErr w:type="spellStart"/>
      <w:r w:rsidRPr="007C45C4">
        <w:rPr>
          <w:rFonts w:cs="Arial"/>
          <w:szCs w:val="17"/>
          <w:lang w:val="en-US"/>
        </w:rPr>
        <w:t>NCMe</w:t>
      </w:r>
      <w:proofErr w:type="spellEnd"/>
      <w:r w:rsidRPr="007C45C4">
        <w:rPr>
          <w:rFonts w:cs="Arial"/>
          <w:szCs w:val="17"/>
          <w:lang w:val="en-US"/>
        </w:rPr>
        <w:t>)</w:t>
      </w:r>
      <w:r w:rsidRPr="007C45C4">
        <w:rPr>
          <w:rFonts w:cs="Arial"/>
          <w:szCs w:val="17"/>
          <w:vertAlign w:val="subscript"/>
          <w:lang w:val="en-US"/>
        </w:rPr>
        <w:t>2</w:t>
      </w:r>
      <w:r w:rsidRPr="007C45C4">
        <w:rPr>
          <w:rFonts w:cs="Arial"/>
          <w:szCs w:val="17"/>
          <w:lang w:val="en-US"/>
        </w:rPr>
        <w:t>][BF</w:t>
      </w:r>
      <w:r w:rsidRPr="007C45C4">
        <w:rPr>
          <w:rFonts w:cs="Arial"/>
          <w:szCs w:val="17"/>
          <w:vertAlign w:val="subscript"/>
          <w:lang w:val="en-US"/>
        </w:rPr>
        <w:t>4</w:t>
      </w:r>
      <w:r w:rsidRPr="007C45C4">
        <w:rPr>
          <w:rFonts w:cs="Arial"/>
          <w:szCs w:val="17"/>
          <w:lang w:val="en-US"/>
        </w:rPr>
        <w:t>] (</w:t>
      </w:r>
      <w:r w:rsidRPr="007C45C4">
        <w:rPr>
          <w:rFonts w:cs="Arial"/>
          <w:b/>
          <w:szCs w:val="17"/>
          <w:lang w:val="en-US"/>
        </w:rPr>
        <w:t>3</w:t>
      </w:r>
      <w:r w:rsidRPr="007C45C4">
        <w:rPr>
          <w:rFonts w:cs="Arial"/>
          <w:szCs w:val="17"/>
          <w:lang w:val="en-US"/>
        </w:rPr>
        <w:t>)</w:t>
      </w:r>
      <w:r w:rsidRPr="007C45C4">
        <w:rPr>
          <w:rFonts w:cs="Arial"/>
          <w:bCs/>
          <w:color w:val="000000" w:themeColor="text1"/>
          <w:szCs w:val="17"/>
          <w:lang w:val="en-US"/>
        </w:rPr>
        <w:t xml:space="preserve"> in excellent yield (91%)</w:t>
      </w:r>
      <w:r w:rsidR="00CB68FD" w:rsidRPr="007C45C4">
        <w:rPr>
          <w:rFonts w:cs="Arial"/>
          <w:bCs/>
          <w:color w:val="000000" w:themeColor="text1"/>
          <w:szCs w:val="17"/>
          <w:lang w:val="en-US"/>
        </w:rPr>
        <w:t>;</w:t>
      </w:r>
      <w:r w:rsidRPr="007C45C4">
        <w:rPr>
          <w:rFonts w:cs="Arial"/>
          <w:bCs/>
          <w:color w:val="000000" w:themeColor="text1"/>
          <w:szCs w:val="17"/>
          <w:lang w:val="en-US"/>
        </w:rPr>
        <w:t xml:space="preserve"> Scheme 3</w:t>
      </w:r>
      <w:r w:rsidRPr="007C45C4">
        <w:rPr>
          <w:rFonts w:cs="Arial"/>
          <w:szCs w:val="17"/>
          <w:lang w:val="en-US"/>
        </w:rPr>
        <w:t>.</w:t>
      </w:r>
      <w:r w:rsidR="00AB711A" w:rsidRPr="007C45C4">
        <w:rPr>
          <w:rFonts w:cs="Arial"/>
          <w:szCs w:val="17"/>
          <w:lang w:val="en-US"/>
        </w:rPr>
        <w:t xml:space="preserve"> </w:t>
      </w:r>
      <w:r w:rsidRPr="007C45C4">
        <w:rPr>
          <w:rFonts w:cs="Arial"/>
          <w:bCs/>
          <w:szCs w:val="17"/>
          <w:lang w:val="en-US"/>
        </w:rPr>
        <w:t xml:space="preserve">We suggest </w:t>
      </w:r>
      <w:r w:rsidRPr="007C45C4">
        <w:rPr>
          <w:rFonts w:cs="Arial"/>
          <w:bCs/>
          <w:color w:val="000000" w:themeColor="text1"/>
          <w:szCs w:val="17"/>
          <w:lang w:val="en-US"/>
        </w:rPr>
        <w:t>protonation of η</w:t>
      </w:r>
      <w:r w:rsidRPr="007C45C4">
        <w:rPr>
          <w:rFonts w:cs="Arial"/>
          <w:bCs/>
          <w:color w:val="000000" w:themeColor="text1"/>
          <w:szCs w:val="17"/>
          <w:vertAlign w:val="superscript"/>
          <w:lang w:val="en-US"/>
        </w:rPr>
        <w:t>3</w:t>
      </w:r>
      <w:r w:rsidRPr="007C45C4">
        <w:rPr>
          <w:rFonts w:cs="Arial"/>
          <w:bCs/>
          <w:color w:val="000000" w:themeColor="text1"/>
          <w:szCs w:val="17"/>
          <w:lang w:val="en-US"/>
        </w:rPr>
        <w:t>-allyl and formation of η</w:t>
      </w:r>
      <w:r w:rsidRPr="007C45C4">
        <w:rPr>
          <w:rFonts w:cs="Arial"/>
          <w:bCs/>
          <w:color w:val="000000" w:themeColor="text1"/>
          <w:szCs w:val="17"/>
          <w:vertAlign w:val="superscript"/>
          <w:lang w:val="en-US"/>
        </w:rPr>
        <w:t>2</w:t>
      </w:r>
      <w:r w:rsidRPr="007C45C4">
        <w:rPr>
          <w:rFonts w:cs="Arial"/>
          <w:bCs/>
          <w:color w:val="000000" w:themeColor="text1"/>
          <w:szCs w:val="17"/>
          <w:lang w:val="en-US"/>
        </w:rPr>
        <w:t xml:space="preserve">-propene intermediate similar as described for parent complex </w:t>
      </w:r>
      <w:r w:rsidRPr="007C45C4">
        <w:rPr>
          <w:rFonts w:cs="Arial"/>
          <w:bCs/>
          <w:szCs w:val="17"/>
          <w:lang w:val="en-US"/>
        </w:rPr>
        <w:t>[(η</w:t>
      </w:r>
      <w:r w:rsidRPr="007C45C4">
        <w:rPr>
          <w:rFonts w:cs="Arial"/>
          <w:bCs/>
          <w:szCs w:val="17"/>
          <w:vertAlign w:val="superscript"/>
          <w:lang w:val="en-US"/>
        </w:rPr>
        <w:t>5</w:t>
      </w:r>
      <w:r w:rsidRPr="007C45C4">
        <w:rPr>
          <w:rFonts w:cs="Arial"/>
          <w:bCs/>
          <w:szCs w:val="17"/>
          <w:lang w:val="en-US"/>
        </w:rPr>
        <w:t>-C</w:t>
      </w:r>
      <w:r w:rsidRPr="007C45C4">
        <w:rPr>
          <w:rFonts w:cs="Arial"/>
          <w:bCs/>
          <w:szCs w:val="17"/>
          <w:vertAlign w:val="subscript"/>
          <w:lang w:val="en-US"/>
        </w:rPr>
        <w:t>5</w:t>
      </w:r>
      <w:r w:rsidRPr="007C45C4">
        <w:rPr>
          <w:rFonts w:cs="Arial"/>
          <w:bCs/>
          <w:szCs w:val="17"/>
          <w:lang w:val="en-US"/>
        </w:rPr>
        <w:t>H</w:t>
      </w:r>
      <w:r w:rsidRPr="007C45C4">
        <w:rPr>
          <w:rFonts w:cs="Arial"/>
          <w:bCs/>
          <w:szCs w:val="17"/>
          <w:vertAlign w:val="subscript"/>
          <w:lang w:val="en-US"/>
        </w:rPr>
        <w:t>5</w:t>
      </w:r>
      <w:r w:rsidRPr="007C45C4">
        <w:rPr>
          <w:rFonts w:cs="Arial"/>
          <w:bCs/>
          <w:szCs w:val="17"/>
          <w:lang w:val="en-US"/>
        </w:rPr>
        <w:t>)(η</w:t>
      </w:r>
      <w:r w:rsidRPr="007C45C4">
        <w:rPr>
          <w:rFonts w:cs="Arial"/>
          <w:bCs/>
          <w:szCs w:val="17"/>
          <w:vertAlign w:val="superscript"/>
          <w:lang w:val="en-US"/>
        </w:rPr>
        <w:t>3</w:t>
      </w:r>
      <w:r w:rsidRPr="007C45C4">
        <w:rPr>
          <w:rFonts w:cs="Arial"/>
          <w:bCs/>
          <w:szCs w:val="17"/>
          <w:lang w:val="en-US"/>
        </w:rPr>
        <w:t>-C</w:t>
      </w:r>
      <w:r w:rsidRPr="007C45C4">
        <w:rPr>
          <w:rFonts w:cs="Arial"/>
          <w:bCs/>
          <w:szCs w:val="17"/>
          <w:vertAlign w:val="subscript"/>
          <w:lang w:val="en-US"/>
        </w:rPr>
        <w:t>3</w:t>
      </w:r>
      <w:r w:rsidRPr="007C45C4">
        <w:rPr>
          <w:rFonts w:cs="Arial"/>
          <w:bCs/>
          <w:szCs w:val="17"/>
          <w:lang w:val="en-US"/>
        </w:rPr>
        <w:t>H</w:t>
      </w:r>
      <w:r w:rsidRPr="007C45C4">
        <w:rPr>
          <w:rFonts w:cs="Arial"/>
          <w:bCs/>
          <w:szCs w:val="17"/>
          <w:vertAlign w:val="subscript"/>
          <w:lang w:val="en-US"/>
        </w:rPr>
        <w:t>5</w:t>
      </w:r>
      <w:r w:rsidRPr="007C45C4">
        <w:rPr>
          <w:rFonts w:cs="Arial"/>
          <w:bCs/>
          <w:szCs w:val="17"/>
          <w:lang w:val="en-US"/>
        </w:rPr>
        <w:t>)Mo(CO)</w:t>
      </w:r>
      <w:r w:rsidRPr="007C45C4">
        <w:rPr>
          <w:rFonts w:cs="Arial"/>
          <w:bCs/>
          <w:szCs w:val="17"/>
          <w:vertAlign w:val="subscript"/>
          <w:lang w:val="en-US"/>
        </w:rPr>
        <w:t>2</w:t>
      </w:r>
      <w:r w:rsidRPr="007C45C4">
        <w:rPr>
          <w:rFonts w:cs="Arial"/>
          <w:bCs/>
          <w:szCs w:val="17"/>
          <w:lang w:val="en-US"/>
        </w:rPr>
        <w:t>].</w:t>
      </w:r>
      <w:r w:rsidR="000D21C1" w:rsidRPr="007C45C4">
        <w:rPr>
          <w:rFonts w:cs="Arial"/>
          <w:bCs/>
          <w:szCs w:val="17"/>
          <w:lang w:val="en-US"/>
        </w:rPr>
        <w:fldChar w:fldCharType="begin" w:fldLock="1"/>
      </w:r>
      <w:r w:rsidRPr="007C45C4">
        <w:rPr>
          <w:rFonts w:cs="Arial"/>
          <w:bCs/>
          <w:szCs w:val="17"/>
          <w:lang w:val="en-US"/>
        </w:rPr>
        <w:instrText>ADDIN CSL_CITATION {"citationItems":[{"id":"ITEM-1","itemData":{"DOI":"10.1021/ic00204a034","ISSN":"0020-1669","author":[{"dropping-particle":"","family":"Markham","given":"J","non-dropping-particle":"","parse-names":false,"suffix":""},{"dropping-particle":"","family":"Menard","given":"K","non-dropping-particle":"","parse-names":false,"suffix":""},{"dropping-particle":"","family":"Cutler","given":"A","non-dropping-particle":"","parse-names":false,"suffix":""}],"container-title":"Inorganic Chemistry","id":"ITEM-1","issue":"10","issued":{"date-parts":[["1985","5","1"]]},"note":"doi: 10.1021/ic00204a034","page":"1581-1587","publisher":"American Chemical Society","title":"Preparation and reactivity of an organometallic Lewis acid bearing two accessible coordination sites","type":"article-journal","volume":"24"},"uris":["http://www.mendeley.com/documents/?uuid=af6de020-04ec-4d78-8b5f-c48af3d00ade"]}],"mendeley":{"formattedCitation":"&lt;sup&gt;26&lt;/sup&gt;","plainTextFormattedCitation":"26","previouslyFormattedCitation":"&lt;sup&gt;26&lt;/sup&gt;"},"properties":{"noteIndex":0},"schema":"https://github.com/citation-style-language/schema/raw/master/csl-citation.json"}</w:instrText>
      </w:r>
      <w:r w:rsidR="000D21C1" w:rsidRPr="007C45C4">
        <w:rPr>
          <w:rFonts w:cs="Arial"/>
          <w:bCs/>
          <w:szCs w:val="17"/>
          <w:lang w:val="en-US"/>
        </w:rPr>
        <w:fldChar w:fldCharType="separate"/>
      </w:r>
      <w:r w:rsidRPr="007C45C4">
        <w:rPr>
          <w:rFonts w:cs="Arial"/>
          <w:bCs/>
          <w:noProof/>
          <w:szCs w:val="17"/>
          <w:vertAlign w:val="superscript"/>
          <w:lang w:val="en-US"/>
        </w:rPr>
        <w:t>26</w:t>
      </w:r>
      <w:r w:rsidR="000D21C1" w:rsidRPr="007C45C4">
        <w:rPr>
          <w:rFonts w:cs="Arial"/>
          <w:bCs/>
          <w:szCs w:val="17"/>
          <w:lang w:val="en-US"/>
        </w:rPr>
        <w:fldChar w:fldCharType="end"/>
      </w:r>
      <w:r w:rsidRPr="007C45C4">
        <w:rPr>
          <w:rFonts w:cs="Arial"/>
          <w:bCs/>
          <w:color w:val="000000" w:themeColor="text1"/>
          <w:szCs w:val="17"/>
          <w:lang w:val="en-US"/>
        </w:rPr>
        <w:t xml:space="preserve"> Nevertheless, the suggested intermediate was not isolated even at </w:t>
      </w:r>
      <w:r w:rsidRPr="007C45C4">
        <w:rPr>
          <w:rFonts w:cs="Arial"/>
          <w:bCs/>
          <w:color w:val="000000" w:themeColor="text1"/>
          <w:szCs w:val="17"/>
          <w:lang w:val="en-US"/>
        </w:rPr>
        <w:sym w:font="Symbol" w:char="F02D"/>
      </w:r>
      <w:r w:rsidRPr="007C45C4">
        <w:rPr>
          <w:rFonts w:cs="Arial"/>
          <w:bCs/>
          <w:color w:val="000000" w:themeColor="text1"/>
          <w:szCs w:val="17"/>
          <w:lang w:val="en-US"/>
        </w:rPr>
        <w:t>30°C. The attempt to follow the reaction in situ in CD</w:t>
      </w:r>
      <w:r w:rsidRPr="007C45C4">
        <w:rPr>
          <w:rFonts w:cs="Arial"/>
          <w:bCs/>
          <w:color w:val="000000" w:themeColor="text1"/>
          <w:szCs w:val="17"/>
          <w:vertAlign w:val="subscript"/>
          <w:lang w:val="en-US"/>
        </w:rPr>
        <w:t>2</w:t>
      </w:r>
      <w:r w:rsidRPr="007C45C4">
        <w:rPr>
          <w:rFonts w:cs="Arial"/>
          <w:bCs/>
          <w:color w:val="000000" w:themeColor="text1"/>
          <w:szCs w:val="17"/>
          <w:lang w:val="en-US"/>
        </w:rPr>
        <w:t>Cl</w:t>
      </w:r>
      <w:r w:rsidRPr="007C45C4">
        <w:rPr>
          <w:rFonts w:cs="Arial"/>
          <w:bCs/>
          <w:color w:val="000000" w:themeColor="text1"/>
          <w:szCs w:val="17"/>
          <w:vertAlign w:val="subscript"/>
          <w:lang w:val="en-US"/>
        </w:rPr>
        <w:t>2</w:t>
      </w:r>
      <w:r w:rsidRPr="007C45C4">
        <w:rPr>
          <w:rFonts w:cs="Arial"/>
          <w:bCs/>
          <w:color w:val="000000" w:themeColor="text1"/>
          <w:szCs w:val="17"/>
          <w:lang w:val="en-US"/>
        </w:rPr>
        <w:t xml:space="preserve"> by </w:t>
      </w:r>
      <w:proofErr w:type="gramStart"/>
      <w:r w:rsidRPr="007C45C4">
        <w:rPr>
          <w:rFonts w:cs="Arial"/>
          <w:bCs/>
          <w:color w:val="000000" w:themeColor="text1"/>
          <w:szCs w:val="17"/>
          <w:vertAlign w:val="superscript"/>
          <w:lang w:val="en-US"/>
        </w:rPr>
        <w:t>1</w:t>
      </w:r>
      <w:r w:rsidRPr="007C45C4">
        <w:rPr>
          <w:rFonts w:cs="Arial"/>
          <w:bCs/>
          <w:color w:val="000000" w:themeColor="text1"/>
          <w:szCs w:val="17"/>
          <w:lang w:val="en-US"/>
        </w:rPr>
        <w:t>H</w:t>
      </w:r>
      <w:proofErr w:type="gramEnd"/>
      <w:r w:rsidRPr="007C45C4">
        <w:rPr>
          <w:rFonts w:cs="Arial"/>
          <w:bCs/>
          <w:color w:val="000000" w:themeColor="text1"/>
          <w:szCs w:val="17"/>
          <w:lang w:val="en-US"/>
        </w:rPr>
        <w:t xml:space="preserve"> NMR led only to identification of free propene, which appears as the only traceable decomposition product. </w:t>
      </w:r>
    </w:p>
    <w:p w14:paraId="5110DD49" w14:textId="6AF24D90" w:rsidR="00973FE9" w:rsidRPr="007C45C4" w:rsidRDefault="00973FE9" w:rsidP="00973FE9">
      <w:pPr>
        <w:pStyle w:val="RSCB02ArticleText"/>
        <w:rPr>
          <w:lang w:val="en-US"/>
        </w:rPr>
      </w:pPr>
      <w:r w:rsidRPr="007C45C4">
        <w:rPr>
          <w:rFonts w:cs="Arial"/>
          <w:bCs/>
          <w:color w:val="000000" w:themeColor="text1"/>
          <w:szCs w:val="17"/>
          <w:vertAlign w:val="superscript"/>
          <w:lang w:val="en-US"/>
        </w:rPr>
        <w:t>1</w:t>
      </w:r>
      <w:r w:rsidRPr="007C45C4">
        <w:rPr>
          <w:rFonts w:cs="Arial"/>
          <w:bCs/>
          <w:color w:val="000000" w:themeColor="text1"/>
          <w:szCs w:val="17"/>
          <w:lang w:val="en-US"/>
        </w:rPr>
        <w:t xml:space="preserve">H NMR spectrum of the final product </w:t>
      </w:r>
      <w:r w:rsidRPr="007C45C4">
        <w:rPr>
          <w:rFonts w:cs="Arial"/>
          <w:b/>
          <w:bCs/>
          <w:color w:val="000000" w:themeColor="text1"/>
          <w:szCs w:val="17"/>
          <w:lang w:val="en-US"/>
        </w:rPr>
        <w:t>3</w:t>
      </w:r>
      <w:r w:rsidRPr="007C45C4">
        <w:rPr>
          <w:rFonts w:cs="Arial"/>
          <w:bCs/>
          <w:color w:val="000000" w:themeColor="text1"/>
          <w:szCs w:val="17"/>
          <w:lang w:val="en-US"/>
        </w:rPr>
        <w:t>, measured in CD</w:t>
      </w:r>
      <w:r w:rsidRPr="007C45C4">
        <w:rPr>
          <w:rFonts w:cs="Arial"/>
          <w:bCs/>
          <w:color w:val="000000" w:themeColor="text1"/>
          <w:szCs w:val="17"/>
          <w:vertAlign w:val="subscript"/>
          <w:lang w:val="en-US"/>
        </w:rPr>
        <w:t>2</w:t>
      </w:r>
      <w:r w:rsidRPr="007C45C4">
        <w:rPr>
          <w:rFonts w:cs="Arial"/>
          <w:bCs/>
          <w:color w:val="000000" w:themeColor="text1"/>
          <w:szCs w:val="17"/>
          <w:lang w:val="en-US"/>
        </w:rPr>
        <w:t>Cl</w:t>
      </w:r>
      <w:r w:rsidRPr="007C45C4">
        <w:rPr>
          <w:rFonts w:cs="Arial"/>
          <w:bCs/>
          <w:color w:val="000000" w:themeColor="text1"/>
          <w:szCs w:val="17"/>
          <w:vertAlign w:val="subscript"/>
          <w:lang w:val="en-US"/>
        </w:rPr>
        <w:t>2</w:t>
      </w:r>
      <w:r w:rsidRPr="007C45C4">
        <w:rPr>
          <w:rFonts w:cs="Arial"/>
          <w:bCs/>
          <w:color w:val="000000" w:themeColor="text1"/>
          <w:szCs w:val="17"/>
          <w:lang w:val="en-US"/>
        </w:rPr>
        <w:t>, revealed resonances of two coordinated acetonitrile ligands, which appear at considerably lower-field (2.47 and 2.41 ppm) than free acetonitrile</w:t>
      </w:r>
      <w:r w:rsidR="000D21C1" w:rsidRPr="007C45C4">
        <w:rPr>
          <w:rFonts w:cs="Arial"/>
          <w:bCs/>
          <w:color w:val="000000" w:themeColor="text1"/>
          <w:szCs w:val="17"/>
          <w:lang w:val="en-US"/>
        </w:rPr>
        <w:fldChar w:fldCharType="begin" w:fldLock="1"/>
      </w:r>
      <w:r w:rsidRPr="007C45C4">
        <w:rPr>
          <w:rFonts w:cs="Arial"/>
          <w:bCs/>
          <w:color w:val="000000" w:themeColor="text1"/>
          <w:szCs w:val="17"/>
          <w:lang w:val="en-US"/>
        </w:rPr>
        <w:instrText>ADDIN CSL_CITATION {"citationItems":[{"id":"ITEM-1","itemData":{"DOI":"10.1021/om100106e","ISSN":"0276-7333","author":[{"dropping-particle":"","family":"Fulmer","given":"Gregory R","non-dropping-particle":"","parse-names":false,"suffix":""},{"dropping-particle":"","family":"Miller","given":"Alexander J M","non-dropping-particle":"","parse-names":false,"suffix":""},{"dropping-particle":"","family":"Sherden","given":"Nathaniel H","non-dropping-particle":"","parse-names":false,"suffix":""},{"dropping-particle":"","family":"Gottlieb","given":"Hugo E","non-dropping-particle":"","parse-names":false,"suffix":""},{"dropping-particle":"","family":"Nudelman","given":"Abraham","non-dropping-particle":"","parse-names":false,"suffix":""},{"dropping-particle":"","family":"Stoltz","given":"Brian M","non-dropping-particle":"","parse-names":false,"suffix":""},{"dropping-particle":"","family":"Bercaw","given":"John E","non-dropping-particle":"","parse-names":false,"suffix":""},{"dropping-particle":"","family":"Goldberg","given":"Karen I","non-dropping-particle":"","parse-names":false,"suffix":""}],"container-title":"Organometallics","id":"ITEM-1","issue":"9","issued":{"date-parts":[["2010","5","10"]]},"note":"doi: 10.1021/om100106e","page":"2176-2179","publisher":"American Chemical Society","title":"NMR Chemical Shifts of Trace Impurities: Common Laboratory Solvents, Organics, and Gases in Deuterated Solvents Relevant to the Organometallic Chemist","type":"article-journal","volume":"29"},"uris":["http://www.mendeley.com/documents/?uuid=8a396706-8328-4993-853c-cec0ef00a2a0"]}],"mendeley":{"formattedCitation":"&lt;sup&gt;27&lt;/sup&gt;","plainTextFormattedCitation":"27","previouslyFormattedCitation":"&lt;sup&gt;27&lt;/sup&gt;"},"properties":{"noteIndex":0},"schema":"https://github.com/citation-style-language/schema/raw/master/csl-citation.json"}</w:instrText>
      </w:r>
      <w:r w:rsidR="000D21C1" w:rsidRPr="007C45C4">
        <w:rPr>
          <w:rFonts w:cs="Arial"/>
          <w:bCs/>
          <w:color w:val="000000" w:themeColor="text1"/>
          <w:szCs w:val="17"/>
          <w:lang w:val="en-US"/>
        </w:rPr>
        <w:fldChar w:fldCharType="separate"/>
      </w:r>
      <w:r w:rsidRPr="007C45C4">
        <w:rPr>
          <w:rFonts w:cs="Arial"/>
          <w:bCs/>
          <w:noProof/>
          <w:color w:val="000000" w:themeColor="text1"/>
          <w:szCs w:val="17"/>
          <w:vertAlign w:val="superscript"/>
          <w:lang w:val="en-US"/>
        </w:rPr>
        <w:t>27</w:t>
      </w:r>
      <w:r w:rsidR="000D21C1" w:rsidRPr="007C45C4">
        <w:rPr>
          <w:rFonts w:cs="Arial"/>
          <w:bCs/>
          <w:color w:val="000000" w:themeColor="text1"/>
          <w:szCs w:val="17"/>
          <w:lang w:val="en-US"/>
        </w:rPr>
        <w:fldChar w:fldCharType="end"/>
      </w:r>
      <w:r w:rsidRPr="007C45C4">
        <w:rPr>
          <w:rFonts w:cs="Arial"/>
          <w:bCs/>
          <w:color w:val="000000" w:themeColor="text1"/>
          <w:szCs w:val="17"/>
          <w:lang w:val="en-US"/>
        </w:rPr>
        <w:t xml:space="preserve"> (1.97 ppm). Chemical shifts of indenyl protons and quaternary carbons confirm its η</w:t>
      </w:r>
      <w:r w:rsidRPr="007C45C4">
        <w:rPr>
          <w:rFonts w:cs="Arial"/>
          <w:bCs/>
          <w:color w:val="000000" w:themeColor="text1"/>
          <w:szCs w:val="17"/>
          <w:vertAlign w:val="superscript"/>
          <w:lang w:val="en-US"/>
        </w:rPr>
        <w:t>5</w:t>
      </w:r>
      <w:r w:rsidRPr="007C45C4">
        <w:rPr>
          <w:rFonts w:cs="Arial"/>
          <w:bCs/>
          <w:color w:val="000000" w:themeColor="text1"/>
          <w:szCs w:val="17"/>
          <w:lang w:val="en-US"/>
        </w:rPr>
        <w:t xml:space="preserve">-coordination mode analogously as in case of </w:t>
      </w:r>
      <w:proofErr w:type="gramStart"/>
      <w:r w:rsidRPr="007C45C4">
        <w:rPr>
          <w:rFonts w:cs="Arial"/>
          <w:b/>
          <w:bCs/>
          <w:color w:val="000000" w:themeColor="text1"/>
          <w:szCs w:val="17"/>
          <w:lang w:val="en-US"/>
        </w:rPr>
        <w:t>2</w:t>
      </w:r>
      <w:proofErr w:type="gramEnd"/>
      <w:r w:rsidRPr="007C45C4">
        <w:rPr>
          <w:rFonts w:cs="Arial"/>
          <w:bCs/>
          <w:color w:val="000000" w:themeColor="text1"/>
          <w:szCs w:val="17"/>
          <w:lang w:val="en-US"/>
        </w:rPr>
        <w:t xml:space="preserve">. Two </w:t>
      </w:r>
      <w:r w:rsidRPr="007C45C4">
        <w:rPr>
          <w:rFonts w:cs="Arial"/>
          <w:bCs/>
          <w:color w:val="000000" w:themeColor="text1"/>
          <w:szCs w:val="17"/>
          <w:vertAlign w:val="superscript"/>
          <w:lang w:val="en-US"/>
        </w:rPr>
        <w:t>13</w:t>
      </w:r>
      <w:r w:rsidRPr="007C45C4">
        <w:rPr>
          <w:rFonts w:cs="Arial"/>
          <w:bCs/>
          <w:color w:val="000000" w:themeColor="text1"/>
          <w:szCs w:val="17"/>
          <w:lang w:val="en-US"/>
        </w:rPr>
        <w:t xml:space="preserve">C resonances at 248 and 247 ppm evidence the presence of two carbonyl ligands in the coordination sphere of </w:t>
      </w:r>
      <w:proofErr w:type="gramStart"/>
      <w:r w:rsidRPr="007C45C4">
        <w:rPr>
          <w:rFonts w:cs="Arial"/>
          <w:b/>
          <w:bCs/>
          <w:color w:val="000000" w:themeColor="text1"/>
          <w:szCs w:val="17"/>
          <w:lang w:val="en-US"/>
        </w:rPr>
        <w:t>3</w:t>
      </w:r>
      <w:proofErr w:type="gramEnd"/>
      <w:r w:rsidRPr="007C45C4">
        <w:rPr>
          <w:rFonts w:cs="Arial"/>
          <w:bCs/>
          <w:color w:val="000000" w:themeColor="text1"/>
          <w:szCs w:val="17"/>
          <w:lang w:val="en-US"/>
        </w:rPr>
        <w:t>. As usual for molybdenum carbonyl complexes,</w:t>
      </w:r>
      <w:r w:rsidR="000D21C1" w:rsidRPr="007C45C4">
        <w:rPr>
          <w:rFonts w:cs="Arial"/>
          <w:bCs/>
          <w:color w:val="000000" w:themeColor="text1"/>
          <w:szCs w:val="17"/>
          <w:lang w:val="en-US"/>
        </w:rPr>
        <w:fldChar w:fldCharType="begin" w:fldLock="1"/>
      </w:r>
      <w:r w:rsidRPr="007C45C4">
        <w:rPr>
          <w:rFonts w:cs="Arial"/>
          <w:bCs/>
          <w:color w:val="000000" w:themeColor="text1"/>
          <w:szCs w:val="17"/>
          <w:lang w:val="en-US"/>
        </w:rPr>
        <w:instrText>ADDIN CSL_CITATION {"citationItems":[{"id":"ITEM-1","itemData":{"DOI":"10.1002/aoc.3759","ISSN":"0268-2605","abstract":"A series of new cyclopentadienyl molybdenum compounds bearing substituted phenanthroline ligands [(?5?C5H4CH2C6H4X?4)Mo(CO)2(N,NL)][BF4] (X = F, Cl, Br; N,NL = phen, 5?NH2?phen, 4,7?Ph2?phen) was prepared and characterized using infrared and NMR spectroscopies. Crystal structures of [(?5?C5H4CH2C6H4F?4)Mo(CO)2(NCMe)2][BF4], [(?5?C5H4CH2C6H4X?4)Mo(CO)2(phen)][BF4] (X = F, Cl, Br) and [(?5?C5H4CH2C6H4Cl?4)Mo(CO)2(4,7?Ph2?phen)][BF4]?(4,7?Ph2?phen)?HBF4 were determined using X?ray diffraction analysis. Biological studies revealed a strong cytotoxic effect of the chelating ligands. Although the cytostatic effect of the halogen in the side chain of the cyclopentadienyl ring is negligible, it could be used for future post?modification of these types of cytotoxic active molybdenum?based compounds.","author":[{"dropping-particle":"","family":"Iva","given":"Honzíčková","non-dropping-particle":"","parse-names":false,"suffix":""},{"dropping-particle":"","family":"Jaromír","given":"Vinklárek","non-dropping-particle":"","parse-names":false,"suffix":""},{"dropping-particle":"","family":"Zdeňka","given":"Růžičková","non-dropping-particle":"","parse-names":false,"suffix":""},{"dropping-particle":"","family":"Martina","given":"Řezáčová","non-dropping-particle":"","parse-names":false,"suffix":""},{"dropping-particle":"","family":"Jan","given":"Honzíček","non-dropping-particle":"","parse-names":false,"suffix":""}],"container-title":"Applied Organometallic Chemistry","id":"ITEM-1","issue":"11","issued":{"date-parts":[["2017","3","10"]]},"note":"doi: 10.1002/aoc.3759","page":"e3759","publisher":"Wiley-Blackwell","title":"Modified cyclopentadienyl molybdenum compounds with enhanced cytotoxic activity towards MOLT‐4 leukaemia cells","type":"article-journal","volume":"31"},"uris":["http://www.mendeley.com/documents/?uuid=b0611177-a1de-4c3a-b89b-0c315fdfbc1e"]},{"id":"ITEM-2","itemData":{"DOI":"https://doi.org/10.1016/j.ccr.2016.12.018","ISSN":"0010-8545","abstract":"Abstract Transition metal complexes with π-allylic ligands remain an attractive topic in organometallic chemistry, given the numerous reports of a wide variety of synthetic routes, dynamic behaviour and reactivity, structural (including isomerism), spectroscopic and redox properties, and applications in organic synthesis and catalysis. Surprisingly, despite the considerable interest in the rich and varied chemistry of this family of organometallic compounds, there is no recent review. This review is focused on π-allylic representatives of low-cost Group-6 metals bearing one or more carbonyl ligand, the coordination sphere being complemented with η5-cyclopentadienyl (Section 2), chelating ligands, including redox-active α-diimines and various complementary diphosphines (Section 3), and novel anionic amidinate or pyrazolate ligands (Section 4). In Section 1, particular attention is paid to rearrangements of the π-allylic ligand, namely exo and endo isomerism, interconversion mechanisms, fluxionality, and agostic interactions. In addition, the application of multinuclear NMR spectroscopy to the elucidation of such isomerism, and the effect of the metal-centre oxidation state on the bonding, dynamic behaviour and reactivity of the π-allylic ligand are described. The detailed mechanistic description of the synthetic routes and dynamic behaviour of selected representatives of α-diimine complexes in Section 2 is followed by a description of the [M(CO)2(η3-allyl-H,R)(α-diimine)]0/+ fragment as a convenient scaffold for diverse monodentate ligands participating in a range of substitution, insertion, intramolecular migration and C–C coupling reactions – frequently involving also the π-allylic ligand, such as allylic alkylation. Special attention is devoted to selected examples of redox and acid-base reactivity of the α-diimine complexes with emphasis on prospects in electrocatalysis. The amidinate (and related pyrazolate) ligands treated in Section 4 may directly replace the π-allylic ligand in some cyclopentadienyl complexes (Section 2) or the α-diimine ligand in some dicarbonyl π-allylic complexes (Section 3). The brief description of their synthetic routes is complemented by intriguing examples of fluxionality and characteristic reactivity encountered for these unusual four-electron donor ligands.","author":[{"dropping-particle":"","family":"Ryan","given":"David E","non-dropping-particle":"","parse-names":false,"suffix":""},{"dropping-particle":"","family":"Cardin","given":"David J","non-dropping-particle":"","parse-names":false,"suffix":""},{"dropping-particle":"","family":"Hartl","given":"František","non-dropping-particle":"","parse-names":false,"suffix":""}],"container-title":"Coordination Chemistry Reviews","id":"ITEM-2","issue":"Supplement C","issued":{"date-parts":[["2017"]]},"page":"103-149","title":"η3-Allyl carbonyl complexes of group 6 metals: Structural aspects, isomerism, dynamic behaviour and reactivity","type":"article-journal","volume":"335"},"uris":["http://www.mendeley.com/documents/?uuid=917be86d-0b65-49aa-9086-1f5092348104"]},{"id":"ITEM-3","itemData":{"DOI":"10.1039/C5RA01450F","abstract":"A series of [small eta]3-indenyl molybdenum compounds [([small eta]3-4,7-Me2C9H5)Mo(CO)2(N,NL)Cl] (N,NL = bpy, phen, pyma), isostructural with well-known [small eta]3-allyl compounds, was synthesized from the recently established halide synthon [{([small eta]5-4,7-Me2C9H5)Mo(CO)2([small mu ]-Cl)}2]. The low stability of the hexacoordinated [small eta]3-indenyl molybdenum species in solution has been overcome by a modification of the chelating ligand. Hence, the dissociation of the compounds bearing ligands with methyl groups beside nitrogen donor atoms (e.g. 6,6[prime or minute]-Me2-bpy, 2,9-Me2-phen; 2,9-Me2-4,7-Ph2-phen) is strongly disfavored due to the steric requirements of the substituents. The considerable discrimination of the pentacoordinated species enables the use of [([small eta]5-4,7-Me2C9H5)Mo(CO)2(2,9-Me2-phen)][BF4] for the assembly of derivatives bearing other halides and pseudohalides in the coordination sphere of molybdenum. The current study further describes some other new indenyl complexes accessible from [{([small eta]5-4,7-Me2C9H5)Mo(CO)2([small mu ]-Cl)}2]. All structural types presented in this experimental study were supported by X-ray crystallographic data.","author":[{"dropping-particle":"","family":"Lodinsky","given":"Jakub","non-dropping-particle":"","parse-names":false,"suffix":""},{"dropping-particle":"","family":"Vinklarek","given":"Jaromir","non-dropping-particle":"","parse-names":false,"suffix":""},{"dropping-particle":"","family":"Dostal","given":"Libor","non-dropping-particle":"","parse-names":false,"suffix":""},{"dropping-particle":"","family":"Ruzickova","given":"Zdenka","non-dropping-particle":"","parse-names":false,"suffix":""},{"dropping-particle":"","family":"Honzicek","given":"Jan","non-dropping-particle":"","parse-names":false,"suffix":""}],"container-title":"RSC Advances","id":"ITEM-3","issue":"34","issued":{"date-parts":[["2015"]]},"page":"27140-27153","publisher":"The Royal Society of Chemistry","title":"Stabilization of [small eta]3-indenyl compounds by sterically demanding N,N-chelating ligands in the molybdenum coordination sphere","type":"article-journal","volume":"5"},"uris":["http://www.mendeley.com/documents/?uuid=7554313c-e3a0-41d0-ac85-3b856a7ce1c5"]},{"id":"ITEM-4","itemData":{"DOI":"https://doi.org/10.1016/j.jorganchem.2015.09.022","ISSN":"0022-328X","abstract":"The cyclopentadienyl molybdenum carbonyl complexes [(η5-C5H4R)Mo(CO)2(η3-C3H5)] and [(η5-C5H5)Mo(CO)3(CH2R)] (R = H, COOH) have been shown to promote acid-catalysed reactions in liquid phase, under moderate conditions. The catalytic alcoholysis of styrene oxide with ethanol at 35 °C gave 2-ethoxy-2-phenylethanol in 100% yield within 30 min for the dicarbonyl complexes and 3–6 h for the tricarbonyl complexes. Steady catalytic performances were observed in consecutive runs with the same catalytic solution, suggesting fairly good catalytic stability. In the second acid-catalysed reaction studied, the isomerization of α-pinene oxide at 55 °C gave campholenic aldehyde and trans-carveol in a total yield of up to 86% at 100% conversion. Chemoselectivity is shown to be solvent dependent.","author":[{"dropping-particle":"","family":"Bruno","given":"Sofia M","non-dropping-particle":"","parse-names":false,"suffix":""},{"dropping-particle":"","family":"Gomes","given":"Ana C","non-dropping-particle":"","parse-names":false,"suffix":""},{"dropping-particle":"","family":"Abrantes","given":"Marta","non-dropping-particle":"","parse-names":false,"suffix":""},{"dropping-particle":"","family":"Valente","given":"Anabela A","non-dropping-particle":"","parse-names":false,"suffix":""},{"dropping-particle":"","family":"Pillinger","given":"Martyn","non-dropping-particle":"","parse-names":false,"suffix":""},{"dropping-particle":"","family":"Gonçalves","given":"Isabel S","non-dropping-particle":"","parse-names":false,"suffix":""}],"container-title":"Journal of Organometallic Chemistry","id":"ITEM-4","issued":{"date-parts":[["2015"]]},"page":"179-183","title":"Ring-opening of epoxides promoted by organomolybdenum complexes of the type [(η5-C5H4R)Mo(CO)2(η3-C3H5)] and [(η5-C5H5)Mo(CO)3(CH2R)]","type":"article-journal","volume":"799-800"},"uris":["http://www.mendeley.com/documents/?uuid=472325f7-138d-4718-8ae7-2c71d0244125"]},{"id":"ITEM-5","itemData":{"DOI":"https://doi.org/10.1016/j.jorganchem.2015.04.001","ISSN":"0022-328X","abstract":"A series of allyl complexes of the general formula [Cp'Mo(η3-C3H5)(CO)2], where Cp' = Cp, CpMe, Cp*, Ind, IndMe, IndMe2, Flu, and three tungsten analogues, has been prepared and characterized by 1H, 13C, and 95Mo NMR, cyclic voltammetry, and the structure of [IndMo(η3-C3H5)(CO)2] was determined by X-ray single crystal analysis. Two conformers, corresponding to the two extreme orientations of the allyl ligand (endo and exo), have been identified in solution by 1H and 95Mo NMR for all the complexes, except for [FluMo(η3-C3H5)(CO)2], which only presents an exo conformation in solution. A 95Mo NMR investigation also shows the influence of electron donor capability of the Cp' ligands on the 95Mo chemical shifts of the Mo center. He I and He II photoelectron spectra probe the electron richness of the metal center and the electronic structure of the complexes. Cyclic voltammetry studies show one oxidation process, which is only reversible for the Cp derivatives. DFT calculations provided a reliable way to determine ionization energies, and reflected very well the trends of the other properties, from the 95Mo NMR chemical shifts, to vibration frequencies, and oxidation potentials.","author":[{"dropping-particle":"","family":"Gonçalves","given":"Isabel S","non-dropping-particle":"","parse-names":false,"suffix":""},{"dropping-particle":"","family":"Veiros","given":"Luís F","non-dropping-particle":"","parse-names":false,"suffix":""},{"dropping-particle":"","family":"Gamelas","given":"Carla A","non-dropping-particle":"","parse-names":false,"suffix":""},{"dropping-particle":"","family":"Cabrita","given":"Clara","non-dropping-particle":"","parse-names":false,"suffix":""},{"dropping-particle":"","family":"Calhorda","given":"Maria José","non-dropping-particle":"","parse-names":false,"suffix":""},{"dropping-particle":"","family":"Geraldes","given":"Carlos F G C","non-dropping-particle":"","parse-names":false,"suffix":""},{"dropping-particle":"","family":"Green","given":"Jennifer","non-dropping-particle":"","parse-names":false,"suffix":""},{"dropping-particle":"","family":"Packham","given":"Ellen","non-dropping-particle":"","parse-names":false,"suffix":""},{"dropping-particle":"","family":"Drew","given":"Michael G B","non-dropping-particle":"","parse-names":false,"suffix":""},{"dropping-particle":"","family":"Félix","given":"Vitor","non-dropping-particle":"","parse-names":false,"suffix":""},{"dropping-particle":"","family":"Gil Santos","given":"A","non-dropping-particle":"","parse-names":false,"suffix":""},{"dropping-particle":"","family":"Romão","given":"Carlos C","non-dropping-particle":"","parse-names":false,"suffix":""}],"container-title":"Journal of Organometallic Chemistry","id":"ITEM-5","issued":{"date-parts":[["2015"]]},"page":"154-166","title":"Comparing spectroscopic and electrochemical properties of complexes of type Cp’M(η3-C3H5)(CO)2 (Cp’ = Cp, Ind, Flu): A complementary experimental and DFT study","type":"article-journal","volume":"792"},"uris":["http://www.mendeley.com/documents/?uuid=8a797c57-19b7-4465-98fc-555e3efd2d96"]}],"mendeley":{"formattedCitation":"&lt;sup&gt;28–32&lt;/sup&gt;","plainTextFormattedCitation":"28–32","previouslyFormattedCitation":"&lt;sup&gt;28–32&lt;/sup&gt;"},"properties":{"noteIndex":0},"schema":"https://github.com/citation-style-language/schema/raw/master/csl-citation.json"}</w:instrText>
      </w:r>
      <w:r w:rsidR="000D21C1" w:rsidRPr="007C45C4">
        <w:rPr>
          <w:rFonts w:cs="Arial"/>
          <w:bCs/>
          <w:color w:val="000000" w:themeColor="text1"/>
          <w:szCs w:val="17"/>
          <w:lang w:val="en-US"/>
        </w:rPr>
        <w:fldChar w:fldCharType="separate"/>
      </w:r>
      <w:r w:rsidRPr="007C45C4">
        <w:rPr>
          <w:rFonts w:cs="Arial"/>
          <w:bCs/>
          <w:noProof/>
          <w:color w:val="000000" w:themeColor="text1"/>
          <w:szCs w:val="17"/>
          <w:vertAlign w:val="superscript"/>
          <w:lang w:val="en-US"/>
        </w:rPr>
        <w:t>28–32</w:t>
      </w:r>
      <w:r w:rsidR="000D21C1" w:rsidRPr="007C45C4">
        <w:rPr>
          <w:rFonts w:cs="Arial"/>
          <w:bCs/>
          <w:color w:val="000000" w:themeColor="text1"/>
          <w:szCs w:val="17"/>
          <w:lang w:val="en-US"/>
        </w:rPr>
        <w:fldChar w:fldCharType="end"/>
      </w:r>
      <w:r w:rsidRPr="007C45C4">
        <w:rPr>
          <w:rFonts w:cs="Arial"/>
          <w:bCs/>
          <w:color w:val="000000" w:themeColor="text1"/>
          <w:szCs w:val="17"/>
          <w:lang w:val="en-US"/>
        </w:rPr>
        <w:t xml:space="preserve"> the proposed solution structure of </w:t>
      </w:r>
      <w:r w:rsidRPr="007C45C4">
        <w:rPr>
          <w:rFonts w:cs="Arial"/>
          <w:b/>
          <w:bCs/>
          <w:color w:val="000000" w:themeColor="text1"/>
          <w:szCs w:val="17"/>
          <w:lang w:val="en-US"/>
        </w:rPr>
        <w:t>3</w:t>
      </w:r>
      <w:r w:rsidRPr="007C45C4">
        <w:rPr>
          <w:rFonts w:cs="Arial"/>
          <w:bCs/>
          <w:color w:val="000000" w:themeColor="text1"/>
          <w:szCs w:val="17"/>
          <w:lang w:val="en-US"/>
        </w:rPr>
        <w:t xml:space="preserve"> satisfies 18</w:t>
      </w:r>
      <w:r w:rsidR="00A82FE0" w:rsidRPr="007C45C4">
        <w:rPr>
          <w:rFonts w:cs="Arial"/>
          <w:bCs/>
          <w:color w:val="000000" w:themeColor="text1"/>
          <w:szCs w:val="17"/>
          <w:lang w:val="en-US"/>
        </w:rPr>
        <w:t>-</w:t>
      </w:r>
      <w:r w:rsidRPr="007C45C4">
        <w:rPr>
          <w:rFonts w:cs="Arial"/>
          <w:bCs/>
          <w:color w:val="000000" w:themeColor="text1"/>
          <w:szCs w:val="17"/>
          <w:lang w:val="en-US"/>
        </w:rPr>
        <w:t>e</w:t>
      </w:r>
      <w:r w:rsidR="00A82FE0" w:rsidRPr="007C45C4">
        <w:rPr>
          <w:rFonts w:cs="Arial"/>
          <w:bCs/>
          <w:color w:val="000000" w:themeColor="text1"/>
          <w:szCs w:val="17"/>
          <w:lang w:val="en-US"/>
        </w:rPr>
        <w:t>lectron</w:t>
      </w:r>
      <w:r w:rsidRPr="007C45C4">
        <w:rPr>
          <w:rFonts w:cs="Arial"/>
          <w:bCs/>
          <w:color w:val="000000" w:themeColor="text1"/>
          <w:szCs w:val="17"/>
          <w:lang w:val="en-US"/>
        </w:rPr>
        <w:t xml:space="preserve"> rule. Thus, despite the accessible lone pairs located on sulfur one may exclude S</w:t>
      </w:r>
      <w:r w:rsidRPr="007C45C4">
        <w:rPr>
          <w:rFonts w:cs="Arial"/>
          <w:bCs/>
          <w:color w:val="000000" w:themeColor="text1"/>
          <w:szCs w:val="17"/>
          <w:lang w:val="en-US"/>
        </w:rPr>
        <w:sym w:font="Symbol" w:char="F0AE"/>
      </w:r>
      <w:r w:rsidRPr="007C45C4">
        <w:rPr>
          <w:rFonts w:cs="Arial"/>
          <w:bCs/>
          <w:color w:val="000000" w:themeColor="text1"/>
          <w:szCs w:val="17"/>
          <w:lang w:val="en-US"/>
        </w:rPr>
        <w:t xml:space="preserve">Mo interaction. In fact, as recently demonstrated on </w:t>
      </w:r>
      <w:proofErr w:type="spellStart"/>
      <w:r w:rsidRPr="007C45C4">
        <w:rPr>
          <w:rFonts w:cs="Arial"/>
          <w:bCs/>
          <w:color w:val="000000" w:themeColor="text1"/>
          <w:szCs w:val="17"/>
          <w:lang w:val="en-US"/>
        </w:rPr>
        <w:t>pyridyl</w:t>
      </w:r>
      <w:proofErr w:type="spellEnd"/>
      <w:r w:rsidRPr="007C45C4">
        <w:rPr>
          <w:rFonts w:cs="Arial"/>
          <w:bCs/>
          <w:color w:val="000000" w:themeColor="text1"/>
          <w:szCs w:val="17"/>
          <w:lang w:val="en-US"/>
        </w:rPr>
        <w:t xml:space="preserve">-substituted </w:t>
      </w:r>
      <w:proofErr w:type="spellStart"/>
      <w:r w:rsidRPr="007C45C4">
        <w:rPr>
          <w:rFonts w:cs="Arial"/>
          <w:bCs/>
          <w:color w:val="000000" w:themeColor="text1"/>
          <w:szCs w:val="17"/>
          <w:lang w:val="en-US"/>
        </w:rPr>
        <w:t>Cp</w:t>
      </w:r>
      <w:proofErr w:type="spellEnd"/>
      <w:r w:rsidRPr="007C45C4">
        <w:rPr>
          <w:rFonts w:cs="Arial"/>
          <w:bCs/>
          <w:color w:val="000000" w:themeColor="text1"/>
          <w:szCs w:val="17"/>
          <w:lang w:val="en-US"/>
        </w:rPr>
        <w:t xml:space="preserve"> complexes,</w:t>
      </w:r>
      <w:r w:rsidR="000D21C1" w:rsidRPr="007C45C4">
        <w:rPr>
          <w:rFonts w:cs="Arial"/>
          <w:bCs/>
          <w:color w:val="000000" w:themeColor="text1"/>
          <w:szCs w:val="17"/>
          <w:lang w:val="en-US"/>
        </w:rPr>
        <w:fldChar w:fldCharType="begin" w:fldLock="1"/>
      </w:r>
      <w:r w:rsidRPr="007C45C4">
        <w:rPr>
          <w:rFonts w:cs="Arial"/>
          <w:bCs/>
          <w:color w:val="000000" w:themeColor="text1"/>
          <w:szCs w:val="17"/>
          <w:lang w:val="en-US"/>
        </w:rPr>
        <w:instrText>ADDIN CSL_CITATION {"citationItems":[{"id":"ITEM-1","itemData":{"DOI":"10.1002/ejic.201601029","ISSN":"1099-0682","abstract":"A series of cyclopentadienyl and indenyl molybdenum(II) compounds with intramolecularly coordinated pyridine arms, including scorpionate-like species bearing two irreversibly coordinated arms on the indenyl core, were synthesized and characterized. All presented structural types were confirmed by X-ray diffraction analysis. Owing to the strong nucleophilicity of pyridine, the intramolecular interaction was found to be considerably stronger than that in analogous species bearing tertiary amines in the side chain. Although the starting compounds for the syntheses were isostructural, the reaction outcomes differed considerably. The cyclopentadienyl precursor gave a pentacoordinate η5:κN-compound, whereas the indenyl analogue produced a hexacoordinate species with the unprecedented η3:κN-coordination mode of the indenyl ligand and thus represents an unusual example of the so-called indenyl effect. The unusually high stability of the η3:κN-coordination compounds toward η3 to η5 haptotropic rearrangement was clarified by theoretical calculations. As the strong intramolecular interaction prevented rotation of the indenyl moiety, it could not reach the conformation suitable for the η3 to η5 rearrangement. As a result, the low hapticity was effectively locked.","author":[{"dropping-particle":"","family":"Mrózek","given":"Ondřej","non-dropping-particle":"","parse-names":false,"suffix":""},{"dropping-particle":"","family":"Vinklárek","given":"Jaromír","non-dropping-particle":"","parse-names":false,"suffix":""},{"dropping-particle":"","family":"Růžičková","given":"Zdeňka","non-dropping-particle":"","parse-names":false,"suffix":""},{"dropping-particle":"","family":"Honzíček","given":"Jan","non-dropping-particle":"","parse-names":false,"suffix":""}],"container-title":"European Journal of Inorganic Chemistry","id":"ITEM-1","issue":"33","issued":{"date-parts":[["2016"]]},"page":"5250-5264","title":"Indenyl Compounds with Constrained Hapticity: The Effect of Strong Intramolecular Coordination","type":"article-journal","volume":"2016"},"uris":["http://www.mendeley.com/documents/?uuid=1f203a20-5c6d-4fea-bf5a-7bc07dfb111a"]}],"mendeley":{"formattedCitation":"&lt;sup&gt;24&lt;/sup&gt;","plainTextFormattedCitation":"24","previouslyFormattedCitation":"&lt;sup&gt;24&lt;/sup&gt;"},"properties":{"noteIndex":0},"schema":"https://github.com/citation-style-language/schema/raw/master/csl-citation.json"}</w:instrText>
      </w:r>
      <w:r w:rsidR="000D21C1" w:rsidRPr="007C45C4">
        <w:rPr>
          <w:rFonts w:cs="Arial"/>
          <w:bCs/>
          <w:color w:val="000000" w:themeColor="text1"/>
          <w:szCs w:val="17"/>
          <w:lang w:val="en-US"/>
        </w:rPr>
        <w:fldChar w:fldCharType="separate"/>
      </w:r>
      <w:r w:rsidRPr="007C45C4">
        <w:rPr>
          <w:rFonts w:cs="Arial"/>
          <w:bCs/>
          <w:noProof/>
          <w:color w:val="000000" w:themeColor="text1"/>
          <w:szCs w:val="17"/>
          <w:vertAlign w:val="superscript"/>
          <w:lang w:val="en-US"/>
        </w:rPr>
        <w:t>24</w:t>
      </w:r>
      <w:r w:rsidR="000D21C1" w:rsidRPr="007C45C4">
        <w:rPr>
          <w:rFonts w:cs="Arial"/>
          <w:bCs/>
          <w:color w:val="000000" w:themeColor="text1"/>
          <w:szCs w:val="17"/>
          <w:lang w:val="en-US"/>
        </w:rPr>
        <w:fldChar w:fldCharType="end"/>
      </w:r>
      <w:r w:rsidRPr="007C45C4">
        <w:rPr>
          <w:rFonts w:cs="Arial"/>
          <w:bCs/>
          <w:color w:val="000000" w:themeColor="text1"/>
          <w:szCs w:val="17"/>
          <w:lang w:val="en-US"/>
        </w:rPr>
        <w:t xml:space="preserve"> such an intramolecular interaction may be expected to kinetically stabilize η</w:t>
      </w:r>
      <w:r w:rsidRPr="007C45C4">
        <w:rPr>
          <w:rFonts w:cs="Arial"/>
          <w:bCs/>
          <w:color w:val="000000" w:themeColor="text1"/>
          <w:szCs w:val="17"/>
          <w:vertAlign w:val="superscript"/>
          <w:lang w:val="en-US"/>
        </w:rPr>
        <w:t>3</w:t>
      </w:r>
      <w:r w:rsidRPr="007C45C4">
        <w:rPr>
          <w:rFonts w:cs="Arial"/>
          <w:bCs/>
          <w:color w:val="000000" w:themeColor="text1"/>
          <w:szCs w:val="17"/>
          <w:lang w:val="en-US"/>
        </w:rPr>
        <w:t>-indenyl which formed during well-known acetonitrile-induced haptotropic rearrangement.</w:t>
      </w:r>
      <w:r w:rsidR="000D21C1" w:rsidRPr="007C45C4">
        <w:rPr>
          <w:rFonts w:cs="Arial"/>
          <w:bCs/>
          <w:color w:val="000000" w:themeColor="text1"/>
          <w:szCs w:val="17"/>
          <w:lang w:val="en-US"/>
        </w:rPr>
        <w:fldChar w:fldCharType="begin" w:fldLock="1"/>
      </w:r>
      <w:r w:rsidRPr="007C45C4">
        <w:rPr>
          <w:rFonts w:cs="Arial"/>
          <w:bCs/>
          <w:color w:val="000000" w:themeColor="text1"/>
          <w:szCs w:val="17"/>
          <w:lang w:val="en-US"/>
        </w:rPr>
        <w:instrText>ADDIN CSL_CITATION {"citationItems":[{"id":"ITEM-1","itemData":{"DOI":"http://dx.doi.org/10.1016/0022-328X(95)05859-N","ISSN":"0022-328X","abstract":"Ring slippage of the indenyl occurs upon dissolution of the complexes [η5-IndM(CO)2L2]BF4 (M=Mo of W; L=NCMe or dimethylformamide) in an excess of L, to give [(η3-Ind)M(CO)2L3]Bf4. Other ring-slipped complexes synthesized are [(η3-Ind)Mo(CO)2L3]BF4 (L3=HC(pz)3, [HB(pz)3]−, Me3tacn or {en(NCMe)}). Addition of NCMe or an excess of L failed to give ring slippage in [η5-IndMo(CO)2L2]BF4 (L2=bipy, dppe, (PMe3)2, {P(OMe)3}2 or triphos). NMR and X-ray studies reveal a large folding of the η3-indenyl ring. The structure complex [(η3-Ind)W(CO)2(NCMe)3]BF4 (5) was determined by X-ray analysis.","author":[{"dropping-particle":"","family":"Ascenso","given":"JoséR.","non-dropping-particle":"","parse-names":false,"suffix":""},{"dropping-particle":"","family":"Gonçalves","given":"Isabel S","non-dropping-particle":"","parse-names":false,"suffix":""},{"dropping-particle":"","family":"Herdtweck","given":"Eberhardt","non-dropping-particle":"","parse-names":false,"suffix":""},{"dropping-particle":"","family":"Romão","given":"Carlos C","non-dropping-particle":"","parse-names":false,"suffix":""}],"container-title":"Journal of Organometallic Chemistry","id":"ITEM-1","issue":"1","issued":{"date-parts":[["1996"]]},"note":"NULL","page":"169-181","title":"Ring slippage in indenyl derivatives of molybdenum and tungsten","type":"article-journal","volume":"508"},"uris":["http://www.mendeley.com/documents/?uuid=ccb58ea1-2790-4939-9971-24f90e28f99c"]}],"mendeley":{"formattedCitation":"&lt;sup&gt;25&lt;/sup&gt;","plainTextFormattedCitation":"25","previouslyFormattedCitation":"&lt;sup&gt;25&lt;/sup&gt;"},"properties":{"noteIndex":0},"schema":"https://github.com/citation-style-language/schema/raw/master/csl-citation.json"}</w:instrText>
      </w:r>
      <w:r w:rsidR="000D21C1" w:rsidRPr="007C45C4">
        <w:rPr>
          <w:rFonts w:cs="Arial"/>
          <w:bCs/>
          <w:color w:val="000000" w:themeColor="text1"/>
          <w:szCs w:val="17"/>
          <w:lang w:val="en-US"/>
        </w:rPr>
        <w:fldChar w:fldCharType="separate"/>
      </w:r>
      <w:r w:rsidRPr="007C45C4">
        <w:rPr>
          <w:rFonts w:cs="Arial"/>
          <w:bCs/>
          <w:noProof/>
          <w:color w:val="000000" w:themeColor="text1"/>
          <w:szCs w:val="17"/>
          <w:vertAlign w:val="superscript"/>
          <w:lang w:val="en-US"/>
        </w:rPr>
        <w:t>25</w:t>
      </w:r>
      <w:r w:rsidR="000D21C1" w:rsidRPr="007C45C4">
        <w:rPr>
          <w:rFonts w:cs="Arial"/>
          <w:bCs/>
          <w:color w:val="000000" w:themeColor="text1"/>
          <w:szCs w:val="17"/>
          <w:lang w:val="en-US"/>
        </w:rPr>
        <w:fldChar w:fldCharType="end"/>
      </w:r>
    </w:p>
    <w:p w14:paraId="6C90E8B6" w14:textId="77777777" w:rsidR="0052368F" w:rsidRPr="007C45C4" w:rsidRDefault="00333A3D" w:rsidP="0052368F">
      <w:pPr>
        <w:pStyle w:val="RSCI02FigureSchemeChartwithtopbar"/>
        <w:rPr>
          <w:b/>
          <w:lang w:val="en-US"/>
        </w:rPr>
      </w:pPr>
      <w:r w:rsidRPr="007C45C4">
        <w:rPr>
          <w:noProof/>
          <w:lang w:val="en-US"/>
        </w:rPr>
        <w:drawing>
          <wp:inline distT="0" distB="0" distL="0" distR="0" wp14:anchorId="404CBB5E" wp14:editId="5ABCDDDD">
            <wp:extent cx="3095625" cy="1075055"/>
            <wp:effectExtent l="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3.tif"/>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095625" cy="1075055"/>
                    </a:xfrm>
                    <a:prstGeom prst="rect">
                      <a:avLst/>
                    </a:prstGeom>
                  </pic:spPr>
                </pic:pic>
              </a:graphicData>
            </a:graphic>
          </wp:inline>
        </w:drawing>
      </w:r>
    </w:p>
    <w:p w14:paraId="0F062D10" w14:textId="22D77DB6" w:rsidR="001A50E0" w:rsidRPr="007C45C4" w:rsidRDefault="001A50E0" w:rsidP="0052368F">
      <w:pPr>
        <w:pStyle w:val="RSCI05CaptiontoFigureSchemeChartwithbottombar"/>
        <w:rPr>
          <w:noProof/>
          <w:lang w:val="en-US"/>
        </w:rPr>
      </w:pPr>
      <w:r w:rsidRPr="007C45C4">
        <w:rPr>
          <w:b/>
          <w:lang w:val="en-US"/>
        </w:rPr>
        <w:t xml:space="preserve">Scheme </w:t>
      </w:r>
      <w:r w:rsidR="00DD1497" w:rsidRPr="007C45C4">
        <w:rPr>
          <w:b/>
          <w:lang w:val="en-US"/>
        </w:rPr>
        <w:t>3</w:t>
      </w:r>
      <w:r w:rsidR="00F26C79">
        <w:rPr>
          <w:b/>
          <w:lang w:val="en-US"/>
        </w:rPr>
        <w:t xml:space="preserve"> </w:t>
      </w:r>
      <w:r w:rsidRPr="007C45C4">
        <w:rPr>
          <w:lang w:val="en-US"/>
        </w:rPr>
        <w:t xml:space="preserve">Synthesis of complexes </w:t>
      </w:r>
      <w:r w:rsidRPr="007C45C4">
        <w:rPr>
          <w:b/>
          <w:lang w:val="en-US"/>
        </w:rPr>
        <w:t>3</w:t>
      </w:r>
      <w:r w:rsidRPr="007C45C4">
        <w:rPr>
          <w:lang w:val="en-US"/>
        </w:rPr>
        <w:sym w:font="Symbol" w:char="F02D"/>
      </w:r>
      <w:proofErr w:type="gramStart"/>
      <w:r w:rsidRPr="007C45C4">
        <w:rPr>
          <w:b/>
          <w:lang w:val="en-US"/>
        </w:rPr>
        <w:t>7</w:t>
      </w:r>
      <w:proofErr w:type="gramEnd"/>
      <w:r w:rsidRPr="007C45C4">
        <w:rPr>
          <w:lang w:val="en-US"/>
        </w:rPr>
        <w:t>.</w:t>
      </w:r>
    </w:p>
    <w:p w14:paraId="107EF1F3" w14:textId="7DA2D8C3" w:rsidR="007A2087" w:rsidRPr="007C45C4" w:rsidRDefault="008B67F7" w:rsidP="002F50C4">
      <w:pPr>
        <w:pStyle w:val="RSCB02ArticleText"/>
        <w:rPr>
          <w:rFonts w:cs="Arial"/>
          <w:szCs w:val="17"/>
          <w:lang w:val="en-US"/>
        </w:rPr>
      </w:pPr>
      <w:r w:rsidRPr="007C45C4">
        <w:rPr>
          <w:rFonts w:cs="Arial"/>
          <w:bCs/>
          <w:color w:val="000000" w:themeColor="text1"/>
          <w:szCs w:val="17"/>
          <w:lang w:val="en-US"/>
        </w:rPr>
        <w:t xml:space="preserve">Behavior of </w:t>
      </w:r>
      <w:proofErr w:type="gramStart"/>
      <w:r w:rsidRPr="007C45C4">
        <w:rPr>
          <w:rFonts w:cs="Arial"/>
          <w:b/>
          <w:bCs/>
          <w:color w:val="000000" w:themeColor="text1"/>
          <w:szCs w:val="17"/>
          <w:lang w:val="en-US"/>
        </w:rPr>
        <w:t>3</w:t>
      </w:r>
      <w:proofErr w:type="gramEnd"/>
      <w:r w:rsidRPr="007C45C4">
        <w:rPr>
          <w:rFonts w:cs="Arial"/>
          <w:bCs/>
          <w:color w:val="000000" w:themeColor="text1"/>
          <w:szCs w:val="17"/>
          <w:lang w:val="en-US"/>
        </w:rPr>
        <w:t xml:space="preserve"> was further investigated in MeCN-d</w:t>
      </w:r>
      <w:r w:rsidRPr="007C45C4">
        <w:rPr>
          <w:rFonts w:cs="Arial"/>
          <w:bCs/>
          <w:color w:val="000000" w:themeColor="text1"/>
          <w:szCs w:val="17"/>
          <w:vertAlign w:val="superscript"/>
          <w:lang w:val="en-US"/>
        </w:rPr>
        <w:t>3</w:t>
      </w:r>
      <w:r w:rsidRPr="007C45C4">
        <w:rPr>
          <w:rFonts w:cs="Arial"/>
          <w:bCs/>
          <w:color w:val="000000" w:themeColor="text1"/>
          <w:szCs w:val="17"/>
          <w:lang w:val="en-US"/>
        </w:rPr>
        <w:t xml:space="preserve"> in order to evaluate an ability the complex to undergo haptotropic rearrangement. </w:t>
      </w:r>
      <w:r w:rsidRPr="007C45C4">
        <w:rPr>
          <w:rFonts w:cs="Arial"/>
          <w:bCs/>
          <w:color w:val="000000" w:themeColor="text1"/>
          <w:szCs w:val="17"/>
          <w:vertAlign w:val="superscript"/>
          <w:lang w:val="en-US"/>
        </w:rPr>
        <w:t>1</w:t>
      </w:r>
      <w:r w:rsidRPr="007C45C4">
        <w:rPr>
          <w:rFonts w:cs="Arial"/>
          <w:bCs/>
          <w:color w:val="000000" w:themeColor="text1"/>
          <w:szCs w:val="17"/>
          <w:lang w:val="en-US"/>
        </w:rPr>
        <w:t xml:space="preserve">H NMR spectrum revealed sharp signals only for protons of thiophene fragment and </w:t>
      </w:r>
      <w:proofErr w:type="gramStart"/>
      <w:r w:rsidRPr="007C45C4">
        <w:rPr>
          <w:rFonts w:cs="Arial"/>
          <w:bCs/>
          <w:color w:val="000000" w:themeColor="text1"/>
          <w:szCs w:val="17"/>
          <w:lang w:val="en-US"/>
        </w:rPr>
        <w:t>methylene bridge</w:t>
      </w:r>
      <w:proofErr w:type="gramEnd"/>
      <w:r w:rsidRPr="007C45C4">
        <w:rPr>
          <w:rFonts w:cs="Arial"/>
          <w:bCs/>
          <w:color w:val="000000" w:themeColor="text1"/>
          <w:szCs w:val="17"/>
          <w:lang w:val="en-US"/>
        </w:rPr>
        <w:t xml:space="preserve"> whereas remaining protons appears as broad unresolved resonances suggesting that the side chain of </w:t>
      </w:r>
      <w:proofErr w:type="spellStart"/>
      <w:r w:rsidRPr="007C45C4">
        <w:rPr>
          <w:rFonts w:cs="Arial"/>
          <w:bCs/>
          <w:color w:val="000000" w:themeColor="text1"/>
          <w:szCs w:val="17"/>
          <w:lang w:val="en-US"/>
        </w:rPr>
        <w:t>Ind</w:t>
      </w:r>
      <w:proofErr w:type="spellEnd"/>
      <w:r w:rsidRPr="007C45C4">
        <w:rPr>
          <w:rFonts w:cs="Arial"/>
          <w:bCs/>
          <w:color w:val="000000" w:themeColor="text1"/>
          <w:szCs w:val="17"/>
          <w:lang w:val="en-US"/>
        </w:rPr>
        <w:t xml:space="preserve"> is not involved in the rearrangement. The character of spectrum implies dynamic haptotropic shift </w:t>
      </w:r>
      <w:r w:rsidRPr="007C45C4">
        <w:rPr>
          <w:rFonts w:cs="Arial"/>
          <w:b/>
          <w:szCs w:val="17"/>
          <w:lang w:val="en-US"/>
        </w:rPr>
        <w:t>3</w:t>
      </w:r>
      <w:r w:rsidRPr="007C45C4">
        <w:rPr>
          <w:rFonts w:cs="Arial"/>
          <w:szCs w:val="17"/>
          <w:lang w:val="en-US"/>
        </w:rPr>
        <w:t> </w:t>
      </w:r>
      <w:r w:rsidRPr="007C45C4">
        <w:rPr>
          <w:rFonts w:ascii="Cambria Math" w:hAnsi="Cambria Math" w:cs="Arial"/>
          <w:szCs w:val="17"/>
          <w:lang w:val="en-US"/>
        </w:rPr>
        <w:t>⇆</w:t>
      </w:r>
      <w:r w:rsidRPr="007C45C4">
        <w:rPr>
          <w:rFonts w:cs="Arial"/>
          <w:szCs w:val="17"/>
          <w:lang w:val="en-US"/>
        </w:rPr>
        <w:t> [(η</w:t>
      </w:r>
      <w:r w:rsidRPr="007C45C4">
        <w:rPr>
          <w:rFonts w:cs="Arial"/>
          <w:szCs w:val="17"/>
          <w:vertAlign w:val="superscript"/>
          <w:lang w:val="en-US"/>
        </w:rPr>
        <w:t>3</w:t>
      </w:r>
      <w:r w:rsidRPr="007C45C4">
        <w:rPr>
          <w:rFonts w:cs="Arial"/>
          <w:szCs w:val="17"/>
          <w:lang w:val="en-US"/>
        </w:rPr>
        <w:noBreakHyphen/>
        <w:t>C</w:t>
      </w:r>
      <w:r w:rsidRPr="007C45C4">
        <w:rPr>
          <w:rFonts w:cs="Arial"/>
          <w:szCs w:val="17"/>
          <w:vertAlign w:val="subscript"/>
          <w:lang w:val="en-US"/>
        </w:rPr>
        <w:t>9</w:t>
      </w:r>
      <w:r w:rsidRPr="007C45C4">
        <w:rPr>
          <w:rFonts w:cs="Arial"/>
          <w:szCs w:val="17"/>
          <w:lang w:val="en-US"/>
        </w:rPr>
        <w:t>H</w:t>
      </w:r>
      <w:r w:rsidRPr="007C45C4">
        <w:rPr>
          <w:rFonts w:cs="Arial"/>
          <w:szCs w:val="17"/>
          <w:vertAlign w:val="subscript"/>
          <w:lang w:val="en-US"/>
        </w:rPr>
        <w:t>6</w:t>
      </w:r>
      <w:r w:rsidRPr="007C45C4">
        <w:rPr>
          <w:rFonts w:cs="Arial"/>
          <w:szCs w:val="17"/>
          <w:lang w:val="en-US"/>
        </w:rPr>
        <w:t>CH</w:t>
      </w:r>
      <w:r w:rsidRPr="007C45C4">
        <w:rPr>
          <w:rFonts w:cs="Arial"/>
          <w:szCs w:val="17"/>
          <w:vertAlign w:val="subscript"/>
          <w:lang w:val="en-US"/>
        </w:rPr>
        <w:t>2</w:t>
      </w:r>
      <w:r w:rsidRPr="007C45C4">
        <w:rPr>
          <w:rFonts w:cs="Arial"/>
          <w:szCs w:val="17"/>
          <w:lang w:val="en-US"/>
        </w:rPr>
        <w:t>C</w:t>
      </w:r>
      <w:r w:rsidRPr="007C45C4">
        <w:rPr>
          <w:rFonts w:cs="Arial"/>
          <w:szCs w:val="17"/>
          <w:vertAlign w:val="subscript"/>
          <w:lang w:val="en-US"/>
        </w:rPr>
        <w:t>4</w:t>
      </w:r>
      <w:r w:rsidRPr="007C45C4">
        <w:rPr>
          <w:rFonts w:cs="Arial"/>
          <w:szCs w:val="17"/>
          <w:lang w:val="en-US"/>
        </w:rPr>
        <w:t>H</w:t>
      </w:r>
      <w:r w:rsidRPr="007C45C4">
        <w:rPr>
          <w:rFonts w:cs="Arial"/>
          <w:szCs w:val="17"/>
          <w:vertAlign w:val="subscript"/>
          <w:lang w:val="en-US"/>
        </w:rPr>
        <w:t>3</w:t>
      </w:r>
      <w:r w:rsidRPr="007C45C4">
        <w:rPr>
          <w:rFonts w:cs="Arial"/>
          <w:szCs w:val="17"/>
          <w:lang w:val="en-US"/>
        </w:rPr>
        <w:t>S</w:t>
      </w:r>
      <w:proofErr w:type="gramStart"/>
      <w:r w:rsidRPr="007C45C4">
        <w:rPr>
          <w:rFonts w:cs="Arial"/>
          <w:szCs w:val="17"/>
          <w:lang w:val="en-US"/>
        </w:rPr>
        <w:t>)Mo</w:t>
      </w:r>
      <w:proofErr w:type="gramEnd"/>
      <w:r w:rsidRPr="007C45C4">
        <w:rPr>
          <w:rFonts w:cs="Arial"/>
          <w:szCs w:val="17"/>
          <w:lang w:val="en-US"/>
        </w:rPr>
        <w:t>(CO)</w:t>
      </w:r>
      <w:r w:rsidRPr="007C45C4">
        <w:rPr>
          <w:rFonts w:cs="Arial"/>
          <w:szCs w:val="17"/>
          <w:vertAlign w:val="subscript"/>
          <w:lang w:val="en-US"/>
        </w:rPr>
        <w:t>2</w:t>
      </w:r>
      <w:r w:rsidRPr="007C45C4">
        <w:rPr>
          <w:rFonts w:cs="Arial"/>
          <w:szCs w:val="17"/>
          <w:lang w:val="en-US"/>
        </w:rPr>
        <w:t>(</w:t>
      </w:r>
      <w:proofErr w:type="spellStart"/>
      <w:r w:rsidRPr="007C45C4">
        <w:rPr>
          <w:rFonts w:cs="Arial"/>
          <w:szCs w:val="17"/>
          <w:lang w:val="en-US"/>
        </w:rPr>
        <w:t>NCMe</w:t>
      </w:r>
      <w:proofErr w:type="spellEnd"/>
      <w:r w:rsidRPr="007C45C4">
        <w:rPr>
          <w:rFonts w:cs="Arial"/>
          <w:szCs w:val="17"/>
          <w:lang w:val="en-US"/>
        </w:rPr>
        <w:t>)</w:t>
      </w:r>
      <w:r w:rsidRPr="007C45C4">
        <w:rPr>
          <w:rFonts w:cs="Arial"/>
          <w:szCs w:val="17"/>
          <w:vertAlign w:val="subscript"/>
          <w:lang w:val="en-US"/>
        </w:rPr>
        <w:t>3</w:t>
      </w:r>
      <w:r w:rsidRPr="007C45C4">
        <w:rPr>
          <w:rFonts w:cs="Arial"/>
          <w:szCs w:val="17"/>
          <w:lang w:val="en-US"/>
        </w:rPr>
        <w:t>][BF</w:t>
      </w:r>
      <w:r w:rsidRPr="007C45C4">
        <w:rPr>
          <w:rFonts w:cs="Arial"/>
          <w:szCs w:val="17"/>
          <w:vertAlign w:val="subscript"/>
          <w:lang w:val="en-US"/>
        </w:rPr>
        <w:t>4</w:t>
      </w:r>
      <w:r w:rsidRPr="007C45C4">
        <w:rPr>
          <w:rFonts w:cs="Arial"/>
          <w:szCs w:val="17"/>
          <w:lang w:val="en-US"/>
        </w:rPr>
        <w:t>]</w:t>
      </w:r>
      <w:r w:rsidRPr="007C45C4">
        <w:rPr>
          <w:rFonts w:cs="Arial"/>
          <w:bCs/>
          <w:color w:val="000000" w:themeColor="text1"/>
          <w:szCs w:val="17"/>
          <w:lang w:val="en-US"/>
        </w:rPr>
        <w:t xml:space="preserve"> in acetonitrile</w:t>
      </w:r>
      <w:r w:rsidRPr="007C45C4">
        <w:rPr>
          <w:rFonts w:cs="Arial"/>
          <w:szCs w:val="17"/>
          <w:lang w:val="en-US"/>
        </w:rPr>
        <w:t>. This behavior</w:t>
      </w:r>
      <w:r w:rsidRPr="007C45C4">
        <w:rPr>
          <w:rFonts w:cs="Arial"/>
          <w:bCs/>
          <w:color w:val="000000" w:themeColor="text1"/>
          <w:szCs w:val="17"/>
          <w:lang w:val="en-US"/>
        </w:rPr>
        <w:t xml:space="preserve"> well correlates with haptotropic rearrangement described for the parent complex </w:t>
      </w:r>
      <w:r w:rsidRPr="007C45C4">
        <w:rPr>
          <w:rFonts w:cs="Arial"/>
          <w:bCs/>
          <w:szCs w:val="17"/>
          <w:lang w:val="en-US"/>
        </w:rPr>
        <w:t>[(η</w:t>
      </w:r>
      <w:r w:rsidRPr="007C45C4">
        <w:rPr>
          <w:rFonts w:cs="Arial"/>
          <w:bCs/>
          <w:szCs w:val="17"/>
          <w:vertAlign w:val="superscript"/>
          <w:lang w:val="en-US"/>
        </w:rPr>
        <w:t>5</w:t>
      </w:r>
      <w:r w:rsidRPr="007C45C4">
        <w:rPr>
          <w:rFonts w:cs="Arial"/>
          <w:bCs/>
          <w:szCs w:val="17"/>
          <w:lang w:val="en-US"/>
        </w:rPr>
        <w:t>-C</w:t>
      </w:r>
      <w:r w:rsidRPr="007C45C4">
        <w:rPr>
          <w:rFonts w:cs="Arial"/>
          <w:bCs/>
          <w:szCs w:val="17"/>
          <w:vertAlign w:val="subscript"/>
          <w:lang w:val="en-US"/>
        </w:rPr>
        <w:t>9</w:t>
      </w:r>
      <w:r w:rsidRPr="007C45C4">
        <w:rPr>
          <w:rFonts w:cs="Arial"/>
          <w:bCs/>
          <w:szCs w:val="17"/>
          <w:lang w:val="en-US"/>
        </w:rPr>
        <w:t>H</w:t>
      </w:r>
      <w:r w:rsidRPr="007C45C4">
        <w:rPr>
          <w:rFonts w:cs="Arial"/>
          <w:bCs/>
          <w:szCs w:val="17"/>
          <w:vertAlign w:val="subscript"/>
          <w:lang w:val="en-US"/>
        </w:rPr>
        <w:t>7</w:t>
      </w:r>
      <w:r w:rsidRPr="007C45C4">
        <w:rPr>
          <w:rFonts w:cs="Arial"/>
          <w:bCs/>
          <w:szCs w:val="17"/>
          <w:lang w:val="en-US"/>
        </w:rPr>
        <w:t>)Mo(</w:t>
      </w:r>
      <w:proofErr w:type="spellStart"/>
      <w:r w:rsidRPr="007C45C4">
        <w:rPr>
          <w:rFonts w:cs="Arial"/>
          <w:bCs/>
          <w:szCs w:val="17"/>
          <w:lang w:val="en-US"/>
        </w:rPr>
        <w:t>NCMe</w:t>
      </w:r>
      <w:proofErr w:type="spellEnd"/>
      <w:r w:rsidRPr="007C45C4">
        <w:rPr>
          <w:rFonts w:cs="Arial"/>
          <w:bCs/>
          <w:szCs w:val="17"/>
          <w:lang w:val="en-US"/>
        </w:rPr>
        <w:t>)</w:t>
      </w:r>
      <w:r w:rsidRPr="007C45C4">
        <w:rPr>
          <w:rFonts w:cs="Arial"/>
          <w:bCs/>
          <w:szCs w:val="17"/>
          <w:vertAlign w:val="subscript"/>
          <w:lang w:val="en-US"/>
        </w:rPr>
        <w:t>2</w:t>
      </w:r>
      <w:r w:rsidRPr="007C45C4">
        <w:rPr>
          <w:rFonts w:cs="Arial"/>
          <w:bCs/>
          <w:szCs w:val="17"/>
          <w:lang w:val="en-US"/>
        </w:rPr>
        <w:t>(CO)</w:t>
      </w:r>
      <w:r w:rsidRPr="007C45C4">
        <w:rPr>
          <w:rFonts w:cs="Arial"/>
          <w:bCs/>
          <w:szCs w:val="17"/>
          <w:vertAlign w:val="subscript"/>
          <w:lang w:val="en-US"/>
        </w:rPr>
        <w:t>2</w:t>
      </w:r>
      <w:r w:rsidRPr="007C45C4">
        <w:rPr>
          <w:rFonts w:cs="Arial"/>
          <w:bCs/>
          <w:szCs w:val="17"/>
          <w:lang w:val="en-US"/>
        </w:rPr>
        <w:t>][BF</w:t>
      </w:r>
      <w:r w:rsidRPr="007C45C4">
        <w:rPr>
          <w:rFonts w:cs="Arial"/>
          <w:bCs/>
          <w:szCs w:val="17"/>
          <w:vertAlign w:val="subscript"/>
          <w:lang w:val="en-US"/>
        </w:rPr>
        <w:t>4</w:t>
      </w:r>
      <w:r w:rsidRPr="007C45C4">
        <w:rPr>
          <w:rFonts w:cs="Arial"/>
          <w:bCs/>
          <w:szCs w:val="17"/>
          <w:lang w:val="en-US"/>
        </w:rPr>
        <w:t>]</w:t>
      </w:r>
      <w:r w:rsidRPr="007C45C4">
        <w:rPr>
          <w:rFonts w:cs="Arial"/>
          <w:bCs/>
          <w:color w:val="000000" w:themeColor="text1"/>
          <w:szCs w:val="17"/>
          <w:lang w:val="en-US"/>
        </w:rPr>
        <w:t>.</w:t>
      </w:r>
      <w:r w:rsidR="000D21C1" w:rsidRPr="007C45C4">
        <w:rPr>
          <w:rFonts w:cs="Arial"/>
          <w:bCs/>
          <w:color w:val="000000" w:themeColor="text1"/>
          <w:szCs w:val="17"/>
          <w:lang w:val="en-US"/>
        </w:rPr>
        <w:fldChar w:fldCharType="begin" w:fldLock="1"/>
      </w:r>
      <w:r w:rsidRPr="007C45C4">
        <w:rPr>
          <w:rFonts w:cs="Arial"/>
          <w:bCs/>
          <w:color w:val="000000" w:themeColor="text1"/>
          <w:szCs w:val="17"/>
          <w:lang w:val="en-US"/>
        </w:rPr>
        <w:instrText>ADDIN CSL_CITATION {"citationItems":[{"id":"ITEM-1","itemData":{"DOI":"http://dx.doi.org/10.1016/0022-328X(95)05859-N","ISSN":"0022-328X","abstract":"Ring slippage of the indenyl occurs upon dissolution of the complexes [η5-IndM(CO)2L2]BF4 (M=Mo of W; L=NCMe or dimethylformamide) in an excess of L, to give [(η3-Ind)M(CO)2L3]Bf4. Other ring-slipped complexes synthesized are [(η3-Ind)Mo(CO)2L3]BF4 (L3=HC(pz)3, [HB(pz)3]−, Me3tacn or {en(NCMe)}). Addition of NCMe or an excess of L failed to give ring slippage in [η5-IndMo(CO)2L2]BF4 (L2=bipy, dppe, (PMe3)2, {P(OMe)3}2 or triphos). NMR and X-ray studies reveal a large folding of the η3-indenyl ring. The structure complex [(η3-Ind)W(CO)2(NCMe)3]BF4 (5) was determined by X-ray analysis.","author":[{"dropping-particle":"","family":"Ascenso","given":"JoséR.","non-dropping-particle":"","parse-names":false,"suffix":""},{"dropping-particle":"","family":"Gonçalves","given":"Isabel S","non-dropping-particle":"","parse-names":false,"suffix":""},{"dropping-particle":"","family":"Herdtweck","given":"Eberhardt","non-dropping-particle":"","parse-names":false,"suffix":""},{"dropping-particle":"","family":"Romão","given":"Carlos C","non-dropping-particle":"","parse-names":false,"suffix":""}],"container-title":"Journal of Organometallic Chemistry","id":"ITEM-1","issue":"1","issued":{"date-parts":[["1996"]]},"note":"NULL","page":"169-181","title":"Ring slippage in indenyl derivatives of molybdenum and tungsten","type":"article-journal","volume":"508"},"uris":["http://www.mendeley.com/documents/?uuid=ccb58ea1-2790-4939-9971-24f90e28f99c"]}],"mendeley":{"formattedCitation":"&lt;sup&gt;25&lt;/sup&gt;","plainTextFormattedCitation":"25","previouslyFormattedCitation":"&lt;sup&gt;25&lt;/sup&gt;"},"properties":{"noteIndex":0},"schema":"https://github.com/citation-style-language/schema/raw/master/csl-citation.json"}</w:instrText>
      </w:r>
      <w:r w:rsidR="000D21C1" w:rsidRPr="007C45C4">
        <w:rPr>
          <w:rFonts w:cs="Arial"/>
          <w:bCs/>
          <w:color w:val="000000" w:themeColor="text1"/>
          <w:szCs w:val="17"/>
          <w:lang w:val="en-US"/>
        </w:rPr>
        <w:fldChar w:fldCharType="separate"/>
      </w:r>
      <w:r w:rsidRPr="007C45C4">
        <w:rPr>
          <w:rFonts w:cs="Arial"/>
          <w:bCs/>
          <w:noProof/>
          <w:color w:val="000000" w:themeColor="text1"/>
          <w:szCs w:val="17"/>
          <w:vertAlign w:val="superscript"/>
          <w:lang w:val="en-US"/>
        </w:rPr>
        <w:t>25</w:t>
      </w:r>
      <w:r w:rsidR="000D21C1" w:rsidRPr="007C45C4">
        <w:rPr>
          <w:rFonts w:cs="Arial"/>
          <w:bCs/>
          <w:color w:val="000000" w:themeColor="text1"/>
          <w:szCs w:val="17"/>
          <w:lang w:val="en-US"/>
        </w:rPr>
        <w:fldChar w:fldCharType="end"/>
      </w:r>
      <w:r w:rsidRPr="007C45C4">
        <w:rPr>
          <w:rFonts w:cs="Arial"/>
          <w:bCs/>
          <w:color w:val="000000" w:themeColor="text1"/>
          <w:szCs w:val="17"/>
          <w:lang w:val="en-US"/>
        </w:rPr>
        <w:t xml:space="preserve"> IR spectrum of </w:t>
      </w:r>
      <w:proofErr w:type="gramStart"/>
      <w:r w:rsidRPr="007C45C4">
        <w:rPr>
          <w:rFonts w:cs="Arial"/>
          <w:b/>
          <w:bCs/>
          <w:color w:val="000000" w:themeColor="text1"/>
          <w:szCs w:val="17"/>
          <w:lang w:val="en-US"/>
        </w:rPr>
        <w:t>3</w:t>
      </w:r>
      <w:proofErr w:type="gramEnd"/>
      <w:r w:rsidRPr="007C45C4">
        <w:rPr>
          <w:rFonts w:cs="Arial"/>
          <w:bCs/>
          <w:color w:val="000000" w:themeColor="text1"/>
          <w:szCs w:val="17"/>
          <w:lang w:val="en-US"/>
        </w:rPr>
        <w:t xml:space="preserve"> shows two carbonyl stretching bands, shifted significantly to higher energies compared to the vibrations of </w:t>
      </w:r>
      <w:r w:rsidRPr="007C45C4">
        <w:rPr>
          <w:rFonts w:cs="Arial"/>
          <w:b/>
          <w:bCs/>
          <w:color w:val="000000" w:themeColor="text1"/>
          <w:szCs w:val="17"/>
          <w:lang w:val="en-US"/>
        </w:rPr>
        <w:t>2</w:t>
      </w:r>
      <w:r w:rsidRPr="007C45C4">
        <w:rPr>
          <w:rFonts w:cs="Arial"/>
          <w:bCs/>
          <w:color w:val="000000" w:themeColor="text1"/>
          <w:szCs w:val="17"/>
          <w:lang w:val="en-US"/>
        </w:rPr>
        <w:t>. Together with typical broad B</w:t>
      </w:r>
      <w:r w:rsidRPr="007C45C4">
        <w:rPr>
          <w:rFonts w:cs="Arial"/>
          <w:bCs/>
          <w:color w:val="000000" w:themeColor="text1"/>
          <w:szCs w:val="17"/>
          <w:lang w:val="en-US"/>
        </w:rPr>
        <w:sym w:font="Symbol" w:char="F02D"/>
      </w:r>
      <w:r w:rsidRPr="007C45C4">
        <w:rPr>
          <w:rFonts w:cs="Arial"/>
          <w:bCs/>
          <w:color w:val="000000" w:themeColor="text1"/>
          <w:szCs w:val="17"/>
          <w:lang w:val="en-US"/>
        </w:rPr>
        <w:t>F vibration band of BF</w:t>
      </w:r>
      <w:r w:rsidRPr="007C45C4">
        <w:rPr>
          <w:rFonts w:cs="Arial"/>
          <w:bCs/>
          <w:color w:val="000000" w:themeColor="text1"/>
          <w:szCs w:val="17"/>
          <w:vertAlign w:val="subscript"/>
          <w:lang w:val="en-US"/>
        </w:rPr>
        <w:t>4</w:t>
      </w:r>
      <w:r w:rsidRPr="007C45C4">
        <w:rPr>
          <w:rFonts w:cs="Arial"/>
          <w:bCs/>
          <w:color w:val="000000" w:themeColor="text1"/>
          <w:szCs w:val="17"/>
          <w:vertAlign w:val="superscript"/>
          <w:lang w:val="en-US"/>
        </w:rPr>
        <w:sym w:font="Symbol" w:char="F02D"/>
      </w:r>
      <w:r w:rsidRPr="007C45C4">
        <w:rPr>
          <w:rFonts w:cs="Arial"/>
          <w:bCs/>
          <w:color w:val="000000" w:themeColor="text1"/>
          <w:szCs w:val="17"/>
          <w:lang w:val="en-US"/>
        </w:rPr>
        <w:t xml:space="preserve"> at 1054 cm</w:t>
      </w:r>
      <w:r w:rsidRPr="007C45C4">
        <w:rPr>
          <w:rFonts w:cs="Arial"/>
          <w:bCs/>
          <w:color w:val="000000" w:themeColor="text1"/>
          <w:szCs w:val="17"/>
          <w:vertAlign w:val="superscript"/>
          <w:lang w:val="en-US"/>
        </w:rPr>
        <w:sym w:font="Symbol" w:char="F02D"/>
      </w:r>
      <w:r w:rsidRPr="007C45C4">
        <w:rPr>
          <w:rFonts w:cs="Arial"/>
          <w:bCs/>
          <w:color w:val="000000" w:themeColor="text1"/>
          <w:szCs w:val="17"/>
          <w:vertAlign w:val="superscript"/>
          <w:lang w:val="en-US"/>
        </w:rPr>
        <w:t>1</w:t>
      </w:r>
      <w:r w:rsidRPr="007C45C4">
        <w:rPr>
          <w:rFonts w:cs="Arial"/>
          <w:bCs/>
          <w:color w:val="000000" w:themeColor="text1"/>
          <w:szCs w:val="17"/>
          <w:lang w:val="en-US"/>
        </w:rPr>
        <w:t xml:space="preserve">, the spectrum confirms successful cleavage and exchange of negatively charge allyl to form cationic complex. Moreover, the wavenumbers of carbonyl vibration bands are practically identical with those described for </w:t>
      </w:r>
      <w:r w:rsidRPr="007C45C4">
        <w:rPr>
          <w:rFonts w:cs="Arial"/>
          <w:szCs w:val="17"/>
          <w:lang w:val="en-US"/>
        </w:rPr>
        <w:t>[(η</w:t>
      </w:r>
      <w:r w:rsidRPr="007C45C4">
        <w:rPr>
          <w:rFonts w:cs="Arial"/>
          <w:szCs w:val="17"/>
          <w:vertAlign w:val="superscript"/>
          <w:lang w:val="en-US"/>
        </w:rPr>
        <w:t>5</w:t>
      </w:r>
      <w:r w:rsidRPr="007C45C4">
        <w:rPr>
          <w:rFonts w:cs="Arial"/>
          <w:szCs w:val="17"/>
          <w:lang w:val="en-US"/>
        </w:rPr>
        <w:noBreakHyphen/>
        <w:t>C</w:t>
      </w:r>
      <w:r w:rsidRPr="007C45C4">
        <w:rPr>
          <w:rFonts w:cs="Arial"/>
          <w:szCs w:val="17"/>
          <w:vertAlign w:val="subscript"/>
          <w:lang w:val="en-US"/>
        </w:rPr>
        <w:t>9</w:t>
      </w:r>
      <w:r w:rsidRPr="007C45C4">
        <w:rPr>
          <w:rFonts w:cs="Arial"/>
          <w:szCs w:val="17"/>
          <w:lang w:val="en-US"/>
        </w:rPr>
        <w:t>H</w:t>
      </w:r>
      <w:r w:rsidRPr="007C45C4">
        <w:rPr>
          <w:rFonts w:cs="Arial"/>
          <w:szCs w:val="17"/>
          <w:vertAlign w:val="subscript"/>
          <w:lang w:val="en-US"/>
        </w:rPr>
        <w:t>6</w:t>
      </w:r>
      <w:r w:rsidRPr="007C45C4">
        <w:rPr>
          <w:rFonts w:cs="Arial"/>
          <w:szCs w:val="17"/>
          <w:lang w:val="en-US"/>
        </w:rPr>
        <w:t>)Mo(CO)</w:t>
      </w:r>
      <w:r w:rsidRPr="007C45C4">
        <w:rPr>
          <w:rFonts w:cs="Arial"/>
          <w:szCs w:val="17"/>
          <w:vertAlign w:val="subscript"/>
          <w:lang w:val="en-US"/>
        </w:rPr>
        <w:t>2</w:t>
      </w:r>
      <w:r w:rsidRPr="007C45C4">
        <w:rPr>
          <w:rFonts w:cs="Arial"/>
          <w:szCs w:val="17"/>
          <w:lang w:val="en-US"/>
        </w:rPr>
        <w:t>(</w:t>
      </w:r>
      <w:proofErr w:type="spellStart"/>
      <w:r w:rsidRPr="007C45C4">
        <w:rPr>
          <w:rFonts w:cs="Arial"/>
          <w:szCs w:val="17"/>
          <w:lang w:val="en-US"/>
        </w:rPr>
        <w:t>NCMe</w:t>
      </w:r>
      <w:proofErr w:type="spellEnd"/>
      <w:r w:rsidRPr="007C45C4">
        <w:rPr>
          <w:rFonts w:cs="Arial"/>
          <w:szCs w:val="17"/>
          <w:lang w:val="en-US"/>
        </w:rPr>
        <w:t>)</w:t>
      </w:r>
      <w:r w:rsidRPr="007C45C4">
        <w:rPr>
          <w:rFonts w:cs="Arial"/>
          <w:szCs w:val="17"/>
          <w:vertAlign w:val="subscript"/>
          <w:lang w:val="en-US"/>
        </w:rPr>
        <w:t>2</w:t>
      </w:r>
      <w:r w:rsidRPr="007C45C4">
        <w:rPr>
          <w:rFonts w:cs="Arial"/>
          <w:szCs w:val="17"/>
          <w:lang w:val="en-US"/>
        </w:rPr>
        <w:t>][BF</w:t>
      </w:r>
      <w:r w:rsidRPr="007C45C4">
        <w:rPr>
          <w:rFonts w:cs="Arial"/>
          <w:szCs w:val="17"/>
          <w:vertAlign w:val="subscript"/>
          <w:lang w:val="en-US"/>
        </w:rPr>
        <w:t>4</w:t>
      </w:r>
      <w:r w:rsidRPr="007C45C4">
        <w:rPr>
          <w:rFonts w:cs="Arial"/>
          <w:szCs w:val="17"/>
          <w:lang w:val="en-US"/>
        </w:rPr>
        <w:t>]</w:t>
      </w:r>
      <w:r w:rsidR="001E0264" w:rsidRPr="007C45C4">
        <w:rPr>
          <w:rFonts w:cs="Arial"/>
          <w:szCs w:val="17"/>
          <w:lang w:val="en-US"/>
        </w:rPr>
        <w:t xml:space="preserve">, </w:t>
      </w:r>
      <w:r w:rsidR="000D21C1" w:rsidRPr="007C45C4">
        <w:rPr>
          <w:rFonts w:cs="Arial"/>
          <w:szCs w:val="17"/>
          <w:lang w:val="en-US"/>
        </w:rPr>
        <w:fldChar w:fldCharType="begin" w:fldLock="1"/>
      </w:r>
      <w:r w:rsidRPr="007C45C4">
        <w:rPr>
          <w:rFonts w:cs="Arial"/>
          <w:szCs w:val="17"/>
          <w:lang w:val="en-US"/>
        </w:rPr>
        <w:instrText>ADDIN CSL_CITATION {"citationItems":[{"id":"ITEM-1","itemData":{"DOI":"10.1039/DT9770002365","ISSN":"0300-9246","abstract":"Reaction of [{Mo(CO)([small eta]-CH)}] with Ag[BF] in MeCN affords [Mo(CO)(NCMe)([small eta]-CH)][BF], which reacts with L = P(OMe), PhPCHCHPPh, buta-1,3-diene, isoprene, 2,3,-dimethylbuta-1,3-diene, or -penta-1,3,diene to form [Mo(CO)L([small eta]-CH)][BF]; alternatively, the 1,3-diene complexes, including those of cyclohexa-1,3,-diene and cyclo-octatetraene, can be formed directly from [{Mo(CO)([small eta]-CH)}], Ag[BF], and the 1,3-diene. Reaction of Na[BH] or 1-morpholinocyclopent-1-ene with the 1,3-diene cations results in regio-selective formation of the -substituted [small eta]-allyl complexes. Treatment of [Mo(CO)(NCMe)([small eta]-CH)][BF] with acetylenes or reaction of [{Mo(CO)([small eta]-CH)}] or [{Mo(CO)([small eta]-CH)}] with Ag[BF] and the respective acetylene in CHCl affords the 16-electron cations [Mo(CO)([small eta]-RCR[prime or minute])L[prime or minute]][BF](R = R[prime or minute]= Me or Ph; R = H, R[prime or minute]= Me; R = H, R[prime or minute]= Bu; L[prime or minute]=[small eta]-CH or [small eta]-CH). Reaction of these complexes with excess of P(OMe) gives [Mo([small eta]-RCR[prime or minute]){P(OMe)}L[prime or minute]][BF]. In contrast, with the bis(acetylene) cations the acetylene in the latter complexes readily undergoes propeller rotation.","author":[{"dropping-particle":"","family":"Bottrill","given":"Martin","non-dropping-particle":"","parse-names":false,"suffix":""},{"dropping-particle":"","family":"Green","given":"Michael","non-dropping-particle":"","parse-names":false,"suffix":""}],"container-title":"Journal of the Chemical Society, Dalton Transactions","id":"ITEM-1","issue":"23","issued":{"date-parts":[["1977"]]},"page":"2365-2371","publisher":"The Royal Society of Chemistry","title":"Reactions of co-ordinated ligands. Part 17. The synthesis and reactions of cationic [small eta]5-indenyl- and [small eta]-cyclopentadienyl-molybdenum complexes containing 1,3-diene and acetylene ligands","type":"article-journal"},"uris":["http://www.mendeley.com/documents/?uuid=12126ff8-e1b4-462a-b434-4fb9c005b79b"]}],"mendeley":{"formattedCitation":"&lt;sup&gt;33&lt;/sup&gt;","plainTextFormattedCitation":"33","previouslyFormattedCitation":"&lt;sup&gt;33&lt;/sup&gt;"},"properties":{"noteIndex":0},"schema":"https://github.com/citation-style-language/schema/raw/master/csl-citation.json"}</w:instrText>
      </w:r>
      <w:r w:rsidR="000D21C1" w:rsidRPr="007C45C4">
        <w:rPr>
          <w:rFonts w:cs="Arial"/>
          <w:szCs w:val="17"/>
          <w:lang w:val="en-US"/>
        </w:rPr>
        <w:fldChar w:fldCharType="separate"/>
      </w:r>
      <w:r w:rsidRPr="007C45C4">
        <w:rPr>
          <w:rFonts w:cs="Arial"/>
          <w:noProof/>
          <w:szCs w:val="17"/>
          <w:vertAlign w:val="superscript"/>
          <w:lang w:val="en-US"/>
        </w:rPr>
        <w:t>33</w:t>
      </w:r>
      <w:r w:rsidR="000D21C1" w:rsidRPr="007C45C4">
        <w:rPr>
          <w:rFonts w:cs="Arial"/>
          <w:szCs w:val="17"/>
          <w:lang w:val="en-US"/>
        </w:rPr>
        <w:fldChar w:fldCharType="end"/>
      </w:r>
      <w:r w:rsidRPr="007C45C4">
        <w:rPr>
          <w:rFonts w:cs="Arial"/>
          <w:szCs w:val="17"/>
          <w:lang w:val="en-US"/>
        </w:rPr>
        <w:t xml:space="preserve"> giving further relevant proof that thiophene function is not involved in donor-</w:t>
      </w:r>
      <w:r w:rsidRPr="007C45C4">
        <w:rPr>
          <w:rFonts w:cs="Arial"/>
          <w:szCs w:val="17"/>
          <w:lang w:val="en-US"/>
        </w:rPr>
        <w:t xml:space="preserve">acceptor interaction with the central metal. Complex </w:t>
      </w:r>
      <w:r w:rsidRPr="007C45C4">
        <w:rPr>
          <w:rFonts w:cs="Arial"/>
          <w:b/>
          <w:szCs w:val="17"/>
          <w:lang w:val="en-US"/>
        </w:rPr>
        <w:t>3</w:t>
      </w:r>
      <w:r w:rsidRPr="007C45C4">
        <w:rPr>
          <w:rFonts w:cs="Arial"/>
          <w:szCs w:val="17"/>
          <w:lang w:val="en-US"/>
        </w:rPr>
        <w:t xml:space="preserve"> was further characterized by mass spectroscopy (MS). The base peak (m/s = 406) revealed species with one acetonitrile cleaved and the spectrum further shows numerous of fragments with the remaining acetonitrile or carbonyls cleaved (for details see Experimental Section)</w:t>
      </w:r>
      <w:r w:rsidR="00C75D37" w:rsidRPr="007C45C4">
        <w:rPr>
          <w:rFonts w:cs="Arial"/>
          <w:szCs w:val="17"/>
          <w:lang w:val="en-US"/>
        </w:rPr>
        <w:t>,</w:t>
      </w:r>
      <w:r w:rsidRPr="007C45C4">
        <w:rPr>
          <w:rFonts w:cs="Arial"/>
          <w:szCs w:val="17"/>
          <w:lang w:val="en-US"/>
        </w:rPr>
        <w:t xml:space="preserve"> which is in line with weakly bonded, easily exchangeable acetonitrile ligand.</w:t>
      </w:r>
    </w:p>
    <w:p w14:paraId="6B62A547" w14:textId="4D014AD6" w:rsidR="002F50C4" w:rsidRPr="007C45C4" w:rsidRDefault="002F50C4" w:rsidP="002F50C4">
      <w:pPr>
        <w:pStyle w:val="RSCT01TableTitlewithtopbar"/>
        <w:rPr>
          <w:rFonts w:cs="Arial"/>
          <w:szCs w:val="17"/>
          <w:lang w:val="en-US"/>
        </w:rPr>
      </w:pPr>
      <w:r w:rsidRPr="007C45C4">
        <w:rPr>
          <w:b/>
          <w:lang w:val="en-US"/>
        </w:rPr>
        <w:t>Table 1</w:t>
      </w:r>
      <w:r w:rsidRPr="007C45C4">
        <w:rPr>
          <w:lang w:val="en-US"/>
        </w:rPr>
        <w:t xml:space="preserve"> IR</w:t>
      </w:r>
      <w:r w:rsidR="003A7AE4" w:rsidRPr="007C45C4">
        <w:rPr>
          <w:lang w:val="en-US"/>
        </w:rPr>
        <w:t xml:space="preserve"> </w:t>
      </w:r>
      <w:proofErr w:type="gramStart"/>
      <w:r w:rsidR="003A7AE4" w:rsidRPr="007C45C4">
        <w:rPr>
          <w:i/>
          <w:vertAlign w:val="superscript"/>
          <w:lang w:val="en-US"/>
        </w:rPr>
        <w:t>a</w:t>
      </w:r>
      <w:r w:rsidRPr="007C45C4">
        <w:rPr>
          <w:lang w:val="en-US"/>
        </w:rPr>
        <w:t xml:space="preserve"> and</w:t>
      </w:r>
      <w:proofErr w:type="gramEnd"/>
      <w:r w:rsidRPr="007C45C4">
        <w:rPr>
          <w:lang w:val="en-US"/>
        </w:rPr>
        <w:t xml:space="preserve"> MS data of selected molybdenum compounds.</w:t>
      </w:r>
    </w:p>
    <w:tbl>
      <w:tblPr>
        <w:tblW w:w="5070" w:type="dxa"/>
        <w:tblLayout w:type="fixed"/>
        <w:tblLook w:val="01E0" w:firstRow="1" w:lastRow="1" w:firstColumn="1" w:lastColumn="1" w:noHBand="0" w:noVBand="0"/>
      </w:tblPr>
      <w:tblGrid>
        <w:gridCol w:w="2523"/>
        <w:gridCol w:w="645"/>
        <w:gridCol w:w="637"/>
        <w:gridCol w:w="703"/>
        <w:gridCol w:w="562"/>
      </w:tblGrid>
      <w:tr w:rsidR="00333A3D" w:rsidRPr="007C45C4" w14:paraId="7F1AF423" w14:textId="77777777" w:rsidTr="00F26C79">
        <w:tc>
          <w:tcPr>
            <w:tcW w:w="2523" w:type="dxa"/>
            <w:tcBorders>
              <w:bottom w:val="single" w:sz="6" w:space="0" w:color="auto"/>
            </w:tcBorders>
            <w:vAlign w:val="center"/>
          </w:tcPr>
          <w:p w14:paraId="5ABF2148" w14:textId="77777777" w:rsidR="00333A3D" w:rsidRPr="007C45C4" w:rsidRDefault="00333A3D" w:rsidP="00FD34C5">
            <w:pPr>
              <w:pStyle w:val="RSCT03TableBody"/>
              <w:rPr>
                <w:lang w:val="en-US"/>
              </w:rPr>
            </w:pPr>
          </w:p>
        </w:tc>
        <w:tc>
          <w:tcPr>
            <w:tcW w:w="645" w:type="dxa"/>
            <w:tcBorders>
              <w:bottom w:val="single" w:sz="6" w:space="0" w:color="auto"/>
            </w:tcBorders>
            <w:vAlign w:val="center"/>
          </w:tcPr>
          <w:p w14:paraId="716CB872" w14:textId="77777777" w:rsidR="00333A3D" w:rsidRPr="007C45C4" w:rsidRDefault="00333A3D" w:rsidP="00FD34C5">
            <w:pPr>
              <w:pStyle w:val="RSCT03TableBody"/>
              <w:rPr>
                <w:lang w:val="en-US"/>
              </w:rPr>
            </w:pPr>
            <w:proofErr w:type="spellStart"/>
            <w:r w:rsidRPr="007C45C4">
              <w:rPr>
                <w:lang w:val="en-US"/>
              </w:rPr>
              <w:t>ν</w:t>
            </w:r>
            <w:r w:rsidRPr="007C45C4">
              <w:rPr>
                <w:vertAlign w:val="subscript"/>
                <w:lang w:val="en-US"/>
              </w:rPr>
              <w:t>a</w:t>
            </w:r>
            <w:proofErr w:type="spellEnd"/>
            <w:r w:rsidRPr="007C45C4">
              <w:rPr>
                <w:lang w:val="en-US"/>
              </w:rPr>
              <w:t>(CO)</w:t>
            </w:r>
          </w:p>
        </w:tc>
        <w:tc>
          <w:tcPr>
            <w:tcW w:w="637" w:type="dxa"/>
            <w:tcBorders>
              <w:bottom w:val="single" w:sz="6" w:space="0" w:color="auto"/>
            </w:tcBorders>
            <w:vAlign w:val="center"/>
          </w:tcPr>
          <w:p w14:paraId="72ECDFD4" w14:textId="77777777" w:rsidR="00333A3D" w:rsidRPr="007C45C4" w:rsidRDefault="00333A3D" w:rsidP="00FD34C5">
            <w:pPr>
              <w:pStyle w:val="RSCT03TableBody"/>
              <w:rPr>
                <w:lang w:val="en-US"/>
              </w:rPr>
            </w:pPr>
            <w:proofErr w:type="spellStart"/>
            <w:r w:rsidRPr="007C45C4">
              <w:rPr>
                <w:lang w:val="en-US"/>
              </w:rPr>
              <w:t>ν</w:t>
            </w:r>
            <w:r w:rsidRPr="007C45C4">
              <w:rPr>
                <w:vertAlign w:val="subscript"/>
                <w:lang w:val="en-US"/>
              </w:rPr>
              <w:t>s</w:t>
            </w:r>
            <w:proofErr w:type="spellEnd"/>
            <w:r w:rsidRPr="007C45C4">
              <w:rPr>
                <w:lang w:val="en-US"/>
              </w:rPr>
              <w:t>(CO)</w:t>
            </w:r>
          </w:p>
        </w:tc>
        <w:tc>
          <w:tcPr>
            <w:tcW w:w="703" w:type="dxa"/>
            <w:tcBorders>
              <w:bottom w:val="single" w:sz="6" w:space="0" w:color="auto"/>
            </w:tcBorders>
            <w:vAlign w:val="center"/>
          </w:tcPr>
          <w:p w14:paraId="0453AFF2" w14:textId="77777777" w:rsidR="00333A3D" w:rsidRPr="007C45C4" w:rsidRDefault="00333A3D" w:rsidP="00FD34C5">
            <w:pPr>
              <w:pStyle w:val="RSCT03TableBody"/>
              <w:rPr>
                <w:lang w:val="en-US"/>
              </w:rPr>
            </w:pPr>
            <w:proofErr w:type="spellStart"/>
            <w:r w:rsidRPr="007C45C4">
              <w:rPr>
                <w:lang w:val="en-US"/>
              </w:rPr>
              <w:t>ν</w:t>
            </w:r>
            <w:r w:rsidRPr="007C45C4">
              <w:rPr>
                <w:vertAlign w:val="subscript"/>
                <w:lang w:val="en-US"/>
              </w:rPr>
              <w:t>a</w:t>
            </w:r>
            <w:proofErr w:type="spellEnd"/>
            <w:r w:rsidRPr="007C45C4">
              <w:rPr>
                <w:lang w:val="en-US"/>
              </w:rPr>
              <w:t>(BF)</w:t>
            </w:r>
          </w:p>
        </w:tc>
        <w:tc>
          <w:tcPr>
            <w:tcW w:w="562" w:type="dxa"/>
            <w:tcBorders>
              <w:bottom w:val="single" w:sz="6" w:space="0" w:color="auto"/>
            </w:tcBorders>
          </w:tcPr>
          <w:p w14:paraId="199187FF" w14:textId="77777777" w:rsidR="00333A3D" w:rsidRPr="007C45C4" w:rsidRDefault="00333A3D" w:rsidP="00FD34C5">
            <w:pPr>
              <w:pStyle w:val="RSCT03TableBody"/>
              <w:rPr>
                <w:lang w:val="en-US"/>
              </w:rPr>
            </w:pPr>
            <w:r w:rsidRPr="007C45C4">
              <w:rPr>
                <w:lang w:val="en-US"/>
              </w:rPr>
              <w:t>m/z</w:t>
            </w:r>
          </w:p>
        </w:tc>
      </w:tr>
      <w:tr w:rsidR="00333A3D" w:rsidRPr="007C45C4" w14:paraId="37409D71" w14:textId="77777777" w:rsidTr="00F26C79">
        <w:tc>
          <w:tcPr>
            <w:tcW w:w="2523" w:type="dxa"/>
            <w:tcBorders>
              <w:top w:val="single" w:sz="6" w:space="0" w:color="auto"/>
            </w:tcBorders>
            <w:vAlign w:val="center"/>
          </w:tcPr>
          <w:p w14:paraId="4814CCE3" w14:textId="77777777" w:rsidR="00333A3D" w:rsidRPr="007C45C4" w:rsidRDefault="00333A3D" w:rsidP="00333A3D">
            <w:pPr>
              <w:pStyle w:val="RSCT03TableBody"/>
              <w:rPr>
                <w:b/>
                <w:lang w:val="en-US"/>
              </w:rPr>
            </w:pPr>
            <w:r w:rsidRPr="007C45C4">
              <w:rPr>
                <w:b/>
                <w:lang w:val="en-US"/>
              </w:rPr>
              <w:t>2</w:t>
            </w:r>
          </w:p>
        </w:tc>
        <w:tc>
          <w:tcPr>
            <w:tcW w:w="645" w:type="dxa"/>
            <w:tcBorders>
              <w:top w:val="single" w:sz="6" w:space="0" w:color="auto"/>
            </w:tcBorders>
            <w:vAlign w:val="center"/>
          </w:tcPr>
          <w:p w14:paraId="61050923" w14:textId="77777777" w:rsidR="00333A3D" w:rsidRPr="007C45C4" w:rsidRDefault="00333A3D" w:rsidP="00333A3D">
            <w:pPr>
              <w:pStyle w:val="RSCT03TableBody"/>
              <w:rPr>
                <w:lang w:val="en-US"/>
              </w:rPr>
            </w:pPr>
            <w:r w:rsidRPr="007C45C4">
              <w:rPr>
                <w:lang w:val="en-US"/>
              </w:rPr>
              <w:t>1938</w:t>
            </w:r>
          </w:p>
        </w:tc>
        <w:tc>
          <w:tcPr>
            <w:tcW w:w="637" w:type="dxa"/>
            <w:tcBorders>
              <w:top w:val="single" w:sz="6" w:space="0" w:color="auto"/>
            </w:tcBorders>
            <w:vAlign w:val="center"/>
          </w:tcPr>
          <w:p w14:paraId="193C7A67" w14:textId="77777777" w:rsidR="00333A3D" w:rsidRPr="007C45C4" w:rsidRDefault="00333A3D" w:rsidP="00333A3D">
            <w:pPr>
              <w:pStyle w:val="RSCT03TableBody"/>
              <w:rPr>
                <w:lang w:val="en-US"/>
              </w:rPr>
            </w:pPr>
            <w:r w:rsidRPr="007C45C4">
              <w:rPr>
                <w:lang w:val="en-US"/>
              </w:rPr>
              <w:t>1860</w:t>
            </w:r>
          </w:p>
        </w:tc>
        <w:tc>
          <w:tcPr>
            <w:tcW w:w="703" w:type="dxa"/>
            <w:tcBorders>
              <w:top w:val="single" w:sz="6" w:space="0" w:color="auto"/>
            </w:tcBorders>
            <w:vAlign w:val="center"/>
          </w:tcPr>
          <w:p w14:paraId="40309078" w14:textId="77777777" w:rsidR="00333A3D" w:rsidRPr="007C45C4" w:rsidRDefault="00333A3D" w:rsidP="00333A3D">
            <w:pPr>
              <w:pStyle w:val="RSCT03TableBody"/>
              <w:rPr>
                <w:lang w:val="en-US"/>
              </w:rPr>
            </w:pPr>
            <w:r w:rsidRPr="007C45C4">
              <w:rPr>
                <w:lang w:val="en-US"/>
              </w:rPr>
              <w:t>-</w:t>
            </w:r>
          </w:p>
        </w:tc>
        <w:tc>
          <w:tcPr>
            <w:tcW w:w="562" w:type="dxa"/>
            <w:tcBorders>
              <w:top w:val="single" w:sz="6" w:space="0" w:color="auto"/>
            </w:tcBorders>
          </w:tcPr>
          <w:p w14:paraId="22231746" w14:textId="77777777" w:rsidR="00333A3D" w:rsidRPr="007C45C4" w:rsidRDefault="00333A3D" w:rsidP="00333A3D">
            <w:pPr>
              <w:pStyle w:val="RSCT03TableBody"/>
              <w:rPr>
                <w:lang w:val="en-US"/>
              </w:rPr>
            </w:pPr>
            <w:r w:rsidRPr="007C45C4">
              <w:rPr>
                <w:lang w:val="en-US"/>
              </w:rPr>
              <w:t>-</w:t>
            </w:r>
          </w:p>
        </w:tc>
      </w:tr>
      <w:tr w:rsidR="00333A3D" w:rsidRPr="007C45C4" w14:paraId="134CD60C" w14:textId="77777777" w:rsidTr="003A7AE4">
        <w:tc>
          <w:tcPr>
            <w:tcW w:w="2523" w:type="dxa"/>
            <w:vAlign w:val="center"/>
          </w:tcPr>
          <w:p w14:paraId="44E4B6B1" w14:textId="77777777" w:rsidR="00333A3D" w:rsidRPr="007C45C4" w:rsidRDefault="00333A3D" w:rsidP="00333A3D">
            <w:pPr>
              <w:pStyle w:val="RSCT03TableBody"/>
              <w:rPr>
                <w:b/>
                <w:lang w:val="en-US"/>
              </w:rPr>
            </w:pPr>
            <w:r w:rsidRPr="007C45C4">
              <w:rPr>
                <w:b/>
                <w:lang w:val="en-US"/>
              </w:rPr>
              <w:t>3</w:t>
            </w:r>
          </w:p>
        </w:tc>
        <w:tc>
          <w:tcPr>
            <w:tcW w:w="645" w:type="dxa"/>
            <w:vAlign w:val="center"/>
          </w:tcPr>
          <w:p w14:paraId="15417873" w14:textId="77777777" w:rsidR="00333A3D" w:rsidRPr="007C45C4" w:rsidRDefault="00333A3D" w:rsidP="00333A3D">
            <w:pPr>
              <w:pStyle w:val="RSCT03TableBody"/>
              <w:rPr>
                <w:lang w:val="en-US"/>
              </w:rPr>
            </w:pPr>
            <w:r w:rsidRPr="007C45C4">
              <w:rPr>
                <w:lang w:val="en-US"/>
              </w:rPr>
              <w:t>1971</w:t>
            </w:r>
          </w:p>
        </w:tc>
        <w:tc>
          <w:tcPr>
            <w:tcW w:w="637" w:type="dxa"/>
            <w:vAlign w:val="center"/>
          </w:tcPr>
          <w:p w14:paraId="0BB68695" w14:textId="77777777" w:rsidR="00333A3D" w:rsidRPr="007C45C4" w:rsidRDefault="00333A3D" w:rsidP="00333A3D">
            <w:pPr>
              <w:pStyle w:val="RSCT03TableBody"/>
              <w:rPr>
                <w:lang w:val="en-US"/>
              </w:rPr>
            </w:pPr>
            <w:r w:rsidRPr="007C45C4">
              <w:rPr>
                <w:lang w:val="en-US"/>
              </w:rPr>
              <w:t>1889</w:t>
            </w:r>
          </w:p>
        </w:tc>
        <w:tc>
          <w:tcPr>
            <w:tcW w:w="703" w:type="dxa"/>
            <w:vAlign w:val="center"/>
          </w:tcPr>
          <w:p w14:paraId="7455BB72" w14:textId="77777777" w:rsidR="00333A3D" w:rsidRPr="007C45C4" w:rsidRDefault="00333A3D" w:rsidP="00333A3D">
            <w:pPr>
              <w:pStyle w:val="RSCT03TableBody"/>
              <w:rPr>
                <w:lang w:val="en-US"/>
              </w:rPr>
            </w:pPr>
            <w:r w:rsidRPr="007C45C4">
              <w:rPr>
                <w:lang w:val="en-US"/>
              </w:rPr>
              <w:t>1054</w:t>
            </w:r>
          </w:p>
        </w:tc>
        <w:tc>
          <w:tcPr>
            <w:tcW w:w="562" w:type="dxa"/>
          </w:tcPr>
          <w:p w14:paraId="180502E5" w14:textId="77777777" w:rsidR="00333A3D" w:rsidRPr="007C45C4" w:rsidRDefault="00333A3D" w:rsidP="00333A3D">
            <w:pPr>
              <w:pStyle w:val="RSCT03TableBody"/>
              <w:rPr>
                <w:lang w:val="en-US"/>
              </w:rPr>
            </w:pPr>
            <w:r w:rsidRPr="007C45C4">
              <w:rPr>
                <w:lang w:val="en-US"/>
              </w:rPr>
              <w:t>406</w:t>
            </w:r>
          </w:p>
        </w:tc>
      </w:tr>
      <w:tr w:rsidR="00333A3D" w:rsidRPr="007C45C4" w14:paraId="3D5DC723" w14:textId="77777777" w:rsidTr="003A7AE4">
        <w:tc>
          <w:tcPr>
            <w:tcW w:w="2523" w:type="dxa"/>
            <w:vAlign w:val="center"/>
          </w:tcPr>
          <w:p w14:paraId="05BC4F72" w14:textId="77777777" w:rsidR="00333A3D" w:rsidRPr="007C45C4" w:rsidRDefault="00333A3D" w:rsidP="00333A3D">
            <w:pPr>
              <w:pStyle w:val="RSCT03TableBody"/>
              <w:rPr>
                <w:b/>
                <w:lang w:val="en-US"/>
              </w:rPr>
            </w:pPr>
            <w:r w:rsidRPr="007C45C4">
              <w:rPr>
                <w:b/>
                <w:lang w:val="en-US"/>
              </w:rPr>
              <w:t>4</w:t>
            </w:r>
          </w:p>
        </w:tc>
        <w:tc>
          <w:tcPr>
            <w:tcW w:w="645" w:type="dxa"/>
            <w:vAlign w:val="center"/>
          </w:tcPr>
          <w:p w14:paraId="24408E06" w14:textId="77777777" w:rsidR="00333A3D" w:rsidRPr="007C45C4" w:rsidRDefault="00333A3D" w:rsidP="00333A3D">
            <w:pPr>
              <w:pStyle w:val="RSCT03TableBody"/>
              <w:rPr>
                <w:lang w:val="en-US"/>
              </w:rPr>
            </w:pPr>
            <w:r w:rsidRPr="007C45C4">
              <w:rPr>
                <w:lang w:val="en-US"/>
              </w:rPr>
              <w:t>1962</w:t>
            </w:r>
          </w:p>
        </w:tc>
        <w:tc>
          <w:tcPr>
            <w:tcW w:w="637" w:type="dxa"/>
            <w:vAlign w:val="center"/>
          </w:tcPr>
          <w:p w14:paraId="5B954C34" w14:textId="77777777" w:rsidR="00333A3D" w:rsidRPr="007C45C4" w:rsidRDefault="00333A3D" w:rsidP="00333A3D">
            <w:pPr>
              <w:pStyle w:val="RSCT03TableBody"/>
              <w:rPr>
                <w:lang w:val="en-US"/>
              </w:rPr>
            </w:pPr>
            <w:r w:rsidRPr="007C45C4">
              <w:rPr>
                <w:lang w:val="en-US"/>
              </w:rPr>
              <w:t>1886</w:t>
            </w:r>
          </w:p>
        </w:tc>
        <w:tc>
          <w:tcPr>
            <w:tcW w:w="703" w:type="dxa"/>
            <w:vAlign w:val="center"/>
          </w:tcPr>
          <w:p w14:paraId="0999406F" w14:textId="77777777" w:rsidR="00333A3D" w:rsidRPr="007C45C4" w:rsidRDefault="00333A3D" w:rsidP="00333A3D">
            <w:pPr>
              <w:pStyle w:val="RSCT03TableBody"/>
              <w:rPr>
                <w:lang w:val="en-US"/>
              </w:rPr>
            </w:pPr>
            <w:r w:rsidRPr="007C45C4">
              <w:rPr>
                <w:lang w:val="en-US"/>
              </w:rPr>
              <w:t>1055</w:t>
            </w:r>
          </w:p>
        </w:tc>
        <w:tc>
          <w:tcPr>
            <w:tcW w:w="562" w:type="dxa"/>
          </w:tcPr>
          <w:p w14:paraId="5749981F" w14:textId="77777777" w:rsidR="00333A3D" w:rsidRPr="007C45C4" w:rsidRDefault="00333A3D" w:rsidP="00333A3D">
            <w:pPr>
              <w:pStyle w:val="RSCT03TableBody"/>
              <w:rPr>
                <w:lang w:val="en-US"/>
              </w:rPr>
            </w:pPr>
            <w:r w:rsidRPr="007C45C4">
              <w:rPr>
                <w:lang w:val="en-US"/>
              </w:rPr>
              <w:t>521</w:t>
            </w:r>
          </w:p>
        </w:tc>
      </w:tr>
      <w:tr w:rsidR="00333A3D" w:rsidRPr="007C45C4" w14:paraId="0E0C2324" w14:textId="77777777" w:rsidTr="003A7AE4">
        <w:tc>
          <w:tcPr>
            <w:tcW w:w="2523" w:type="dxa"/>
            <w:vAlign w:val="center"/>
          </w:tcPr>
          <w:p w14:paraId="51AD5671" w14:textId="77777777" w:rsidR="00333A3D" w:rsidRPr="007C45C4" w:rsidRDefault="00333A3D" w:rsidP="00333A3D">
            <w:pPr>
              <w:pStyle w:val="RSCT03TableBody"/>
              <w:rPr>
                <w:b/>
                <w:lang w:val="en-US"/>
              </w:rPr>
            </w:pPr>
            <w:r w:rsidRPr="007C45C4">
              <w:rPr>
                <w:b/>
                <w:lang w:val="en-US"/>
              </w:rPr>
              <w:t>5</w:t>
            </w:r>
          </w:p>
        </w:tc>
        <w:tc>
          <w:tcPr>
            <w:tcW w:w="645" w:type="dxa"/>
            <w:vAlign w:val="center"/>
          </w:tcPr>
          <w:p w14:paraId="01DA06E5" w14:textId="77777777" w:rsidR="00333A3D" w:rsidRPr="007C45C4" w:rsidRDefault="00333A3D" w:rsidP="00333A3D">
            <w:pPr>
              <w:pStyle w:val="RSCT03TableBody"/>
              <w:rPr>
                <w:lang w:val="en-US"/>
              </w:rPr>
            </w:pPr>
            <w:r w:rsidRPr="007C45C4">
              <w:rPr>
                <w:lang w:val="en-US"/>
              </w:rPr>
              <w:t>1963</w:t>
            </w:r>
          </w:p>
        </w:tc>
        <w:tc>
          <w:tcPr>
            <w:tcW w:w="637" w:type="dxa"/>
            <w:vAlign w:val="center"/>
          </w:tcPr>
          <w:p w14:paraId="24472A81" w14:textId="77777777" w:rsidR="00333A3D" w:rsidRPr="007C45C4" w:rsidRDefault="00333A3D" w:rsidP="00333A3D">
            <w:pPr>
              <w:pStyle w:val="RSCT03TableBody"/>
              <w:rPr>
                <w:lang w:val="en-US"/>
              </w:rPr>
            </w:pPr>
            <w:r w:rsidRPr="007C45C4">
              <w:rPr>
                <w:lang w:val="en-US"/>
              </w:rPr>
              <w:t>1883</w:t>
            </w:r>
          </w:p>
        </w:tc>
        <w:tc>
          <w:tcPr>
            <w:tcW w:w="703" w:type="dxa"/>
            <w:vAlign w:val="center"/>
          </w:tcPr>
          <w:p w14:paraId="593649E4" w14:textId="77777777" w:rsidR="00333A3D" w:rsidRPr="007C45C4" w:rsidRDefault="00333A3D" w:rsidP="00333A3D">
            <w:pPr>
              <w:pStyle w:val="RSCT03TableBody"/>
              <w:rPr>
                <w:lang w:val="en-US"/>
              </w:rPr>
            </w:pPr>
            <w:r w:rsidRPr="007C45C4">
              <w:rPr>
                <w:lang w:val="en-US"/>
              </w:rPr>
              <w:t>1056</w:t>
            </w:r>
          </w:p>
        </w:tc>
        <w:tc>
          <w:tcPr>
            <w:tcW w:w="562" w:type="dxa"/>
          </w:tcPr>
          <w:p w14:paraId="12BD950F" w14:textId="77777777" w:rsidR="00333A3D" w:rsidRPr="007C45C4" w:rsidRDefault="00333A3D" w:rsidP="00333A3D">
            <w:pPr>
              <w:pStyle w:val="RSCT03TableBody"/>
              <w:rPr>
                <w:lang w:val="en-US"/>
              </w:rPr>
            </w:pPr>
            <w:r w:rsidRPr="007C45C4">
              <w:rPr>
                <w:lang w:val="en-US"/>
              </w:rPr>
              <w:t>545</w:t>
            </w:r>
          </w:p>
        </w:tc>
      </w:tr>
      <w:tr w:rsidR="00333A3D" w:rsidRPr="007C45C4" w14:paraId="6937E62D" w14:textId="77777777" w:rsidTr="003A7AE4">
        <w:tc>
          <w:tcPr>
            <w:tcW w:w="2523" w:type="dxa"/>
            <w:vAlign w:val="center"/>
          </w:tcPr>
          <w:p w14:paraId="02ACC285" w14:textId="77777777" w:rsidR="00333A3D" w:rsidRPr="007C45C4" w:rsidRDefault="00333A3D" w:rsidP="00333A3D">
            <w:pPr>
              <w:pStyle w:val="RSCT03TableBody"/>
              <w:rPr>
                <w:b/>
                <w:lang w:val="en-US"/>
              </w:rPr>
            </w:pPr>
            <w:r w:rsidRPr="007C45C4">
              <w:rPr>
                <w:b/>
                <w:lang w:val="en-US"/>
              </w:rPr>
              <w:t>6</w:t>
            </w:r>
          </w:p>
        </w:tc>
        <w:tc>
          <w:tcPr>
            <w:tcW w:w="645" w:type="dxa"/>
            <w:vAlign w:val="center"/>
          </w:tcPr>
          <w:p w14:paraId="38AF22C3" w14:textId="77777777" w:rsidR="00333A3D" w:rsidRPr="007C45C4" w:rsidRDefault="00333A3D" w:rsidP="00333A3D">
            <w:pPr>
              <w:pStyle w:val="RSCT03TableBody"/>
              <w:rPr>
                <w:lang w:val="en-US"/>
              </w:rPr>
            </w:pPr>
            <w:r w:rsidRPr="007C45C4">
              <w:rPr>
                <w:lang w:val="en-US"/>
              </w:rPr>
              <w:t>1962</w:t>
            </w:r>
          </w:p>
        </w:tc>
        <w:tc>
          <w:tcPr>
            <w:tcW w:w="637" w:type="dxa"/>
            <w:vAlign w:val="center"/>
          </w:tcPr>
          <w:p w14:paraId="31D56065" w14:textId="77777777" w:rsidR="00333A3D" w:rsidRPr="007C45C4" w:rsidRDefault="00333A3D" w:rsidP="00333A3D">
            <w:pPr>
              <w:pStyle w:val="RSCT03TableBody"/>
              <w:rPr>
                <w:lang w:val="en-US"/>
              </w:rPr>
            </w:pPr>
            <w:r w:rsidRPr="007C45C4">
              <w:rPr>
                <w:lang w:val="en-US"/>
              </w:rPr>
              <w:t>1884</w:t>
            </w:r>
          </w:p>
        </w:tc>
        <w:tc>
          <w:tcPr>
            <w:tcW w:w="703" w:type="dxa"/>
            <w:vAlign w:val="center"/>
          </w:tcPr>
          <w:p w14:paraId="61DFCD18" w14:textId="77777777" w:rsidR="00333A3D" w:rsidRPr="007C45C4" w:rsidRDefault="00333A3D" w:rsidP="00333A3D">
            <w:pPr>
              <w:pStyle w:val="RSCT03TableBody"/>
              <w:rPr>
                <w:lang w:val="en-US"/>
              </w:rPr>
            </w:pPr>
            <w:r w:rsidRPr="007C45C4">
              <w:rPr>
                <w:lang w:val="en-US"/>
              </w:rPr>
              <w:t>1052</w:t>
            </w:r>
          </w:p>
        </w:tc>
        <w:tc>
          <w:tcPr>
            <w:tcW w:w="562" w:type="dxa"/>
          </w:tcPr>
          <w:p w14:paraId="61CBF9B8" w14:textId="77777777" w:rsidR="00333A3D" w:rsidRPr="007C45C4" w:rsidRDefault="00333A3D" w:rsidP="00333A3D">
            <w:pPr>
              <w:pStyle w:val="RSCT03TableBody"/>
              <w:rPr>
                <w:lang w:val="en-US"/>
              </w:rPr>
            </w:pPr>
            <w:r w:rsidRPr="007C45C4">
              <w:rPr>
                <w:lang w:val="en-US"/>
              </w:rPr>
              <w:t>697</w:t>
            </w:r>
          </w:p>
        </w:tc>
      </w:tr>
      <w:tr w:rsidR="00333A3D" w:rsidRPr="007C45C4" w14:paraId="666E4B9A" w14:textId="77777777" w:rsidTr="003A7AE4">
        <w:tc>
          <w:tcPr>
            <w:tcW w:w="2523" w:type="dxa"/>
            <w:vAlign w:val="center"/>
          </w:tcPr>
          <w:p w14:paraId="2086407D" w14:textId="77777777" w:rsidR="00333A3D" w:rsidRPr="007C45C4" w:rsidRDefault="00333A3D" w:rsidP="00333A3D">
            <w:pPr>
              <w:pStyle w:val="RSCT03TableBody"/>
              <w:rPr>
                <w:b/>
                <w:lang w:val="en-US"/>
              </w:rPr>
            </w:pPr>
            <w:r w:rsidRPr="007C45C4">
              <w:rPr>
                <w:b/>
                <w:lang w:val="en-US"/>
              </w:rPr>
              <w:t>7</w:t>
            </w:r>
          </w:p>
        </w:tc>
        <w:tc>
          <w:tcPr>
            <w:tcW w:w="645" w:type="dxa"/>
            <w:vAlign w:val="center"/>
          </w:tcPr>
          <w:p w14:paraId="5964C3B7" w14:textId="77777777" w:rsidR="00333A3D" w:rsidRPr="007C45C4" w:rsidRDefault="00333A3D" w:rsidP="00333A3D">
            <w:pPr>
              <w:pStyle w:val="RSCT03TableBody"/>
              <w:rPr>
                <w:lang w:val="en-US"/>
              </w:rPr>
            </w:pPr>
            <w:r w:rsidRPr="007C45C4">
              <w:rPr>
                <w:lang w:val="en-US"/>
              </w:rPr>
              <w:t>1966</w:t>
            </w:r>
          </w:p>
        </w:tc>
        <w:tc>
          <w:tcPr>
            <w:tcW w:w="637" w:type="dxa"/>
            <w:vAlign w:val="center"/>
          </w:tcPr>
          <w:p w14:paraId="09B52830" w14:textId="77777777" w:rsidR="00333A3D" w:rsidRPr="007C45C4" w:rsidRDefault="00333A3D" w:rsidP="00333A3D">
            <w:pPr>
              <w:pStyle w:val="RSCT03TableBody"/>
              <w:rPr>
                <w:lang w:val="en-US"/>
              </w:rPr>
            </w:pPr>
            <w:r w:rsidRPr="007C45C4">
              <w:rPr>
                <w:lang w:val="en-US"/>
              </w:rPr>
              <w:t>1892</w:t>
            </w:r>
          </w:p>
        </w:tc>
        <w:tc>
          <w:tcPr>
            <w:tcW w:w="703" w:type="dxa"/>
            <w:vAlign w:val="center"/>
          </w:tcPr>
          <w:p w14:paraId="05D371B6" w14:textId="77777777" w:rsidR="00333A3D" w:rsidRPr="007C45C4" w:rsidRDefault="00333A3D" w:rsidP="00333A3D">
            <w:pPr>
              <w:pStyle w:val="RSCT03TableBody"/>
              <w:rPr>
                <w:lang w:val="en-US"/>
              </w:rPr>
            </w:pPr>
            <w:r w:rsidRPr="007C45C4">
              <w:rPr>
                <w:lang w:val="en-US"/>
              </w:rPr>
              <w:t>1062</w:t>
            </w:r>
          </w:p>
        </w:tc>
        <w:tc>
          <w:tcPr>
            <w:tcW w:w="562" w:type="dxa"/>
          </w:tcPr>
          <w:p w14:paraId="1BBE1668" w14:textId="77777777" w:rsidR="00333A3D" w:rsidRPr="007C45C4" w:rsidRDefault="00333A3D" w:rsidP="00333A3D">
            <w:pPr>
              <w:pStyle w:val="RSCT03TableBody"/>
              <w:rPr>
                <w:lang w:val="en-US"/>
              </w:rPr>
            </w:pPr>
            <w:r w:rsidRPr="007C45C4">
              <w:rPr>
                <w:lang w:val="en-US"/>
              </w:rPr>
              <w:t>560</w:t>
            </w:r>
          </w:p>
        </w:tc>
      </w:tr>
      <w:tr w:rsidR="00333A3D" w:rsidRPr="007C45C4" w14:paraId="467B26A6" w14:textId="77777777" w:rsidTr="003A7AE4">
        <w:tc>
          <w:tcPr>
            <w:tcW w:w="2523" w:type="dxa"/>
            <w:vAlign w:val="center"/>
          </w:tcPr>
          <w:p w14:paraId="30573926" w14:textId="77777777" w:rsidR="00333A3D" w:rsidRPr="007C45C4" w:rsidRDefault="00333A3D" w:rsidP="00333A3D">
            <w:pPr>
              <w:pStyle w:val="RSCT03TableBody"/>
              <w:rPr>
                <w:b/>
                <w:lang w:val="en-US"/>
              </w:rPr>
            </w:pPr>
            <w:r w:rsidRPr="007C45C4">
              <w:rPr>
                <w:rFonts w:cs="Arial"/>
                <w:bCs/>
                <w:szCs w:val="17"/>
                <w:lang w:val="en-US"/>
              </w:rPr>
              <w:t>[(η</w:t>
            </w:r>
            <w:r w:rsidRPr="007C45C4">
              <w:rPr>
                <w:rFonts w:cs="Arial"/>
                <w:bCs/>
                <w:szCs w:val="17"/>
                <w:vertAlign w:val="superscript"/>
                <w:lang w:val="en-US"/>
              </w:rPr>
              <w:t>5</w:t>
            </w:r>
            <w:r w:rsidRPr="007C45C4">
              <w:rPr>
                <w:rFonts w:cs="Arial"/>
                <w:bCs/>
                <w:szCs w:val="17"/>
                <w:lang w:val="en-US"/>
              </w:rPr>
              <w:t>-C</w:t>
            </w:r>
            <w:r w:rsidRPr="007C45C4">
              <w:rPr>
                <w:rFonts w:cs="Arial"/>
                <w:bCs/>
                <w:szCs w:val="17"/>
                <w:vertAlign w:val="subscript"/>
                <w:lang w:val="en-US"/>
              </w:rPr>
              <w:t>9</w:t>
            </w:r>
            <w:r w:rsidRPr="007C45C4">
              <w:rPr>
                <w:rFonts w:cs="Arial"/>
                <w:bCs/>
                <w:szCs w:val="17"/>
                <w:lang w:val="en-US"/>
              </w:rPr>
              <w:t>H</w:t>
            </w:r>
            <w:r w:rsidRPr="007C45C4">
              <w:rPr>
                <w:rFonts w:cs="Arial"/>
                <w:bCs/>
                <w:szCs w:val="17"/>
                <w:vertAlign w:val="subscript"/>
                <w:lang w:val="en-US"/>
              </w:rPr>
              <w:t>7</w:t>
            </w:r>
            <w:r w:rsidRPr="007C45C4">
              <w:rPr>
                <w:rFonts w:cs="Arial"/>
                <w:bCs/>
                <w:szCs w:val="17"/>
                <w:lang w:val="en-US"/>
              </w:rPr>
              <w:t>)(η</w:t>
            </w:r>
            <w:r w:rsidRPr="007C45C4">
              <w:rPr>
                <w:rFonts w:cs="Arial"/>
                <w:bCs/>
                <w:szCs w:val="17"/>
                <w:vertAlign w:val="superscript"/>
                <w:lang w:val="en-US"/>
              </w:rPr>
              <w:t>3</w:t>
            </w:r>
            <w:r w:rsidRPr="007C45C4">
              <w:rPr>
                <w:rFonts w:cs="Arial"/>
                <w:bCs/>
                <w:szCs w:val="17"/>
                <w:lang w:val="en-US"/>
              </w:rPr>
              <w:t>-C</w:t>
            </w:r>
            <w:r w:rsidRPr="007C45C4">
              <w:rPr>
                <w:rFonts w:cs="Arial"/>
                <w:bCs/>
                <w:szCs w:val="17"/>
                <w:vertAlign w:val="subscript"/>
                <w:lang w:val="en-US"/>
              </w:rPr>
              <w:t>3</w:t>
            </w:r>
            <w:r w:rsidRPr="007C45C4">
              <w:rPr>
                <w:rFonts w:cs="Arial"/>
                <w:bCs/>
                <w:szCs w:val="17"/>
                <w:lang w:val="en-US"/>
              </w:rPr>
              <w:t>H</w:t>
            </w:r>
            <w:r w:rsidRPr="007C45C4">
              <w:rPr>
                <w:rFonts w:cs="Arial"/>
                <w:bCs/>
                <w:szCs w:val="17"/>
                <w:vertAlign w:val="subscript"/>
                <w:lang w:val="en-US"/>
              </w:rPr>
              <w:t>5</w:t>
            </w:r>
            <w:r w:rsidRPr="007C45C4">
              <w:rPr>
                <w:rFonts w:cs="Arial"/>
                <w:bCs/>
                <w:szCs w:val="17"/>
                <w:lang w:val="en-US"/>
              </w:rPr>
              <w:t>)Mo(CO)</w:t>
            </w:r>
            <w:r w:rsidRPr="007C45C4">
              <w:rPr>
                <w:rFonts w:cs="Arial"/>
                <w:bCs/>
                <w:szCs w:val="17"/>
                <w:vertAlign w:val="subscript"/>
                <w:lang w:val="en-US"/>
              </w:rPr>
              <w:t>2</w:t>
            </w:r>
            <w:r w:rsidRPr="007C45C4">
              <w:rPr>
                <w:rFonts w:cs="Arial"/>
                <w:bCs/>
                <w:szCs w:val="17"/>
                <w:lang w:val="en-US"/>
              </w:rPr>
              <w:t>] </w:t>
            </w:r>
            <w:r w:rsidR="000D21C1" w:rsidRPr="007C45C4">
              <w:rPr>
                <w:rFonts w:cs="Arial"/>
                <w:bCs/>
                <w:szCs w:val="17"/>
                <w:lang w:val="en-US"/>
              </w:rPr>
              <w:fldChar w:fldCharType="begin" w:fldLock="1"/>
            </w:r>
            <w:r w:rsidRPr="007C45C4">
              <w:rPr>
                <w:rFonts w:cs="Arial"/>
                <w:bCs/>
                <w:szCs w:val="17"/>
                <w:lang w:val="en-US"/>
              </w:rPr>
              <w:instrText>ADDIN CSL_CITATION {"citationItems":[{"id":"ITEM-1","itemData":{"DOI":"http://dx.doi.org/10.1016/S0022-328X(00)95158-1","ISSN":"0022-328X","abstract":"Steric effects on π-allyl and π-indenyl orientation in molybdenum and tungsten complexes have been studied. Magnetic anistropies associated with indenyl derivatives have provided a definitive technique for determination of stereochemistry in these complexes. The steric factors which determine the stability of the orientations of the allyl moiety have been discussed. Generally π-cycloentadienyl or π-indenyl ligands have been considered to be essentially freely rotating. Analysis of the magnitude of the magnetic anisotropy arising from the benzene ring has suggested that there is relatively free rotation of the indenyl ligands, but there is a preferred conformation with the six-membered ring oriented over the allyl. Appropriate substitution on the allyl offers sufficient steric hindrance to make other conformations more probable.","author":[{"dropping-particle":"","family":"Faller","given":"J W","non-dropping-particle":"","parse-names":false,"suffix":""},{"dropping-particle":"","family":"Chen","given":"Chin-Chun","non-dropping-particle":"","parse-names":false,"suffix":""},{"dropping-particle":"","family":"Mattina","given":"M J","non-dropping-particle":"","parse-names":false,"suffix":""},{"dropping-particle":"","family":"Jakubowski","given":"A","non-dropping-particle":"","parse-names":false,"suffix":""}],"container-title":"Journal of Organometallic Chemistry","id":"ITEM-1","issue":"2","issued":{"date-parts":[["1973"]]},"page":"361-386","title":"Organometallic conformational equilbria","type":"article-journal","volume":"52"},"uris":["http://www.mendeley.com/documents/?uuid=800ce66b-96cc-445d-8da7-4b26c9e2d9fb"]}],"mendeley":{"formattedCitation":"&lt;sup&gt;22&lt;/sup&gt;","plainTextFormattedCitation":"22","previouslyFormattedCitation":"&lt;sup&gt;22&lt;/sup&gt;"},"properties":{"noteIndex":0},"schema":"https://github.com/citation-style-language/schema/raw/master/csl-citation.json"}</w:instrText>
            </w:r>
            <w:r w:rsidR="000D21C1" w:rsidRPr="007C45C4">
              <w:rPr>
                <w:rFonts w:cs="Arial"/>
                <w:bCs/>
                <w:szCs w:val="17"/>
                <w:lang w:val="en-US"/>
              </w:rPr>
              <w:fldChar w:fldCharType="separate"/>
            </w:r>
            <w:r w:rsidRPr="007C45C4">
              <w:rPr>
                <w:rFonts w:cs="Arial"/>
                <w:bCs/>
                <w:noProof/>
                <w:szCs w:val="17"/>
                <w:vertAlign w:val="superscript"/>
                <w:lang w:val="en-US"/>
              </w:rPr>
              <w:t>22</w:t>
            </w:r>
            <w:r w:rsidR="000D21C1" w:rsidRPr="007C45C4">
              <w:rPr>
                <w:rFonts w:cs="Arial"/>
                <w:bCs/>
                <w:szCs w:val="17"/>
                <w:lang w:val="en-US"/>
              </w:rPr>
              <w:fldChar w:fldCharType="end"/>
            </w:r>
          </w:p>
        </w:tc>
        <w:tc>
          <w:tcPr>
            <w:tcW w:w="645" w:type="dxa"/>
            <w:vAlign w:val="center"/>
          </w:tcPr>
          <w:p w14:paraId="1D38375B" w14:textId="77777777" w:rsidR="00333A3D" w:rsidRPr="007C45C4" w:rsidRDefault="00333A3D" w:rsidP="00333A3D">
            <w:pPr>
              <w:pStyle w:val="RSCT03TableBody"/>
              <w:rPr>
                <w:lang w:val="en-US"/>
              </w:rPr>
            </w:pPr>
            <w:r w:rsidRPr="007C45C4">
              <w:rPr>
                <w:lang w:val="en-US"/>
              </w:rPr>
              <w:t>1963</w:t>
            </w:r>
          </w:p>
        </w:tc>
        <w:tc>
          <w:tcPr>
            <w:tcW w:w="637" w:type="dxa"/>
            <w:vAlign w:val="center"/>
          </w:tcPr>
          <w:p w14:paraId="10B05BA7" w14:textId="77777777" w:rsidR="00333A3D" w:rsidRPr="007C45C4" w:rsidRDefault="00333A3D" w:rsidP="00333A3D">
            <w:pPr>
              <w:pStyle w:val="RSCT03TableBody"/>
              <w:rPr>
                <w:lang w:val="en-US"/>
              </w:rPr>
            </w:pPr>
            <w:r w:rsidRPr="007C45C4">
              <w:rPr>
                <w:lang w:val="en-US"/>
              </w:rPr>
              <w:t>1887</w:t>
            </w:r>
          </w:p>
        </w:tc>
        <w:tc>
          <w:tcPr>
            <w:tcW w:w="703" w:type="dxa"/>
            <w:vAlign w:val="center"/>
          </w:tcPr>
          <w:p w14:paraId="58B8D4FB" w14:textId="77777777" w:rsidR="00333A3D" w:rsidRPr="007C45C4" w:rsidRDefault="00333A3D" w:rsidP="00333A3D">
            <w:pPr>
              <w:pStyle w:val="RSCT03TableBody"/>
              <w:rPr>
                <w:lang w:val="en-US"/>
              </w:rPr>
            </w:pPr>
            <w:r w:rsidRPr="007C45C4">
              <w:rPr>
                <w:lang w:val="en-US"/>
              </w:rPr>
              <w:t>-</w:t>
            </w:r>
          </w:p>
        </w:tc>
        <w:tc>
          <w:tcPr>
            <w:tcW w:w="562" w:type="dxa"/>
          </w:tcPr>
          <w:p w14:paraId="45CF8DAE" w14:textId="77777777" w:rsidR="00333A3D" w:rsidRPr="007C45C4" w:rsidRDefault="00333A3D" w:rsidP="00333A3D">
            <w:pPr>
              <w:pStyle w:val="RSCT03TableBody"/>
              <w:rPr>
                <w:lang w:val="en-US"/>
              </w:rPr>
            </w:pPr>
            <w:r w:rsidRPr="007C45C4">
              <w:rPr>
                <w:lang w:val="en-US"/>
              </w:rPr>
              <w:t>-</w:t>
            </w:r>
          </w:p>
        </w:tc>
      </w:tr>
      <w:tr w:rsidR="00333A3D" w:rsidRPr="007C45C4" w14:paraId="1977A108" w14:textId="77777777" w:rsidTr="003A7AE4">
        <w:tc>
          <w:tcPr>
            <w:tcW w:w="2523" w:type="dxa"/>
            <w:vAlign w:val="center"/>
          </w:tcPr>
          <w:p w14:paraId="7D86915B" w14:textId="5B5F39C9" w:rsidR="00333A3D" w:rsidRPr="007C45C4" w:rsidRDefault="00333A3D" w:rsidP="003A7AE4">
            <w:pPr>
              <w:pStyle w:val="RSCT03TableBody"/>
              <w:rPr>
                <w:rFonts w:cs="Arial"/>
                <w:bCs/>
                <w:szCs w:val="17"/>
                <w:lang w:val="en-US"/>
              </w:rPr>
            </w:pPr>
            <w:r w:rsidRPr="007C45C4">
              <w:rPr>
                <w:rFonts w:cs="Arial"/>
                <w:szCs w:val="17"/>
                <w:lang w:val="en-US"/>
              </w:rPr>
              <w:t>[(η</w:t>
            </w:r>
            <w:r w:rsidRPr="007C45C4">
              <w:rPr>
                <w:rFonts w:cs="Arial"/>
                <w:szCs w:val="17"/>
                <w:vertAlign w:val="superscript"/>
                <w:lang w:val="en-US"/>
              </w:rPr>
              <w:t>5</w:t>
            </w:r>
            <w:r w:rsidR="003A7AE4" w:rsidRPr="007C45C4">
              <w:rPr>
                <w:rFonts w:cs="Arial"/>
                <w:szCs w:val="17"/>
                <w:lang w:val="en-US"/>
              </w:rPr>
              <w:t>-</w:t>
            </w:r>
            <w:r w:rsidRPr="007C45C4">
              <w:rPr>
                <w:rFonts w:cs="Arial"/>
                <w:szCs w:val="17"/>
                <w:lang w:val="en-US"/>
              </w:rPr>
              <w:t>C</w:t>
            </w:r>
            <w:r w:rsidRPr="007C45C4">
              <w:rPr>
                <w:rFonts w:cs="Arial"/>
                <w:szCs w:val="17"/>
                <w:vertAlign w:val="subscript"/>
                <w:lang w:val="en-US"/>
              </w:rPr>
              <w:t>9</w:t>
            </w:r>
            <w:r w:rsidRPr="007C45C4">
              <w:rPr>
                <w:rFonts w:cs="Arial"/>
                <w:szCs w:val="17"/>
                <w:lang w:val="en-US"/>
              </w:rPr>
              <w:t>H</w:t>
            </w:r>
            <w:r w:rsidRPr="007C45C4">
              <w:rPr>
                <w:rFonts w:cs="Arial"/>
                <w:szCs w:val="17"/>
                <w:vertAlign w:val="subscript"/>
                <w:lang w:val="en-US"/>
              </w:rPr>
              <w:t>7</w:t>
            </w:r>
            <w:r w:rsidRPr="007C45C4">
              <w:rPr>
                <w:rFonts w:cs="Arial"/>
                <w:szCs w:val="17"/>
                <w:lang w:val="en-US"/>
              </w:rPr>
              <w:t>)Mo(CO)</w:t>
            </w:r>
            <w:r w:rsidRPr="007C45C4">
              <w:rPr>
                <w:rFonts w:cs="Arial"/>
                <w:szCs w:val="17"/>
                <w:vertAlign w:val="subscript"/>
                <w:lang w:val="en-US"/>
              </w:rPr>
              <w:t>2</w:t>
            </w:r>
            <w:r w:rsidRPr="007C45C4">
              <w:rPr>
                <w:rFonts w:cs="Arial"/>
                <w:szCs w:val="17"/>
                <w:lang w:val="en-US"/>
              </w:rPr>
              <w:t>(</w:t>
            </w:r>
            <w:proofErr w:type="spellStart"/>
            <w:r w:rsidRPr="007C45C4">
              <w:rPr>
                <w:rFonts w:cs="Arial"/>
                <w:szCs w:val="17"/>
                <w:lang w:val="en-US"/>
              </w:rPr>
              <w:t>NCMe</w:t>
            </w:r>
            <w:proofErr w:type="spellEnd"/>
            <w:r w:rsidRPr="007C45C4">
              <w:rPr>
                <w:rFonts w:cs="Arial"/>
                <w:szCs w:val="17"/>
                <w:lang w:val="en-US"/>
              </w:rPr>
              <w:t>)</w:t>
            </w:r>
            <w:r w:rsidRPr="007C45C4">
              <w:rPr>
                <w:rFonts w:cs="Arial"/>
                <w:szCs w:val="17"/>
                <w:vertAlign w:val="subscript"/>
                <w:lang w:val="en-US"/>
              </w:rPr>
              <w:t>2</w:t>
            </w:r>
            <w:r w:rsidRPr="007C45C4">
              <w:rPr>
                <w:rFonts w:cs="Arial"/>
                <w:szCs w:val="17"/>
                <w:lang w:val="en-US"/>
              </w:rPr>
              <w:t>][BF</w:t>
            </w:r>
            <w:r w:rsidRPr="007C45C4">
              <w:rPr>
                <w:rFonts w:cs="Arial"/>
                <w:szCs w:val="17"/>
                <w:vertAlign w:val="subscript"/>
                <w:lang w:val="en-US"/>
              </w:rPr>
              <w:t>4</w:t>
            </w:r>
            <w:r w:rsidR="003A7AE4" w:rsidRPr="007C45C4">
              <w:rPr>
                <w:rFonts w:cs="Arial"/>
                <w:szCs w:val="17"/>
                <w:lang w:val="en-US"/>
              </w:rPr>
              <w:t xml:space="preserve">] </w:t>
            </w:r>
            <w:r w:rsidR="000D21C1" w:rsidRPr="007C45C4">
              <w:rPr>
                <w:rFonts w:cs="Arial"/>
                <w:szCs w:val="17"/>
                <w:lang w:val="en-US"/>
              </w:rPr>
              <w:fldChar w:fldCharType="begin" w:fldLock="1"/>
            </w:r>
            <w:r w:rsidRPr="007C45C4">
              <w:rPr>
                <w:rFonts w:cs="Arial"/>
                <w:szCs w:val="17"/>
                <w:lang w:val="en-US"/>
              </w:rPr>
              <w:instrText>ADDIN CSL_CITATION {"citationItems":[{"id":"ITEM-1","itemData":{"DOI":"10.1039/DT9770002365","ISSN":"0300-9246","abstract":"Reaction of [{Mo(CO)([small eta]-CH)}] with Ag[BF] in MeCN affords [Mo(CO)(NCMe)([small eta]-CH)][BF], which reacts with L = P(OMe), PhPCHCHPPh, buta-1,3-diene, isoprene, 2,3,-dimethylbuta-1,3-diene, or -penta-1,3,diene to form [Mo(CO)L([small eta]-CH)][BF]; alternatively, the 1,3-diene complexes, including those of cyclohexa-1,3,-diene and cyclo-octatetraene, can be formed directly from [{Mo(CO)([small eta]-CH)}], Ag[BF], and the 1,3-diene. Reaction of Na[BH] or 1-morpholinocyclopent-1-ene with the 1,3-diene cations results in regio-selective formation of the -substituted [small eta]-allyl complexes. Treatment of [Mo(CO)(NCMe)([small eta]-CH)][BF] with acetylenes or reaction of [{Mo(CO)([small eta]-CH)}] or [{Mo(CO)([small eta]-CH)}] with Ag[BF] and the respective acetylene in CHCl affords the 16-electron cations [Mo(CO)([small eta]-RCR[prime or minute])L[prime or minute]][BF](R = R[prime or minute]= Me or Ph; R = H, R[prime or minute]= Me; R = H, R[prime or minute]= Bu; L[prime or minute]=[small eta]-CH or [small eta]-CH). Reaction of these complexes with excess of P(OMe) gives [Mo([small eta]-RCR[prime or minute]){P(OMe)}L[prime or minute]][BF]. In contrast, with the bis(acetylene) cations the acetylene in the latter complexes readily undergoes propeller rotation.","author":[{"dropping-particle":"","family":"Bottrill","given":"Martin","non-dropping-particle":"","parse-names":false,"suffix":""},{"dropping-particle":"","family":"Green","given":"Michael","non-dropping-particle":"","parse-names":false,"suffix":""}],"container-title":"Journal of the Chemical Society, Dalton Transactions","id":"ITEM-1","issue":"23","issued":{"date-parts":[["1977"]]},"page":"2365-2371","publisher":"The Royal Society of Chemistry","title":"Reactions of co-ordinated ligands. Part 17. The synthesis and reactions of cationic [small eta]5-indenyl- and [small eta]-cyclopentadienyl-molybdenum complexes containing 1,3-diene and acetylene ligands","type":"article-journal"},"uris":["http://www.mendeley.com/documents/?uuid=12126ff8-e1b4-462a-b434-4fb9c005b79b"]}],"mendeley":{"formattedCitation":"&lt;sup&gt;33&lt;/sup&gt;","plainTextFormattedCitation":"33","previouslyFormattedCitation":"&lt;sup&gt;33&lt;/sup&gt;"},"properties":{"noteIndex":0},"schema":"https://github.com/citation-style-language/schema/raw/master/csl-citation.json"}</w:instrText>
            </w:r>
            <w:r w:rsidR="000D21C1" w:rsidRPr="007C45C4">
              <w:rPr>
                <w:rFonts w:cs="Arial"/>
                <w:szCs w:val="17"/>
                <w:lang w:val="en-US"/>
              </w:rPr>
              <w:fldChar w:fldCharType="separate"/>
            </w:r>
            <w:r w:rsidRPr="007C45C4">
              <w:rPr>
                <w:rFonts w:cs="Arial"/>
                <w:noProof/>
                <w:szCs w:val="17"/>
                <w:vertAlign w:val="superscript"/>
                <w:lang w:val="en-US"/>
              </w:rPr>
              <w:t>33</w:t>
            </w:r>
            <w:r w:rsidR="000D21C1" w:rsidRPr="007C45C4">
              <w:rPr>
                <w:rFonts w:cs="Arial"/>
                <w:szCs w:val="17"/>
                <w:lang w:val="en-US"/>
              </w:rPr>
              <w:fldChar w:fldCharType="end"/>
            </w:r>
          </w:p>
        </w:tc>
        <w:tc>
          <w:tcPr>
            <w:tcW w:w="645" w:type="dxa"/>
            <w:vAlign w:val="center"/>
          </w:tcPr>
          <w:p w14:paraId="2E835535" w14:textId="77777777" w:rsidR="00333A3D" w:rsidRPr="007C45C4" w:rsidRDefault="00333A3D" w:rsidP="00333A3D">
            <w:pPr>
              <w:pStyle w:val="RSCT03TableBody"/>
              <w:rPr>
                <w:lang w:val="en-US"/>
              </w:rPr>
            </w:pPr>
            <w:r w:rsidRPr="007C45C4">
              <w:rPr>
                <w:lang w:val="en-US"/>
              </w:rPr>
              <w:t>1970</w:t>
            </w:r>
          </w:p>
        </w:tc>
        <w:tc>
          <w:tcPr>
            <w:tcW w:w="637" w:type="dxa"/>
            <w:vAlign w:val="center"/>
          </w:tcPr>
          <w:p w14:paraId="7F68A38C" w14:textId="77777777" w:rsidR="00333A3D" w:rsidRPr="007C45C4" w:rsidRDefault="00333A3D" w:rsidP="00333A3D">
            <w:pPr>
              <w:pStyle w:val="RSCT03TableBody"/>
              <w:rPr>
                <w:lang w:val="en-US"/>
              </w:rPr>
            </w:pPr>
            <w:r w:rsidRPr="007C45C4">
              <w:rPr>
                <w:lang w:val="en-US"/>
              </w:rPr>
              <w:t>1880</w:t>
            </w:r>
          </w:p>
        </w:tc>
        <w:tc>
          <w:tcPr>
            <w:tcW w:w="703" w:type="dxa"/>
            <w:vAlign w:val="center"/>
          </w:tcPr>
          <w:p w14:paraId="6C573522" w14:textId="77777777" w:rsidR="00333A3D" w:rsidRPr="007C45C4" w:rsidRDefault="00333A3D" w:rsidP="00333A3D">
            <w:pPr>
              <w:pStyle w:val="RSCT03TableBody"/>
              <w:rPr>
                <w:lang w:val="en-US"/>
              </w:rPr>
            </w:pPr>
            <w:r w:rsidRPr="007C45C4">
              <w:rPr>
                <w:lang w:val="en-US"/>
              </w:rPr>
              <w:t>-</w:t>
            </w:r>
          </w:p>
        </w:tc>
        <w:tc>
          <w:tcPr>
            <w:tcW w:w="562" w:type="dxa"/>
          </w:tcPr>
          <w:p w14:paraId="689E3C2E" w14:textId="77777777" w:rsidR="00333A3D" w:rsidRPr="007C45C4" w:rsidRDefault="00333A3D" w:rsidP="00333A3D">
            <w:pPr>
              <w:pStyle w:val="RSCT03TableBody"/>
              <w:rPr>
                <w:lang w:val="en-US"/>
              </w:rPr>
            </w:pPr>
            <w:r w:rsidRPr="007C45C4">
              <w:rPr>
                <w:lang w:val="en-US"/>
              </w:rPr>
              <w:t>-</w:t>
            </w:r>
          </w:p>
        </w:tc>
      </w:tr>
    </w:tbl>
    <w:p w14:paraId="18478983" w14:textId="1BDFE188" w:rsidR="007A2087" w:rsidRPr="007C45C4" w:rsidRDefault="008F2154" w:rsidP="002F50C4">
      <w:pPr>
        <w:pStyle w:val="RSCT04TableFootnotewithbottombar"/>
        <w:rPr>
          <w:lang w:val="en-US"/>
        </w:rPr>
      </w:pPr>
      <w:proofErr w:type="gramStart"/>
      <w:r w:rsidRPr="007C45C4">
        <w:rPr>
          <w:i/>
          <w:vertAlign w:val="superscript"/>
          <w:lang w:val="en-US"/>
        </w:rPr>
        <w:t>a</w:t>
      </w:r>
      <w:proofErr w:type="gramEnd"/>
      <w:r w:rsidR="002F50C4" w:rsidRPr="007C45C4">
        <w:rPr>
          <w:lang w:val="en-US"/>
        </w:rPr>
        <w:t xml:space="preserve"> Wavenumbers are given in cm</w:t>
      </w:r>
      <w:r w:rsidR="002F50C4" w:rsidRPr="007C45C4">
        <w:rPr>
          <w:vertAlign w:val="superscript"/>
          <w:lang w:val="en-US"/>
        </w:rPr>
        <w:t>–1</w:t>
      </w:r>
      <w:r w:rsidR="002F50C4" w:rsidRPr="007C45C4">
        <w:rPr>
          <w:lang w:val="en-US"/>
        </w:rPr>
        <w:t>.</w:t>
      </w:r>
    </w:p>
    <w:p w14:paraId="0B732D7A" w14:textId="77777777" w:rsidR="00973FE9" w:rsidRPr="007C45C4" w:rsidRDefault="007A2087" w:rsidP="00973FE9">
      <w:pPr>
        <w:pStyle w:val="RSCB06BHeadingSub-Section"/>
        <w:rPr>
          <w:lang w:val="en-US"/>
        </w:rPr>
      </w:pPr>
      <w:r w:rsidRPr="007C45C4">
        <w:rPr>
          <w:lang w:val="en-US"/>
        </w:rPr>
        <w:t xml:space="preserve">Synthesis of complexes with </w:t>
      </w:r>
      <w:r w:rsidRPr="007C45C4">
        <w:rPr>
          <w:i/>
          <w:lang w:val="en-US"/>
        </w:rPr>
        <w:t>N</w:t>
      </w:r>
      <w:proofErr w:type="gramStart"/>
      <w:r w:rsidRPr="007C45C4">
        <w:rPr>
          <w:i/>
          <w:lang w:val="en-US"/>
        </w:rPr>
        <w:t>,N</w:t>
      </w:r>
      <w:proofErr w:type="gramEnd"/>
      <w:r w:rsidRPr="007C45C4">
        <w:rPr>
          <w:lang w:val="en-US"/>
        </w:rPr>
        <w:t>-chelating ligands</w:t>
      </w:r>
    </w:p>
    <w:p w14:paraId="1C6D047D" w14:textId="6BBB723A" w:rsidR="004C6201" w:rsidRPr="004C6201" w:rsidRDefault="00D96CCB" w:rsidP="004C6201">
      <w:pPr>
        <w:pStyle w:val="RSCB02ArticleText"/>
        <w:rPr>
          <w:rFonts w:cs="Arial"/>
          <w:lang w:val="en-US"/>
        </w:rPr>
      </w:pPr>
      <w:r w:rsidRPr="007C45C4">
        <w:rPr>
          <w:rFonts w:cs="Arial"/>
          <w:bCs/>
          <w:szCs w:val="17"/>
          <w:lang w:val="en-US"/>
        </w:rPr>
        <w:t xml:space="preserve">As expected, acetonitrile ligands of </w:t>
      </w:r>
      <w:r w:rsidRPr="007C45C4">
        <w:rPr>
          <w:rFonts w:cs="Arial"/>
          <w:b/>
          <w:bCs/>
          <w:szCs w:val="17"/>
          <w:lang w:val="en-US"/>
        </w:rPr>
        <w:t>3</w:t>
      </w:r>
      <w:r w:rsidRPr="007C45C4">
        <w:rPr>
          <w:rFonts w:cs="Arial"/>
          <w:bCs/>
          <w:szCs w:val="17"/>
          <w:lang w:val="en-US"/>
        </w:rPr>
        <w:t xml:space="preserve"> are readily exchange by various </w:t>
      </w:r>
      <w:r w:rsidRPr="007C45C4">
        <w:rPr>
          <w:rFonts w:cs="Arial"/>
          <w:bCs/>
          <w:i/>
          <w:szCs w:val="17"/>
          <w:lang w:val="en-US"/>
        </w:rPr>
        <w:t>N</w:t>
      </w:r>
      <w:r w:rsidRPr="007C45C4">
        <w:rPr>
          <w:rFonts w:cs="Arial"/>
          <w:bCs/>
          <w:szCs w:val="17"/>
          <w:lang w:val="en-US"/>
        </w:rPr>
        <w:t>,</w:t>
      </w:r>
      <w:r w:rsidRPr="007C45C4">
        <w:rPr>
          <w:rFonts w:cs="Arial"/>
          <w:bCs/>
          <w:i/>
          <w:szCs w:val="17"/>
          <w:lang w:val="en-US"/>
        </w:rPr>
        <w:t>N</w:t>
      </w:r>
      <w:r w:rsidRPr="007C45C4">
        <w:rPr>
          <w:rFonts w:cs="Arial"/>
          <w:bCs/>
          <w:szCs w:val="17"/>
          <w:lang w:val="en-US"/>
        </w:rPr>
        <w:t>-chelates, including 1,10-phenanthroline (</w:t>
      </w:r>
      <w:proofErr w:type="spellStart"/>
      <w:r w:rsidRPr="007C45C4">
        <w:rPr>
          <w:rFonts w:cs="Arial"/>
          <w:bCs/>
          <w:szCs w:val="17"/>
          <w:lang w:val="en-US"/>
        </w:rPr>
        <w:t>phen</w:t>
      </w:r>
      <w:proofErr w:type="spellEnd"/>
      <w:r w:rsidRPr="007C45C4">
        <w:rPr>
          <w:rFonts w:cs="Arial"/>
          <w:bCs/>
          <w:szCs w:val="17"/>
          <w:lang w:val="en-US"/>
        </w:rPr>
        <w:t>), 4,7-diphenyl-1,10-phenanthroline (Ph</w:t>
      </w:r>
      <w:r w:rsidRPr="007C45C4">
        <w:rPr>
          <w:rFonts w:cs="Arial"/>
          <w:bCs/>
          <w:szCs w:val="17"/>
          <w:vertAlign w:val="subscript"/>
          <w:lang w:val="en-US"/>
        </w:rPr>
        <w:t>2</w:t>
      </w:r>
      <w:r w:rsidRPr="007C45C4">
        <w:rPr>
          <w:rFonts w:cs="Arial"/>
          <w:bCs/>
          <w:szCs w:val="17"/>
          <w:lang w:val="en-US"/>
        </w:rPr>
        <w:t>phen), 1,10-phenanthroline-5-amine (NH</w:t>
      </w:r>
      <w:r w:rsidRPr="007C45C4">
        <w:rPr>
          <w:rFonts w:cs="Arial"/>
          <w:bCs/>
          <w:szCs w:val="17"/>
          <w:vertAlign w:val="subscript"/>
          <w:lang w:val="en-US"/>
        </w:rPr>
        <w:t>2</w:t>
      </w:r>
      <w:r w:rsidRPr="007C45C4">
        <w:rPr>
          <w:rFonts w:cs="Arial"/>
          <w:bCs/>
          <w:szCs w:val="17"/>
          <w:lang w:val="en-US"/>
        </w:rPr>
        <w:t>phen) or 2,2'-bipyridine (</w:t>
      </w:r>
      <w:proofErr w:type="spellStart"/>
      <w:r w:rsidRPr="007C45C4">
        <w:rPr>
          <w:rFonts w:cs="Arial"/>
          <w:bCs/>
          <w:szCs w:val="17"/>
          <w:lang w:val="en-US"/>
        </w:rPr>
        <w:t>bpy</w:t>
      </w:r>
      <w:proofErr w:type="spellEnd"/>
      <w:r w:rsidRPr="007C45C4">
        <w:rPr>
          <w:rFonts w:cs="Arial"/>
          <w:bCs/>
          <w:szCs w:val="17"/>
          <w:lang w:val="en-US"/>
        </w:rPr>
        <w:t xml:space="preserve">), to afford complexes of type </w:t>
      </w:r>
      <w:r w:rsidRPr="007C45C4">
        <w:rPr>
          <w:rFonts w:cs="Arial"/>
          <w:szCs w:val="17"/>
          <w:lang w:val="en-US"/>
        </w:rPr>
        <w:t>[(η</w:t>
      </w:r>
      <w:r w:rsidRPr="007C45C4">
        <w:rPr>
          <w:rFonts w:cs="Arial"/>
          <w:szCs w:val="17"/>
          <w:vertAlign w:val="superscript"/>
          <w:lang w:val="en-US"/>
        </w:rPr>
        <w:t>5</w:t>
      </w:r>
      <w:r w:rsidRPr="007C45C4">
        <w:rPr>
          <w:rFonts w:cs="Arial"/>
          <w:szCs w:val="17"/>
          <w:lang w:val="en-US"/>
        </w:rPr>
        <w:noBreakHyphen/>
        <w:t>C</w:t>
      </w:r>
      <w:r w:rsidRPr="007C45C4">
        <w:rPr>
          <w:rFonts w:cs="Arial"/>
          <w:szCs w:val="17"/>
          <w:vertAlign w:val="subscript"/>
          <w:lang w:val="en-US"/>
        </w:rPr>
        <w:t>9</w:t>
      </w:r>
      <w:r w:rsidRPr="007C45C4">
        <w:rPr>
          <w:rFonts w:cs="Arial"/>
          <w:szCs w:val="17"/>
          <w:lang w:val="en-US"/>
        </w:rPr>
        <w:t>H</w:t>
      </w:r>
      <w:r w:rsidRPr="007C45C4">
        <w:rPr>
          <w:rFonts w:cs="Arial"/>
          <w:szCs w:val="17"/>
          <w:vertAlign w:val="subscript"/>
          <w:lang w:val="en-US"/>
        </w:rPr>
        <w:t>6</w:t>
      </w:r>
      <w:r w:rsidRPr="007C45C4">
        <w:rPr>
          <w:rFonts w:cs="Arial"/>
          <w:szCs w:val="17"/>
          <w:lang w:val="en-US"/>
        </w:rPr>
        <w:t>CH</w:t>
      </w:r>
      <w:r w:rsidRPr="007C45C4">
        <w:rPr>
          <w:rFonts w:cs="Arial"/>
          <w:szCs w:val="17"/>
          <w:vertAlign w:val="subscript"/>
          <w:lang w:val="en-US"/>
        </w:rPr>
        <w:t>2</w:t>
      </w:r>
      <w:r w:rsidRPr="007C45C4">
        <w:rPr>
          <w:rFonts w:cs="Arial"/>
          <w:szCs w:val="17"/>
          <w:lang w:val="en-US"/>
        </w:rPr>
        <w:t>C</w:t>
      </w:r>
      <w:r w:rsidRPr="007C45C4">
        <w:rPr>
          <w:rFonts w:cs="Arial"/>
          <w:szCs w:val="17"/>
          <w:vertAlign w:val="subscript"/>
          <w:lang w:val="en-US"/>
        </w:rPr>
        <w:t>4</w:t>
      </w:r>
      <w:r w:rsidRPr="007C45C4">
        <w:rPr>
          <w:rFonts w:cs="Arial"/>
          <w:szCs w:val="17"/>
          <w:lang w:val="en-US"/>
        </w:rPr>
        <w:t>H</w:t>
      </w:r>
      <w:r w:rsidRPr="007C45C4">
        <w:rPr>
          <w:rFonts w:cs="Arial"/>
          <w:szCs w:val="17"/>
          <w:vertAlign w:val="subscript"/>
          <w:lang w:val="en-US"/>
        </w:rPr>
        <w:t>3</w:t>
      </w:r>
      <w:r w:rsidRPr="007C45C4">
        <w:rPr>
          <w:rFonts w:cs="Arial"/>
          <w:szCs w:val="17"/>
          <w:lang w:val="en-US"/>
        </w:rPr>
        <w:t>S)Mo(CO)</w:t>
      </w:r>
      <w:r w:rsidRPr="007C45C4">
        <w:rPr>
          <w:rFonts w:cs="Arial"/>
          <w:szCs w:val="17"/>
          <w:vertAlign w:val="subscript"/>
          <w:lang w:val="en-US"/>
        </w:rPr>
        <w:t>2</w:t>
      </w:r>
      <w:r w:rsidRPr="007C45C4">
        <w:rPr>
          <w:rFonts w:cs="Arial"/>
          <w:szCs w:val="17"/>
          <w:lang w:val="en-US"/>
        </w:rPr>
        <w:t>L</w:t>
      </w:r>
      <w:r w:rsidRPr="007C45C4">
        <w:rPr>
          <w:rFonts w:cs="Arial"/>
          <w:szCs w:val="17"/>
          <w:vertAlign w:val="subscript"/>
          <w:lang w:val="en-US"/>
        </w:rPr>
        <w:t>2</w:t>
      </w:r>
      <w:r w:rsidRPr="007C45C4">
        <w:rPr>
          <w:rFonts w:cs="Arial"/>
          <w:szCs w:val="17"/>
          <w:lang w:val="en-US"/>
        </w:rPr>
        <w:t>][BF</w:t>
      </w:r>
      <w:r w:rsidRPr="007C45C4">
        <w:rPr>
          <w:rFonts w:cs="Arial"/>
          <w:szCs w:val="17"/>
          <w:vertAlign w:val="subscript"/>
          <w:lang w:val="en-US"/>
        </w:rPr>
        <w:t>4</w:t>
      </w:r>
      <w:r w:rsidRPr="007C45C4">
        <w:rPr>
          <w:rFonts w:cs="Arial"/>
          <w:szCs w:val="17"/>
          <w:lang w:val="en-US"/>
        </w:rPr>
        <w:t>], where L</w:t>
      </w:r>
      <w:r w:rsidRPr="007C45C4">
        <w:rPr>
          <w:rFonts w:cs="Arial"/>
          <w:szCs w:val="17"/>
          <w:vertAlign w:val="subscript"/>
          <w:lang w:val="en-US"/>
        </w:rPr>
        <w:t>2</w:t>
      </w:r>
      <w:r w:rsidR="00A82FE0" w:rsidRPr="007C45C4">
        <w:rPr>
          <w:rFonts w:cs="Arial"/>
          <w:szCs w:val="17"/>
          <w:vertAlign w:val="subscript"/>
          <w:lang w:val="en-US"/>
        </w:rPr>
        <w:t xml:space="preserve"> </w:t>
      </w:r>
      <w:r w:rsidRPr="007C45C4">
        <w:rPr>
          <w:rFonts w:cs="Arial"/>
          <w:szCs w:val="17"/>
          <w:lang w:val="en-US"/>
        </w:rPr>
        <w:t>=</w:t>
      </w:r>
      <w:r w:rsidR="00A82FE0" w:rsidRPr="007C45C4">
        <w:rPr>
          <w:rFonts w:cs="Arial"/>
          <w:szCs w:val="17"/>
          <w:lang w:val="en-US"/>
        </w:rPr>
        <w:t xml:space="preserve"> </w:t>
      </w:r>
      <w:proofErr w:type="spellStart"/>
      <w:r w:rsidRPr="007C45C4">
        <w:rPr>
          <w:rFonts w:cs="Arial"/>
          <w:szCs w:val="17"/>
          <w:lang w:val="en-US"/>
        </w:rPr>
        <w:t>bpy</w:t>
      </w:r>
      <w:proofErr w:type="spellEnd"/>
      <w:r w:rsidRPr="007C45C4">
        <w:rPr>
          <w:rFonts w:cs="Arial"/>
          <w:szCs w:val="17"/>
          <w:lang w:val="en-US"/>
        </w:rPr>
        <w:t>(</w:t>
      </w:r>
      <w:r w:rsidRPr="007C45C4">
        <w:rPr>
          <w:rFonts w:cs="Arial"/>
          <w:b/>
          <w:szCs w:val="17"/>
          <w:lang w:val="en-US"/>
        </w:rPr>
        <w:t>4</w:t>
      </w:r>
      <w:r w:rsidRPr="007C45C4">
        <w:rPr>
          <w:rFonts w:cs="Arial"/>
          <w:szCs w:val="17"/>
          <w:lang w:val="en-US"/>
        </w:rPr>
        <w:t>), L</w:t>
      </w:r>
      <w:r w:rsidRPr="007C45C4">
        <w:rPr>
          <w:rFonts w:cs="Arial"/>
          <w:szCs w:val="17"/>
          <w:vertAlign w:val="subscript"/>
          <w:lang w:val="en-US"/>
        </w:rPr>
        <w:t>2</w:t>
      </w:r>
      <w:r w:rsidRPr="007C45C4">
        <w:rPr>
          <w:rFonts w:cs="Arial"/>
          <w:szCs w:val="17"/>
          <w:lang w:val="en-US"/>
        </w:rPr>
        <w:t xml:space="preserve"> = </w:t>
      </w:r>
      <w:proofErr w:type="spellStart"/>
      <w:r w:rsidRPr="007C45C4">
        <w:rPr>
          <w:rFonts w:cs="Arial"/>
          <w:szCs w:val="17"/>
          <w:lang w:val="en-US"/>
        </w:rPr>
        <w:t>phen</w:t>
      </w:r>
      <w:proofErr w:type="spellEnd"/>
      <w:r w:rsidRPr="007C45C4">
        <w:rPr>
          <w:rFonts w:cs="Arial"/>
          <w:szCs w:val="17"/>
          <w:lang w:val="en-US"/>
        </w:rPr>
        <w:t xml:space="preserve"> (</w:t>
      </w:r>
      <w:r w:rsidRPr="007C45C4">
        <w:rPr>
          <w:rFonts w:cs="Arial"/>
          <w:b/>
          <w:szCs w:val="17"/>
          <w:lang w:val="en-US"/>
        </w:rPr>
        <w:t>5</w:t>
      </w:r>
      <w:r w:rsidRPr="007C45C4">
        <w:rPr>
          <w:rFonts w:cs="Arial"/>
          <w:szCs w:val="17"/>
          <w:lang w:val="en-US"/>
        </w:rPr>
        <w:t>), L</w:t>
      </w:r>
      <w:r w:rsidRPr="007C45C4">
        <w:rPr>
          <w:rFonts w:cs="Arial"/>
          <w:szCs w:val="17"/>
          <w:vertAlign w:val="subscript"/>
          <w:lang w:val="en-US"/>
        </w:rPr>
        <w:t>2</w:t>
      </w:r>
      <w:r w:rsidRPr="007C45C4">
        <w:rPr>
          <w:rFonts w:cs="Arial"/>
          <w:szCs w:val="17"/>
          <w:lang w:val="en-US"/>
        </w:rPr>
        <w:t xml:space="preserve"> = Ph</w:t>
      </w:r>
      <w:r w:rsidRPr="007C45C4">
        <w:rPr>
          <w:rFonts w:cs="Arial"/>
          <w:szCs w:val="17"/>
          <w:vertAlign w:val="subscript"/>
          <w:lang w:val="en-US"/>
        </w:rPr>
        <w:t>2</w:t>
      </w:r>
      <w:r w:rsidRPr="007C45C4">
        <w:rPr>
          <w:rFonts w:cs="Arial"/>
          <w:szCs w:val="17"/>
          <w:lang w:val="en-US"/>
        </w:rPr>
        <w:t>phen (</w:t>
      </w:r>
      <w:r w:rsidRPr="007C45C4">
        <w:rPr>
          <w:rFonts w:cs="Arial"/>
          <w:b/>
          <w:szCs w:val="17"/>
          <w:lang w:val="en-US"/>
        </w:rPr>
        <w:t>6</w:t>
      </w:r>
      <w:r w:rsidRPr="007C45C4">
        <w:rPr>
          <w:rFonts w:cs="Arial"/>
          <w:szCs w:val="17"/>
          <w:lang w:val="en-US"/>
        </w:rPr>
        <w:t>) and L</w:t>
      </w:r>
      <w:r w:rsidRPr="007C45C4">
        <w:rPr>
          <w:rFonts w:cs="Arial"/>
          <w:szCs w:val="17"/>
          <w:vertAlign w:val="subscript"/>
          <w:lang w:val="en-US"/>
        </w:rPr>
        <w:t>2</w:t>
      </w:r>
      <w:r w:rsidRPr="007C45C4">
        <w:rPr>
          <w:rFonts w:cs="Arial"/>
          <w:szCs w:val="17"/>
          <w:lang w:val="en-US"/>
        </w:rPr>
        <w:t xml:space="preserve"> = NH</w:t>
      </w:r>
      <w:r w:rsidRPr="007C45C4">
        <w:rPr>
          <w:rFonts w:cs="Arial"/>
          <w:szCs w:val="17"/>
          <w:vertAlign w:val="subscript"/>
          <w:lang w:val="en-US"/>
        </w:rPr>
        <w:t>2</w:t>
      </w:r>
      <w:r w:rsidRPr="007C45C4">
        <w:rPr>
          <w:rFonts w:cs="Arial"/>
          <w:szCs w:val="17"/>
          <w:lang w:val="en-US"/>
        </w:rPr>
        <w:t>phen (</w:t>
      </w:r>
      <w:r w:rsidRPr="007C45C4">
        <w:rPr>
          <w:rFonts w:cs="Arial"/>
          <w:b/>
          <w:szCs w:val="17"/>
          <w:lang w:val="en-US"/>
        </w:rPr>
        <w:t>7</w:t>
      </w:r>
      <w:r w:rsidRPr="007C45C4">
        <w:rPr>
          <w:rFonts w:cs="Arial"/>
          <w:szCs w:val="17"/>
          <w:lang w:val="en-US"/>
        </w:rPr>
        <w:t>); Scheme 3.</w:t>
      </w:r>
      <w:r w:rsidRPr="007C45C4">
        <w:rPr>
          <w:rFonts w:cs="Arial"/>
          <w:lang w:val="en-US"/>
        </w:rPr>
        <w:t xml:space="preserve"> Considering cationic character of </w:t>
      </w:r>
      <w:r w:rsidRPr="007C45C4">
        <w:rPr>
          <w:rFonts w:cs="Arial"/>
          <w:b/>
          <w:lang w:val="en-US"/>
        </w:rPr>
        <w:t>4</w:t>
      </w:r>
      <w:r w:rsidRPr="007C45C4">
        <w:rPr>
          <w:rFonts w:cs="Arial"/>
          <w:lang w:val="en-US"/>
        </w:rPr>
        <w:sym w:font="Symbol" w:char="F02D"/>
      </w:r>
      <w:proofErr w:type="gramStart"/>
      <w:r w:rsidRPr="007C45C4">
        <w:rPr>
          <w:rFonts w:cs="Arial"/>
          <w:b/>
          <w:lang w:val="en-US"/>
        </w:rPr>
        <w:t>7</w:t>
      </w:r>
      <w:proofErr w:type="gramEnd"/>
      <w:r w:rsidRPr="007C45C4">
        <w:rPr>
          <w:rFonts w:cs="Arial"/>
          <w:lang w:val="en-US"/>
        </w:rPr>
        <w:t xml:space="preserve"> the complexes were elucidated by MS. The base peaks in spectra (for details see Table 1) revealed formation of appropriate species and a progression in the isotope pattern by m/z = </w:t>
      </w:r>
      <w:proofErr w:type="gramStart"/>
      <w:r w:rsidRPr="007C45C4">
        <w:rPr>
          <w:rFonts w:cs="Arial"/>
          <w:lang w:val="en-US"/>
        </w:rPr>
        <w:t>1</w:t>
      </w:r>
      <w:proofErr w:type="gramEnd"/>
      <w:r w:rsidRPr="007C45C4">
        <w:rPr>
          <w:rFonts w:cs="Arial"/>
          <w:lang w:val="en-US"/>
        </w:rPr>
        <w:t xml:space="preserve"> proving </w:t>
      </w:r>
      <w:proofErr w:type="spellStart"/>
      <w:r w:rsidRPr="007C45C4">
        <w:rPr>
          <w:rFonts w:cs="Arial"/>
          <w:lang w:val="en-US"/>
        </w:rPr>
        <w:t>monoanionic</w:t>
      </w:r>
      <w:proofErr w:type="spellEnd"/>
      <w:r w:rsidRPr="007C45C4">
        <w:rPr>
          <w:rFonts w:cs="Arial"/>
          <w:lang w:val="en-US"/>
        </w:rPr>
        <w:t xml:space="preserve"> character of </w:t>
      </w:r>
      <w:r w:rsidRPr="007C45C4">
        <w:rPr>
          <w:rFonts w:cs="Arial"/>
          <w:b/>
          <w:lang w:val="en-US"/>
        </w:rPr>
        <w:t>4</w:t>
      </w:r>
      <w:r w:rsidRPr="007C45C4">
        <w:rPr>
          <w:rFonts w:cs="Arial"/>
          <w:lang w:val="en-US"/>
        </w:rPr>
        <w:sym w:font="Symbol" w:char="F02D"/>
      </w:r>
      <w:r w:rsidRPr="007C45C4">
        <w:rPr>
          <w:rFonts w:cs="Arial"/>
          <w:b/>
          <w:lang w:val="en-US"/>
        </w:rPr>
        <w:t>7</w:t>
      </w:r>
      <w:r w:rsidRPr="007C45C4">
        <w:rPr>
          <w:rFonts w:cs="Arial"/>
          <w:lang w:val="en-US"/>
        </w:rPr>
        <w:t>.</w:t>
      </w:r>
    </w:p>
    <w:p w14:paraId="1D51E3DD" w14:textId="77777777" w:rsidR="004C6201" w:rsidRPr="007C45C4" w:rsidRDefault="004C6201" w:rsidP="004C6201">
      <w:pPr>
        <w:pStyle w:val="RSCT01TableTitlewithtopbar"/>
        <w:rPr>
          <w:lang w:val="en-US"/>
        </w:rPr>
      </w:pPr>
      <w:r w:rsidRPr="00EB3290">
        <w:rPr>
          <w:rStyle w:val="RSCI04CaptiontoFigureSchemeChartChar"/>
          <w:b/>
          <w:lang w:val="en-US"/>
        </w:rPr>
        <w:t xml:space="preserve">Table </w:t>
      </w:r>
      <w:proofErr w:type="gramStart"/>
      <w:r w:rsidRPr="00EB3290">
        <w:rPr>
          <w:rStyle w:val="RSCI04CaptiontoFigureSchemeChartChar"/>
          <w:b/>
          <w:lang w:val="en-US"/>
        </w:rPr>
        <w:t>2</w:t>
      </w:r>
      <w:proofErr w:type="gramEnd"/>
      <w:r>
        <w:rPr>
          <w:rStyle w:val="RSCI04CaptiontoFigureSchemeChartChar"/>
          <w:lang w:val="en-US"/>
        </w:rPr>
        <w:t xml:space="preserve"> </w:t>
      </w:r>
      <w:r w:rsidRPr="007C45C4">
        <w:rPr>
          <w:rStyle w:val="RSCI04CaptiontoFigureSchemeChartChar"/>
          <w:lang w:val="en-US"/>
        </w:rPr>
        <w:t xml:space="preserve">Structural parameters </w:t>
      </w:r>
      <w:r w:rsidRPr="007C45C4">
        <w:rPr>
          <w:rStyle w:val="RSCI04CaptiontoFigureSchemeChartChar"/>
          <w:lang w:val="en-US"/>
        </w:rPr>
        <w:sym w:font="Symbol" w:char="F044"/>
      </w:r>
      <w:r w:rsidRPr="007C45C4">
        <w:rPr>
          <w:rStyle w:val="RSCI04CaptiontoFigureSchemeChartChar"/>
          <w:lang w:val="en-US"/>
        </w:rPr>
        <w:t>(M</w:t>
      </w:r>
      <w:r w:rsidRPr="007C45C4">
        <w:rPr>
          <w:rStyle w:val="RSCI04CaptiontoFigureSchemeChartChar"/>
          <w:lang w:val="en-US"/>
        </w:rPr>
        <w:sym w:font="Symbol" w:char="F02D"/>
      </w:r>
      <w:r w:rsidRPr="007C45C4">
        <w:rPr>
          <w:rStyle w:val="RSCI04CaptiontoFigureSchemeChartChar"/>
          <w:lang w:val="en-US"/>
        </w:rPr>
        <w:t xml:space="preserve">C) and </w:t>
      </w:r>
      <w:r w:rsidRPr="007C45C4">
        <w:rPr>
          <w:rStyle w:val="RSCI04CaptiontoFigureSchemeChartChar"/>
          <w:lang w:val="en-US"/>
        </w:rPr>
        <w:sym w:font="Symbol" w:char="F057"/>
      </w:r>
      <w:r w:rsidRPr="007C45C4">
        <w:rPr>
          <w:rStyle w:val="RSCI04CaptiontoFigureSchemeChartChar"/>
          <w:lang w:val="en-US"/>
        </w:rPr>
        <w:t xml:space="preserve"> of indenyl molybdenum complexes</w:t>
      </w:r>
      <w:r w:rsidRPr="007C45C4">
        <w:rPr>
          <w:rFonts w:cs="Arial"/>
          <w:lang w:val="en-US"/>
        </w:rPr>
        <w:t>.</w:t>
      </w:r>
    </w:p>
    <w:tbl>
      <w:tblPr>
        <w:tblStyle w:val="Mkatabulky"/>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992"/>
        <w:gridCol w:w="901"/>
      </w:tblGrid>
      <w:tr w:rsidR="004C6201" w:rsidRPr="007C45C4" w14:paraId="6E82CED1" w14:textId="77777777" w:rsidTr="00CA7AD4">
        <w:tc>
          <w:tcPr>
            <w:tcW w:w="2972" w:type="dxa"/>
            <w:tcBorders>
              <w:bottom w:val="single" w:sz="6" w:space="0" w:color="auto"/>
            </w:tcBorders>
            <w:vAlign w:val="center"/>
          </w:tcPr>
          <w:p w14:paraId="699F4E74" w14:textId="77777777" w:rsidR="004C6201" w:rsidRPr="007C45C4" w:rsidRDefault="004C6201" w:rsidP="00CA7AD4">
            <w:pPr>
              <w:pStyle w:val="RSCT03TableBody"/>
              <w:rPr>
                <w:lang w:val="en-US"/>
              </w:rPr>
            </w:pPr>
          </w:p>
        </w:tc>
        <w:tc>
          <w:tcPr>
            <w:tcW w:w="992" w:type="dxa"/>
            <w:tcBorders>
              <w:bottom w:val="single" w:sz="6" w:space="0" w:color="auto"/>
            </w:tcBorders>
            <w:vAlign w:val="center"/>
          </w:tcPr>
          <w:p w14:paraId="1F91A8AF" w14:textId="77777777" w:rsidR="004C6201" w:rsidRPr="007C45C4" w:rsidRDefault="004C6201" w:rsidP="00CA7AD4">
            <w:pPr>
              <w:pStyle w:val="RSCT03TableBody"/>
              <w:rPr>
                <w:lang w:val="en-US"/>
              </w:rPr>
            </w:pPr>
            <w:r w:rsidRPr="007C45C4">
              <w:rPr>
                <w:lang w:val="en-US"/>
              </w:rPr>
              <w:sym w:font="Symbol" w:char="F044"/>
            </w:r>
            <w:r w:rsidRPr="007C45C4">
              <w:rPr>
                <w:lang w:val="en-US"/>
              </w:rPr>
              <w:t>(M</w:t>
            </w:r>
            <w:r w:rsidRPr="007C45C4">
              <w:rPr>
                <w:lang w:val="en-US"/>
              </w:rPr>
              <w:sym w:font="Symbol" w:char="F02D"/>
            </w:r>
            <w:r w:rsidRPr="007C45C4">
              <w:rPr>
                <w:lang w:val="en-US"/>
              </w:rPr>
              <w:t xml:space="preserve">C) </w:t>
            </w:r>
            <w:r w:rsidRPr="007C45C4">
              <w:rPr>
                <w:i/>
                <w:vertAlign w:val="superscript"/>
                <w:lang w:val="en-US"/>
              </w:rPr>
              <w:t>a</w:t>
            </w:r>
          </w:p>
        </w:tc>
        <w:tc>
          <w:tcPr>
            <w:tcW w:w="901" w:type="dxa"/>
            <w:tcBorders>
              <w:bottom w:val="single" w:sz="6" w:space="0" w:color="auto"/>
            </w:tcBorders>
            <w:vAlign w:val="center"/>
          </w:tcPr>
          <w:p w14:paraId="320114AC" w14:textId="77777777" w:rsidR="004C6201" w:rsidRPr="007C45C4" w:rsidRDefault="004C6201" w:rsidP="00CA7AD4">
            <w:pPr>
              <w:pStyle w:val="RSCT03TableBody"/>
              <w:rPr>
                <w:lang w:val="en-US"/>
              </w:rPr>
            </w:pPr>
            <w:r w:rsidRPr="007C45C4">
              <w:rPr>
                <w:lang w:val="en-US"/>
              </w:rPr>
              <w:sym w:font="Symbol" w:char="F057"/>
            </w:r>
            <w:r w:rsidRPr="007C45C4">
              <w:rPr>
                <w:lang w:val="en-US"/>
              </w:rPr>
              <w:t xml:space="preserve"> </w:t>
            </w:r>
            <w:r w:rsidRPr="007C45C4">
              <w:rPr>
                <w:i/>
                <w:vertAlign w:val="superscript"/>
                <w:lang w:val="en-US"/>
              </w:rPr>
              <w:t>b</w:t>
            </w:r>
          </w:p>
        </w:tc>
      </w:tr>
      <w:tr w:rsidR="004C6201" w:rsidRPr="007C45C4" w14:paraId="7EE31272" w14:textId="77777777" w:rsidTr="00CA7AD4">
        <w:tc>
          <w:tcPr>
            <w:tcW w:w="2972" w:type="dxa"/>
            <w:tcBorders>
              <w:top w:val="single" w:sz="6" w:space="0" w:color="auto"/>
            </w:tcBorders>
            <w:vAlign w:val="center"/>
          </w:tcPr>
          <w:p w14:paraId="2B451AF1" w14:textId="77777777" w:rsidR="004C6201" w:rsidRPr="007C45C4" w:rsidRDefault="004C6201" w:rsidP="00CA7AD4">
            <w:pPr>
              <w:pStyle w:val="RSCT03TableBody"/>
              <w:rPr>
                <w:b/>
                <w:lang w:val="en-US"/>
              </w:rPr>
            </w:pPr>
            <w:r w:rsidRPr="007C45C4">
              <w:rPr>
                <w:b/>
                <w:lang w:val="en-US"/>
              </w:rPr>
              <w:t>2</w:t>
            </w:r>
          </w:p>
        </w:tc>
        <w:tc>
          <w:tcPr>
            <w:tcW w:w="992" w:type="dxa"/>
            <w:tcBorders>
              <w:top w:val="single" w:sz="6" w:space="0" w:color="auto"/>
            </w:tcBorders>
            <w:vAlign w:val="center"/>
          </w:tcPr>
          <w:p w14:paraId="15276280" w14:textId="77777777" w:rsidR="004C6201" w:rsidRPr="007C45C4" w:rsidRDefault="004C6201" w:rsidP="00CA7AD4">
            <w:pPr>
              <w:pStyle w:val="RSCT03TableBody"/>
              <w:rPr>
                <w:lang w:val="en-US"/>
              </w:rPr>
            </w:pPr>
            <w:r w:rsidRPr="007C45C4">
              <w:rPr>
                <w:lang w:val="en-US"/>
              </w:rPr>
              <w:t>0.109(17)</w:t>
            </w:r>
          </w:p>
        </w:tc>
        <w:tc>
          <w:tcPr>
            <w:tcW w:w="901" w:type="dxa"/>
            <w:tcBorders>
              <w:top w:val="single" w:sz="6" w:space="0" w:color="auto"/>
            </w:tcBorders>
            <w:vAlign w:val="center"/>
          </w:tcPr>
          <w:p w14:paraId="22FA7EE6" w14:textId="77777777" w:rsidR="004C6201" w:rsidRPr="007C45C4" w:rsidRDefault="004C6201" w:rsidP="00CA7AD4">
            <w:pPr>
              <w:pStyle w:val="RSCT03TableBody"/>
              <w:rPr>
                <w:lang w:val="en-US"/>
              </w:rPr>
            </w:pPr>
            <w:r w:rsidRPr="007C45C4">
              <w:rPr>
                <w:lang w:val="en-US"/>
              </w:rPr>
              <w:t>4.4(2)</w:t>
            </w:r>
          </w:p>
        </w:tc>
      </w:tr>
      <w:tr w:rsidR="004C6201" w:rsidRPr="007C45C4" w14:paraId="77CC84CC" w14:textId="77777777" w:rsidTr="00CA7AD4">
        <w:tc>
          <w:tcPr>
            <w:tcW w:w="2972" w:type="dxa"/>
            <w:vAlign w:val="center"/>
          </w:tcPr>
          <w:p w14:paraId="684797E6" w14:textId="77777777" w:rsidR="004C6201" w:rsidRPr="007C45C4" w:rsidRDefault="004C6201" w:rsidP="00CA7AD4">
            <w:pPr>
              <w:pStyle w:val="RSCT03TableBody"/>
              <w:rPr>
                <w:b/>
                <w:lang w:val="en-US"/>
              </w:rPr>
            </w:pPr>
            <w:r w:rsidRPr="007C45C4">
              <w:rPr>
                <w:b/>
                <w:lang w:val="en-US"/>
              </w:rPr>
              <w:t>4</w:t>
            </w:r>
          </w:p>
        </w:tc>
        <w:tc>
          <w:tcPr>
            <w:tcW w:w="992" w:type="dxa"/>
            <w:vAlign w:val="center"/>
          </w:tcPr>
          <w:p w14:paraId="1D9B2F65" w14:textId="77777777" w:rsidR="004C6201" w:rsidRPr="007C45C4" w:rsidRDefault="004C6201" w:rsidP="00CA7AD4">
            <w:pPr>
              <w:pStyle w:val="RSCT03TableBody"/>
              <w:rPr>
                <w:lang w:val="en-US"/>
              </w:rPr>
            </w:pPr>
            <w:r w:rsidRPr="007C45C4">
              <w:rPr>
                <w:lang w:val="en-US"/>
              </w:rPr>
              <w:t>0.136(3)</w:t>
            </w:r>
          </w:p>
        </w:tc>
        <w:tc>
          <w:tcPr>
            <w:tcW w:w="901" w:type="dxa"/>
            <w:vAlign w:val="center"/>
          </w:tcPr>
          <w:p w14:paraId="6575EB30" w14:textId="77777777" w:rsidR="004C6201" w:rsidRPr="007C45C4" w:rsidRDefault="004C6201" w:rsidP="00CA7AD4">
            <w:pPr>
              <w:pStyle w:val="RSCT03TableBody"/>
              <w:rPr>
                <w:lang w:val="en-US"/>
              </w:rPr>
            </w:pPr>
            <w:r w:rsidRPr="007C45C4">
              <w:rPr>
                <w:lang w:val="en-US"/>
              </w:rPr>
              <w:t>5.0(4)</w:t>
            </w:r>
          </w:p>
        </w:tc>
      </w:tr>
      <w:tr w:rsidR="004C6201" w:rsidRPr="007C45C4" w14:paraId="6BC6543B" w14:textId="77777777" w:rsidTr="00CA7AD4">
        <w:tc>
          <w:tcPr>
            <w:tcW w:w="2972" w:type="dxa"/>
            <w:vAlign w:val="center"/>
          </w:tcPr>
          <w:p w14:paraId="7C0F89AE" w14:textId="77777777" w:rsidR="004C6201" w:rsidRPr="007C45C4" w:rsidRDefault="004C6201" w:rsidP="00CA7AD4">
            <w:pPr>
              <w:pStyle w:val="RSCT03TableBody"/>
              <w:rPr>
                <w:lang w:val="en-US"/>
              </w:rPr>
            </w:pPr>
            <w:r w:rsidRPr="007C45C4">
              <w:rPr>
                <w:lang w:val="en-US"/>
              </w:rPr>
              <w:t>[(η</w:t>
            </w:r>
            <w:r w:rsidRPr="007C45C4">
              <w:rPr>
                <w:vertAlign w:val="superscript"/>
                <w:lang w:val="en-US"/>
              </w:rPr>
              <w:t>3</w:t>
            </w:r>
            <w:r w:rsidRPr="007C45C4">
              <w:rPr>
                <w:lang w:val="en-US"/>
              </w:rPr>
              <w:t>-C</w:t>
            </w:r>
            <w:r w:rsidRPr="007C45C4">
              <w:rPr>
                <w:vertAlign w:val="subscript"/>
                <w:lang w:val="en-US"/>
              </w:rPr>
              <w:t>3</w:t>
            </w:r>
            <w:r w:rsidRPr="007C45C4">
              <w:rPr>
                <w:lang w:val="en-US"/>
              </w:rPr>
              <w:t>H</w:t>
            </w:r>
            <w:r w:rsidRPr="007C45C4">
              <w:rPr>
                <w:vertAlign w:val="subscript"/>
                <w:lang w:val="en-US"/>
              </w:rPr>
              <w:t>5</w:t>
            </w:r>
            <w:r w:rsidRPr="007C45C4">
              <w:rPr>
                <w:lang w:val="en-US"/>
              </w:rPr>
              <w:t>)(η</w:t>
            </w:r>
            <w:r w:rsidRPr="007C45C4">
              <w:rPr>
                <w:vertAlign w:val="superscript"/>
                <w:lang w:val="en-US"/>
              </w:rPr>
              <w:t>5</w:t>
            </w:r>
            <w:r w:rsidRPr="007C45C4">
              <w:rPr>
                <w:lang w:val="en-US"/>
              </w:rPr>
              <w:t>-Ind)Mo(CO)</w:t>
            </w:r>
            <w:r w:rsidRPr="007C45C4">
              <w:rPr>
                <w:vertAlign w:val="subscript"/>
                <w:lang w:val="en-US"/>
              </w:rPr>
              <w:t>2</w:t>
            </w:r>
            <w:r w:rsidRPr="007C45C4">
              <w:rPr>
                <w:lang w:val="en-US"/>
              </w:rPr>
              <w:t xml:space="preserve">] </w:t>
            </w:r>
            <w:r w:rsidRPr="007C45C4">
              <w:rPr>
                <w:lang w:val="en-US"/>
              </w:rPr>
              <w:fldChar w:fldCharType="begin" w:fldLock="1"/>
            </w:r>
            <w:r w:rsidRPr="007C45C4">
              <w:rPr>
                <w:lang w:val="en-US"/>
              </w:rPr>
              <w:instrText>ADDIN CSL_CITATION {"citationItems":[{"id":"ITEM-1","itemData":{"DOI":"https://doi.org/10.1016/j.jorganchem.2015.04.001","ISSN":"0022-328X","abstract":"A series of allyl complexes of the general formula [Cp'Mo(η3-C3H5)(CO)2], where Cp' = Cp, CpMe, Cp*, Ind, IndMe, IndMe2, Flu, and three tungsten analogues, has been prepared and characterized by 1H, 13C, and 95Mo NMR, cyclic voltammetry, and the structure of [IndMo(η3-C3H5)(CO)2] was determined by X-ray single crystal analysis. Two conformers, corresponding to the two extreme orientations of the allyl ligand (endo and exo), have been identified in solution by 1H and 95Mo NMR for all the complexes, except for [FluMo(η3-C3H5)(CO)2], which only presents an exo conformation in solution. A 95Mo NMR investigation also shows the influence of electron donor capability of the Cp' ligands on the 95Mo chemical shifts of the Mo center. He I and He II photoelectron spectra probe the electron richness of the metal center and the electronic structure of the complexes. Cyclic voltammetry studies show one oxidation process, which is only reversible for the Cp derivatives. DFT calculations provided a reliable way to determine ionization energies, and reflected very well the trends of the other properties, from the 95Mo NMR chemical shifts, to vibration frequencies, and oxidation potentials.","author":[{"dropping-particle":"","family":"Gonçalves","given":"Isabel S","non-dropping-particle":"","parse-names":false,"suffix":""},{"dropping-particle":"","family":"Veiros","given":"Luís F","non-dropping-particle":"","parse-names":false,"suffix":""},{"dropping-particle":"","family":"Gamelas","given":"Carla A","non-dropping-particle":"","parse-names":false,"suffix":""},{"dropping-particle":"","family":"Cabrita","given":"Clara","non-dropping-particle":"","parse-names":false,"suffix":""},{"dropping-particle":"","family":"Calhorda","given":"Maria José","non-dropping-particle":"","parse-names":false,"suffix":""},{"dropping-particle":"","family":"Geraldes","given":"Carlos F G C","non-dropping-particle":"","parse-names":false,"suffix":""},{"dropping-particle":"","family":"Green","given":"Jennifer","non-dropping-particle":"","parse-names":false,"suffix":""},{"dropping-particle":"","family":"Packham","given":"Ellen","non-dropping-particle":"","parse-names":false,"suffix":""},{"dropping-particle":"","family":"Drew","given":"Michael G B","non-dropping-particle":"","parse-names":false,"suffix":""},{"dropping-particle":"","family":"Félix","given":"Vitor","non-dropping-particle":"","parse-names":false,"suffix":""},{"dropping-particle":"","family":"Gil Santos","given":"A","non-dropping-particle":"","parse-names":false,"suffix":""},{"dropping-particle":"","family":"Romão","given":"Carlos C","non-dropping-particle":"","parse-names":false,"suffix":""}],"container-title":"Journal of Organometallic Chemistry","id":"ITEM-1","issued":{"date-parts":[["2015"]]},"page":"154-166","title":"Comparing spectroscopic and electrochemical properties of complexes of type Cp’M(η3-C3H5)(CO)2 (Cp’ = Cp, Ind, Flu): A complementary experimental and DFT study","type":"article-journal","volume":"792"},"uris":["http://www.mendeley.com/documents/?uuid=8a797c57-19b7-4465-98fc-555e3efd2d96"]}],"mendeley":{"formattedCitation":"&lt;sup&gt;32&lt;/sup&gt;","plainTextFormattedCitation":"32","previouslyFormattedCitation":"&lt;sup&gt;32&lt;/sup&gt;"},"properties":{"noteIndex":0},"schema":"https://github.com/citation-style-language/schema/raw/master/csl-citation.json"}</w:instrText>
            </w:r>
            <w:r w:rsidRPr="007C45C4">
              <w:rPr>
                <w:lang w:val="en-US"/>
              </w:rPr>
              <w:fldChar w:fldCharType="separate"/>
            </w:r>
            <w:r w:rsidRPr="007C45C4">
              <w:rPr>
                <w:noProof/>
                <w:vertAlign w:val="superscript"/>
                <w:lang w:val="en-US"/>
              </w:rPr>
              <w:t>32</w:t>
            </w:r>
            <w:r w:rsidRPr="007C45C4">
              <w:rPr>
                <w:lang w:val="en-US"/>
              </w:rPr>
              <w:fldChar w:fldCharType="end"/>
            </w:r>
          </w:p>
        </w:tc>
        <w:tc>
          <w:tcPr>
            <w:tcW w:w="992" w:type="dxa"/>
            <w:vAlign w:val="center"/>
          </w:tcPr>
          <w:p w14:paraId="7B21D6E9" w14:textId="77777777" w:rsidR="004C6201" w:rsidRPr="007C45C4" w:rsidRDefault="004C6201" w:rsidP="00CA7AD4">
            <w:pPr>
              <w:pStyle w:val="RSCT03TableBody"/>
              <w:rPr>
                <w:lang w:val="en-US"/>
              </w:rPr>
            </w:pPr>
            <w:r w:rsidRPr="007C45C4">
              <w:rPr>
                <w:lang w:val="en-US"/>
              </w:rPr>
              <w:t>0.115(3)</w:t>
            </w:r>
          </w:p>
        </w:tc>
        <w:tc>
          <w:tcPr>
            <w:tcW w:w="901" w:type="dxa"/>
            <w:vAlign w:val="center"/>
          </w:tcPr>
          <w:p w14:paraId="5C3EAED7" w14:textId="77777777" w:rsidR="004C6201" w:rsidRPr="007C45C4" w:rsidRDefault="004C6201" w:rsidP="00CA7AD4">
            <w:pPr>
              <w:pStyle w:val="RSCT03TableBody"/>
              <w:rPr>
                <w:lang w:val="en-US"/>
              </w:rPr>
            </w:pPr>
            <w:r w:rsidRPr="007C45C4">
              <w:rPr>
                <w:lang w:val="en-US"/>
              </w:rPr>
              <w:t>3.3(3)</w:t>
            </w:r>
          </w:p>
        </w:tc>
      </w:tr>
      <w:tr w:rsidR="004C6201" w:rsidRPr="007C45C4" w14:paraId="26FE3591" w14:textId="77777777" w:rsidTr="00CA7AD4">
        <w:tc>
          <w:tcPr>
            <w:tcW w:w="2972" w:type="dxa"/>
            <w:vAlign w:val="center"/>
          </w:tcPr>
          <w:p w14:paraId="329A4B61" w14:textId="77777777" w:rsidR="004C6201" w:rsidRPr="007C45C4" w:rsidRDefault="004C6201" w:rsidP="00CA7AD4">
            <w:pPr>
              <w:pStyle w:val="RSCT03TableBody"/>
              <w:rPr>
                <w:b/>
                <w:lang w:val="en-US"/>
              </w:rPr>
            </w:pPr>
            <w:r w:rsidRPr="007C45C4">
              <w:rPr>
                <w:lang w:val="en-US"/>
              </w:rPr>
              <w:t>[(η</w:t>
            </w:r>
            <w:r w:rsidRPr="007C45C4">
              <w:rPr>
                <w:vertAlign w:val="superscript"/>
                <w:lang w:val="en-US"/>
              </w:rPr>
              <w:t>5</w:t>
            </w:r>
            <w:r w:rsidRPr="007C45C4">
              <w:rPr>
                <w:lang w:val="en-US"/>
              </w:rPr>
              <w:t>-C</w:t>
            </w:r>
            <w:r w:rsidRPr="007C45C4">
              <w:rPr>
                <w:vertAlign w:val="subscript"/>
                <w:lang w:val="en-US"/>
              </w:rPr>
              <w:t>9</w:t>
            </w:r>
            <w:r w:rsidRPr="007C45C4">
              <w:rPr>
                <w:lang w:val="en-US"/>
              </w:rPr>
              <w:t>H</w:t>
            </w:r>
            <w:r w:rsidRPr="007C45C4">
              <w:rPr>
                <w:vertAlign w:val="subscript"/>
                <w:lang w:val="en-US"/>
              </w:rPr>
              <w:t>7</w:t>
            </w:r>
            <w:r w:rsidRPr="007C45C4">
              <w:rPr>
                <w:lang w:val="en-US"/>
              </w:rPr>
              <w:t>)Mo(CO)</w:t>
            </w:r>
            <w:r w:rsidRPr="007C45C4">
              <w:rPr>
                <w:vertAlign w:val="subscript"/>
                <w:lang w:val="en-US"/>
              </w:rPr>
              <w:t>2</w:t>
            </w:r>
            <w:r w:rsidRPr="007C45C4">
              <w:rPr>
                <w:lang w:val="en-US"/>
              </w:rPr>
              <w:t>(</w:t>
            </w:r>
            <w:proofErr w:type="spellStart"/>
            <w:r w:rsidRPr="007C45C4">
              <w:rPr>
                <w:lang w:val="en-US"/>
              </w:rPr>
              <w:t>bpy</w:t>
            </w:r>
            <w:proofErr w:type="spellEnd"/>
            <w:r w:rsidRPr="007C45C4">
              <w:rPr>
                <w:lang w:val="en-US"/>
              </w:rPr>
              <w:t>)][BF</w:t>
            </w:r>
            <w:r w:rsidRPr="007C45C4">
              <w:rPr>
                <w:vertAlign w:val="subscript"/>
                <w:lang w:val="en-US"/>
              </w:rPr>
              <w:t>4</w:t>
            </w:r>
            <w:r w:rsidRPr="007C45C4">
              <w:rPr>
                <w:lang w:val="en-US"/>
              </w:rPr>
              <w:t xml:space="preserve">] </w:t>
            </w:r>
            <w:r w:rsidRPr="007C45C4">
              <w:rPr>
                <w:lang w:val="en-US"/>
              </w:rPr>
              <w:fldChar w:fldCharType="begin" w:fldLock="1"/>
            </w:r>
            <w:r w:rsidRPr="007C45C4">
              <w:rPr>
                <w:lang w:val="en-US"/>
              </w:rPr>
              <w:instrText>ADDIN CSL_CITATION {"citationItems":[{"id":"ITEM-1","itemData":{"DOI":"https://doi.org/10.1016/j.jorganchem.2012.07.011","ISSN":"0022-328X","abstract":"A series of allyl molybdenum [(η3-C3H5)Mo(CO)2L2Cl], [(η3-C3H4COOMe)Mo(CO)2L2Br], cyclopentadienyl molybdenum [(η5-C5H4R)Mo(CO)2L2][BF4] (R = H, 4-MeOC6H4CH2, 3,4,5-(MeO)3C6H2CH2), indenyl molybdenum [(η5-C9H6R)Mo(CO)2L2][BF4] (R = H, 4-MeOC6H4CH2) and cyclopentadienyl tungsten compounds [(η5-C5H5)W(CO)2L2][BF4], where L2 is N,N′-chelating ligand, were synthesized and characterized. The in vitro assay on human leukemia cells MOLT-4 has shown that the substitution in the π-ligand has lower effect of on cytotoxicity than exchange of the N,N′-chelating ligand. Nevertheless, even this modification can lead to considerable enhance of cytotoxicity as was evidenced on the series of the indenyl molybdenum(II) compounds.","author":[{"dropping-particle":"","family":"Honzíček","given":"Jan","non-dropping-particle":"","parse-names":false,"suffix":""},{"dropping-particle":"","family":"Vinklárek","given":"Jaromír","non-dropping-particle":"","parse-names":false,"suffix":""},{"dropping-particle":"","family":"Padělková","given":"Zdeňka","non-dropping-particle":"","parse-names":false,"suffix":""},{"dropping-particle":"","family":"Šebestová","given":"Lucie","non-dropping-particle":"","parse-names":false,"suffix":""},{"dropping-particle":"","family":"Foltánová","given":"Karolína","non-dropping-particle":"","parse-names":false,"suffix":""},{"dropping-particle":"","family":"Řezáčová","given":"Martina","non-dropping-particle":"","parse-names":false,"suffix":""}],"container-title":"Journal of Organometallic Chemistry","id":"ITEM-1","issued":{"date-parts":[["2012"]]},"page":"258-268","title":"The effect of substitution on the cytotoxicity of molybdenum(II) and tungsten(II) compounds","type":"article-journal","volume":"716"},"uris":["http://www.mendeley.com/documents/?uuid=d0003565-9a94-48a0-ac6e-172e6f1bf7f5"]}],"mendeley":{"formattedCitation":"&lt;sup&gt;14&lt;/sup&gt;","plainTextFormattedCitation":"14","previouslyFormattedCitation":"&lt;sup&gt;14&lt;/sup&gt;"},"properties":{"noteIndex":0},"schema":"https://github.com/citation-style-language/schema/raw/master/csl-citation.json"}</w:instrText>
            </w:r>
            <w:r w:rsidRPr="007C45C4">
              <w:rPr>
                <w:lang w:val="en-US"/>
              </w:rPr>
              <w:fldChar w:fldCharType="separate"/>
            </w:r>
            <w:r w:rsidRPr="007C45C4">
              <w:rPr>
                <w:noProof/>
                <w:vertAlign w:val="superscript"/>
                <w:lang w:val="en-US"/>
              </w:rPr>
              <w:t>14</w:t>
            </w:r>
            <w:r w:rsidRPr="007C45C4">
              <w:rPr>
                <w:lang w:val="en-US"/>
              </w:rPr>
              <w:fldChar w:fldCharType="end"/>
            </w:r>
          </w:p>
        </w:tc>
        <w:tc>
          <w:tcPr>
            <w:tcW w:w="992" w:type="dxa"/>
            <w:vAlign w:val="center"/>
          </w:tcPr>
          <w:p w14:paraId="644A8A19" w14:textId="77777777" w:rsidR="004C6201" w:rsidRPr="007C45C4" w:rsidRDefault="004C6201" w:rsidP="00CA7AD4">
            <w:pPr>
              <w:pStyle w:val="RSCT03TableBody"/>
              <w:rPr>
                <w:lang w:val="en-US"/>
              </w:rPr>
            </w:pPr>
            <w:r w:rsidRPr="007C45C4">
              <w:rPr>
                <w:lang w:val="en-US"/>
              </w:rPr>
              <w:t>0.128(2)</w:t>
            </w:r>
          </w:p>
        </w:tc>
        <w:tc>
          <w:tcPr>
            <w:tcW w:w="901" w:type="dxa"/>
            <w:vAlign w:val="center"/>
          </w:tcPr>
          <w:p w14:paraId="1AA0D453" w14:textId="77777777" w:rsidR="004C6201" w:rsidRPr="007C45C4" w:rsidRDefault="004C6201" w:rsidP="00CA7AD4">
            <w:pPr>
              <w:pStyle w:val="RSCT03TableBody"/>
              <w:rPr>
                <w:lang w:val="en-US"/>
              </w:rPr>
            </w:pPr>
            <w:r w:rsidRPr="007C45C4">
              <w:rPr>
                <w:lang w:val="en-US"/>
              </w:rPr>
              <w:t>5.4(3)</w:t>
            </w:r>
          </w:p>
        </w:tc>
      </w:tr>
    </w:tbl>
    <w:p w14:paraId="0159C51C" w14:textId="77777777" w:rsidR="004C6201" w:rsidRPr="007C45C4" w:rsidRDefault="004C6201" w:rsidP="004C6201">
      <w:pPr>
        <w:pStyle w:val="RSCT04TableFootnotewithbottombar"/>
        <w:rPr>
          <w:lang w:val="en-US"/>
        </w:rPr>
      </w:pPr>
      <w:r w:rsidRPr="007C45C4">
        <w:rPr>
          <w:i/>
          <w:vertAlign w:val="superscript"/>
          <w:lang w:val="en-US"/>
        </w:rPr>
        <w:t>a</w:t>
      </w:r>
      <w:r w:rsidRPr="007C45C4">
        <w:rPr>
          <w:lang w:val="en-US"/>
        </w:rPr>
        <w:sym w:font="Symbol" w:char="F044"/>
      </w:r>
      <w:r w:rsidRPr="007C45C4">
        <w:rPr>
          <w:lang w:val="en-US"/>
        </w:rPr>
        <w:t>(M</w:t>
      </w:r>
      <w:r w:rsidRPr="007C45C4">
        <w:rPr>
          <w:lang w:val="en-US"/>
        </w:rPr>
        <w:sym w:font="Symbol" w:char="F02D"/>
      </w:r>
      <w:r w:rsidRPr="007C45C4">
        <w:rPr>
          <w:lang w:val="en-US"/>
        </w:rPr>
        <w:t>C) is defined as the difference between the averages of the Mo–C3a and Mo–C7a distances and that of the Mo–C1, Mo–C2, and M–C3 distances.</w:t>
      </w:r>
      <w:r w:rsidRPr="007C45C4">
        <w:rPr>
          <w:lang w:val="en-US"/>
        </w:rPr>
        <w:fldChar w:fldCharType="begin" w:fldLock="1"/>
      </w:r>
      <w:r w:rsidRPr="007C45C4">
        <w:rPr>
          <w:lang w:val="en-US"/>
        </w:rPr>
        <w:instrText>ADDIN CSL_CITATION {"citationItems":[{"id":"ITEM-1","itemData":{"DOI":"10.1021/om00124a022","ISSN":"0276-7333","author":[{"dropping-particle":"","family":"Faller","given":"J W","non-dropping-particle":"","parse-names":false,"suffix":""},{"dropping-particle":"","family":"Crabtree","given":"R H","non-dropping-particle":"","parse-names":false,"suffix":""},{"dropping-particle":"","family":"Habib","given":"A","non-dropping-particle":"","parse-names":false,"suffix":""}],"container-title":"Organometallics","id":"ITEM-1","issue":"5","issued":{"date-parts":[["1985","5","1"]]},"note":"doi: 10.1021/om00124a022","page":"929-935","publisher":"American Chemical Society","title":"Control of slippage and conformation in indenyl complexes","type":"article-journal","volume":"4"},"uris":["http://www.mendeley.com/documents/?uuid=9f45b800-cab8-437a-9193-e44bdb563dcb"]}],"mendeley":{"formattedCitation":"&lt;sup&gt;34&lt;/sup&gt;","plainTextFormattedCitation":"34","previouslyFormattedCitation":"&lt;sup&gt;34&lt;/sup&gt;"},"properties":{"noteIndex":0},"schema":"https://github.com/citation-style-language/schema/raw/master/csl-citation.json"}</w:instrText>
      </w:r>
      <w:r w:rsidRPr="007C45C4">
        <w:rPr>
          <w:lang w:val="en-US"/>
        </w:rPr>
        <w:fldChar w:fldCharType="separate"/>
      </w:r>
      <w:r w:rsidRPr="007C45C4">
        <w:rPr>
          <w:noProof/>
          <w:vertAlign w:val="superscript"/>
          <w:lang w:val="en-US"/>
        </w:rPr>
        <w:t>34</w:t>
      </w:r>
      <w:r w:rsidRPr="007C45C4">
        <w:rPr>
          <w:lang w:val="en-US"/>
        </w:rPr>
        <w:fldChar w:fldCharType="end"/>
      </w:r>
      <w:r w:rsidRPr="007C45C4">
        <w:rPr>
          <w:lang w:val="en-US"/>
        </w:rPr>
        <w:t xml:space="preserve"> </w:t>
      </w:r>
      <w:r w:rsidRPr="007C45C4">
        <w:rPr>
          <w:i/>
          <w:vertAlign w:val="superscript"/>
          <w:lang w:val="en-US"/>
        </w:rPr>
        <w:t>b</w:t>
      </w:r>
      <w:r w:rsidRPr="007C45C4">
        <w:rPr>
          <w:lang w:val="en-US"/>
        </w:rPr>
        <w:t xml:space="preserve"> Ω is the fold angle between planes defined by C1, C2, and C3 and that defined by C1, C3, C4, and C5.</w:t>
      </w:r>
      <w:r w:rsidRPr="007C45C4">
        <w:rPr>
          <w:lang w:val="en-US"/>
        </w:rPr>
        <w:fldChar w:fldCharType="begin" w:fldLock="1"/>
      </w:r>
      <w:r w:rsidRPr="007C45C4">
        <w:rPr>
          <w:lang w:val="en-US"/>
        </w:rPr>
        <w:instrText>ADDIN CSL_CITATION {"citationItems":[{"id":"ITEM-1","itemData":{"DOI":"10.1021/om00124a022","ISSN":"0276-7333","author":[{"dropping-particle":"","family":"Faller","given":"J W","non-dropping-particle":"","parse-names":false,"suffix":""},{"dropping-particle":"","family":"Crabtree","given":"R H","non-dropping-particle":"","parse-names":false,"suffix":""},{"dropping-particle":"","family":"Habib","given":"A","non-dropping-particle":"","parse-names":false,"suffix":""}],"container-title":"Organometallics","id":"ITEM-1","issue":"5","issued":{"date-parts":[["1985","5","1"]]},"note":"doi: 10.1021/om00124a022","page":"929-935","publisher":"American Chemical Society","title":"Control of slippage and conformation in indenyl complexes","type":"article-journal","volume":"4"},"uris":["http://www.mendeley.com/documents/?uuid=9f45b800-cab8-437a-9193-e44bdb563dcb"]}],"mendeley":{"formattedCitation":"&lt;sup&gt;34&lt;/sup&gt;","plainTextFormattedCitation":"34","previouslyFormattedCitation":"&lt;sup&gt;34&lt;/sup&gt;"},"properties":{"noteIndex":0},"schema":"https://github.com/citation-style-language/schema/raw/master/csl-citation.json"}</w:instrText>
      </w:r>
      <w:r w:rsidRPr="007C45C4">
        <w:rPr>
          <w:lang w:val="en-US"/>
        </w:rPr>
        <w:fldChar w:fldCharType="separate"/>
      </w:r>
      <w:r w:rsidRPr="007C45C4">
        <w:rPr>
          <w:noProof/>
          <w:vertAlign w:val="superscript"/>
          <w:lang w:val="en-US"/>
        </w:rPr>
        <w:t>34</w:t>
      </w:r>
      <w:r w:rsidRPr="007C45C4">
        <w:rPr>
          <w:lang w:val="en-US"/>
        </w:rPr>
        <w:fldChar w:fldCharType="end"/>
      </w:r>
    </w:p>
    <w:p w14:paraId="265EB2E8" w14:textId="7E2E610F" w:rsidR="00333A3D" w:rsidRDefault="00D96CCB" w:rsidP="00D96CCB">
      <w:pPr>
        <w:pStyle w:val="RSCB02ArticleText"/>
        <w:rPr>
          <w:rFonts w:cs="Arial"/>
          <w:szCs w:val="17"/>
          <w:lang w:val="en-US"/>
        </w:rPr>
      </w:pPr>
      <w:r w:rsidRPr="007C45C4">
        <w:rPr>
          <w:rFonts w:cs="Arial"/>
          <w:szCs w:val="17"/>
          <w:vertAlign w:val="superscript"/>
          <w:lang w:val="en-US"/>
        </w:rPr>
        <w:t>1</w:t>
      </w:r>
      <w:r w:rsidRPr="007C45C4">
        <w:rPr>
          <w:rFonts w:cs="Arial"/>
          <w:szCs w:val="17"/>
          <w:lang w:val="en-US"/>
        </w:rPr>
        <w:t xml:space="preserve">H and </w:t>
      </w:r>
      <w:proofErr w:type="gramStart"/>
      <w:r w:rsidRPr="007C45C4">
        <w:rPr>
          <w:rFonts w:cs="Arial"/>
          <w:szCs w:val="17"/>
          <w:vertAlign w:val="superscript"/>
          <w:lang w:val="en-US"/>
        </w:rPr>
        <w:t>13</w:t>
      </w:r>
      <w:r w:rsidRPr="007C45C4">
        <w:rPr>
          <w:rFonts w:cs="Arial"/>
          <w:szCs w:val="17"/>
          <w:lang w:val="en-US"/>
        </w:rPr>
        <w:t>C{</w:t>
      </w:r>
      <w:proofErr w:type="gramEnd"/>
      <w:r w:rsidRPr="007C45C4">
        <w:rPr>
          <w:rFonts w:cs="Arial"/>
          <w:szCs w:val="17"/>
          <w:vertAlign w:val="superscript"/>
          <w:lang w:val="en-US"/>
        </w:rPr>
        <w:t>1</w:t>
      </w:r>
      <w:r w:rsidRPr="007C45C4">
        <w:rPr>
          <w:rFonts w:cs="Arial"/>
          <w:szCs w:val="17"/>
          <w:lang w:val="en-US"/>
        </w:rPr>
        <w:t xml:space="preserve">H} APT NMR spectrum of </w:t>
      </w:r>
      <w:r w:rsidRPr="007C45C4">
        <w:rPr>
          <w:rFonts w:cs="Arial"/>
          <w:b/>
          <w:lang w:val="en-US"/>
        </w:rPr>
        <w:t>4</w:t>
      </w:r>
      <w:r w:rsidRPr="007C45C4">
        <w:rPr>
          <w:rFonts w:cs="Arial"/>
          <w:lang w:val="en-US"/>
        </w:rPr>
        <w:sym w:font="Symbol" w:char="F02D"/>
      </w:r>
      <w:r w:rsidRPr="007C45C4">
        <w:rPr>
          <w:rFonts w:cs="Arial"/>
          <w:b/>
          <w:lang w:val="en-US"/>
        </w:rPr>
        <w:t>7</w:t>
      </w:r>
      <w:r w:rsidRPr="007C45C4">
        <w:rPr>
          <w:rFonts w:cs="Arial"/>
          <w:szCs w:val="17"/>
          <w:lang w:val="en-US"/>
        </w:rPr>
        <w:t xml:space="preserve"> confirms both η</w:t>
      </w:r>
      <w:r w:rsidRPr="007C45C4">
        <w:rPr>
          <w:rFonts w:cs="Arial"/>
          <w:szCs w:val="17"/>
          <w:vertAlign w:val="superscript"/>
          <w:lang w:val="en-US"/>
        </w:rPr>
        <w:t>5</w:t>
      </w:r>
      <w:r w:rsidRPr="007C45C4">
        <w:rPr>
          <w:rFonts w:cs="Arial"/>
          <w:szCs w:val="17"/>
          <w:lang w:val="en-US"/>
        </w:rPr>
        <w:noBreakHyphen/>
        <w:t xml:space="preserve">coordination of the indenyl and successful acetonitrile exchange reaction for </w:t>
      </w:r>
      <w:r w:rsidRPr="007C45C4">
        <w:rPr>
          <w:rFonts w:cs="Arial"/>
          <w:i/>
          <w:szCs w:val="17"/>
          <w:lang w:val="en-US"/>
        </w:rPr>
        <w:t>N</w:t>
      </w:r>
      <w:r w:rsidRPr="007C45C4">
        <w:rPr>
          <w:rFonts w:cs="Arial"/>
          <w:szCs w:val="17"/>
          <w:lang w:val="en-US"/>
        </w:rPr>
        <w:t>,</w:t>
      </w:r>
      <w:r w:rsidRPr="007C45C4">
        <w:rPr>
          <w:rFonts w:cs="Arial"/>
          <w:i/>
          <w:szCs w:val="17"/>
          <w:lang w:val="en-US"/>
        </w:rPr>
        <w:t>N</w:t>
      </w:r>
      <w:r w:rsidRPr="007C45C4">
        <w:rPr>
          <w:rFonts w:cs="Arial"/>
          <w:szCs w:val="17"/>
          <w:lang w:val="en-US"/>
        </w:rPr>
        <w:t xml:space="preserve">-chelates. In case of </w:t>
      </w:r>
      <w:proofErr w:type="gramStart"/>
      <w:r w:rsidRPr="007C45C4">
        <w:rPr>
          <w:rFonts w:cs="Arial"/>
          <w:b/>
          <w:szCs w:val="17"/>
          <w:lang w:val="en-US"/>
        </w:rPr>
        <w:t>7</w:t>
      </w:r>
      <w:proofErr w:type="gramEnd"/>
      <w:r w:rsidRPr="007C45C4">
        <w:rPr>
          <w:rFonts w:cs="Arial"/>
          <w:szCs w:val="17"/>
          <w:lang w:val="en-US"/>
        </w:rPr>
        <w:t xml:space="preserve"> the NMR spectra contain two series of sharp signals in a ratio of 1:1. The spectra reflected existence of two enantiomers in solution formed because of coordinated unsymmetrical NH</w:t>
      </w:r>
      <w:r w:rsidRPr="007C45C4">
        <w:rPr>
          <w:rFonts w:cs="Arial"/>
          <w:szCs w:val="17"/>
          <w:vertAlign w:val="subscript"/>
          <w:lang w:val="en-US"/>
        </w:rPr>
        <w:t>2</w:t>
      </w:r>
      <w:r w:rsidRPr="007C45C4">
        <w:rPr>
          <w:rFonts w:cs="Arial"/>
          <w:szCs w:val="17"/>
          <w:lang w:val="en-US"/>
        </w:rPr>
        <w:t xml:space="preserve">phen ligand. IR spectra of </w:t>
      </w:r>
      <w:r w:rsidRPr="007C45C4">
        <w:rPr>
          <w:rFonts w:cs="Arial"/>
          <w:b/>
          <w:lang w:val="en-US"/>
        </w:rPr>
        <w:t>4</w:t>
      </w:r>
      <w:r w:rsidRPr="007C45C4">
        <w:rPr>
          <w:rFonts w:cs="Arial"/>
          <w:lang w:val="en-US"/>
        </w:rPr>
        <w:sym w:font="Symbol" w:char="F02D"/>
      </w:r>
      <w:proofErr w:type="gramStart"/>
      <w:r w:rsidRPr="007C45C4">
        <w:rPr>
          <w:rFonts w:cs="Arial"/>
          <w:b/>
          <w:lang w:val="en-US"/>
        </w:rPr>
        <w:t>7</w:t>
      </w:r>
      <w:proofErr w:type="gramEnd"/>
      <w:r w:rsidRPr="007C45C4">
        <w:rPr>
          <w:rFonts w:cs="Arial"/>
          <w:szCs w:val="17"/>
          <w:lang w:val="en-US"/>
        </w:rPr>
        <w:t xml:space="preserve"> showed two carbonyl stretching bands slightly shifted to lower energies compared to </w:t>
      </w:r>
      <w:r w:rsidRPr="007C45C4">
        <w:rPr>
          <w:rFonts w:cs="Arial"/>
          <w:b/>
          <w:szCs w:val="17"/>
          <w:lang w:val="en-US"/>
        </w:rPr>
        <w:t>3</w:t>
      </w:r>
      <w:r w:rsidRPr="007C45C4">
        <w:rPr>
          <w:rFonts w:cs="Arial"/>
          <w:szCs w:val="17"/>
          <w:lang w:val="en-US"/>
        </w:rPr>
        <w:t xml:space="preserve">. The shift can be rationalized through somewhat stronger </w:t>
      </w:r>
      <w:r w:rsidRPr="007C45C4">
        <w:rPr>
          <w:rFonts w:cs="Arial"/>
          <w:szCs w:val="17"/>
          <w:lang w:val="en-US"/>
        </w:rPr>
        <w:sym w:font="Symbol" w:char="F073"/>
      </w:r>
      <w:r w:rsidRPr="007C45C4">
        <w:rPr>
          <w:rFonts w:cs="Arial"/>
          <w:szCs w:val="17"/>
          <w:lang w:val="en-US"/>
        </w:rPr>
        <w:t xml:space="preserve">-donating ability of the bidentate ligands compared to the acetonitrile, further confirming presence of </w:t>
      </w:r>
      <w:r w:rsidRPr="007C45C4">
        <w:rPr>
          <w:rFonts w:cs="Arial"/>
          <w:i/>
          <w:szCs w:val="17"/>
          <w:lang w:val="en-US"/>
        </w:rPr>
        <w:t>N</w:t>
      </w:r>
      <w:r w:rsidRPr="007C45C4">
        <w:rPr>
          <w:rFonts w:cs="Arial"/>
          <w:szCs w:val="17"/>
          <w:lang w:val="en-US"/>
        </w:rPr>
        <w:t>,</w:t>
      </w:r>
      <w:r w:rsidRPr="007C45C4">
        <w:rPr>
          <w:rFonts w:cs="Arial"/>
          <w:i/>
          <w:szCs w:val="17"/>
          <w:lang w:val="en-US"/>
        </w:rPr>
        <w:t>N</w:t>
      </w:r>
      <w:r w:rsidRPr="007C45C4">
        <w:rPr>
          <w:rFonts w:cs="Arial"/>
          <w:szCs w:val="17"/>
          <w:lang w:val="en-US"/>
        </w:rPr>
        <w:t xml:space="preserve">-chelate in coordination sphere of </w:t>
      </w:r>
      <w:r w:rsidRPr="007C45C4">
        <w:rPr>
          <w:rFonts w:cs="Arial"/>
          <w:b/>
          <w:lang w:val="en-US"/>
        </w:rPr>
        <w:t>4</w:t>
      </w:r>
      <w:r w:rsidRPr="007C45C4">
        <w:rPr>
          <w:rFonts w:cs="Arial"/>
          <w:lang w:val="en-US"/>
        </w:rPr>
        <w:sym w:font="Symbol" w:char="F02D"/>
      </w:r>
      <w:r w:rsidRPr="007C45C4">
        <w:rPr>
          <w:rFonts w:cs="Arial"/>
          <w:b/>
          <w:lang w:val="en-US"/>
        </w:rPr>
        <w:t>7</w:t>
      </w:r>
      <w:r w:rsidRPr="007C45C4">
        <w:rPr>
          <w:rFonts w:cs="Arial"/>
          <w:szCs w:val="17"/>
          <w:lang w:val="en-US"/>
        </w:rPr>
        <w:t>.</w:t>
      </w:r>
    </w:p>
    <w:p w14:paraId="22FC7317" w14:textId="739902F3" w:rsidR="00284AE7" w:rsidRPr="007C45C4" w:rsidRDefault="00284AE7" w:rsidP="00973FE9">
      <w:pPr>
        <w:pStyle w:val="RSCB02ArticleText"/>
        <w:rPr>
          <w:rFonts w:cs="Arial"/>
          <w:lang w:val="en-US"/>
        </w:rPr>
      </w:pPr>
      <w:r w:rsidRPr="007C45C4">
        <w:rPr>
          <w:rFonts w:cs="Arial"/>
          <w:bCs/>
          <w:szCs w:val="17"/>
          <w:lang w:val="en-US"/>
        </w:rPr>
        <w:lastRenderedPageBreak/>
        <w:t xml:space="preserve">Solid-state structure of the compound </w:t>
      </w:r>
      <w:r w:rsidRPr="007C45C4">
        <w:rPr>
          <w:rFonts w:cs="Arial"/>
          <w:b/>
          <w:bCs/>
          <w:szCs w:val="17"/>
          <w:lang w:val="en-US"/>
        </w:rPr>
        <w:t>4</w:t>
      </w:r>
      <w:r w:rsidRPr="007C45C4">
        <w:rPr>
          <w:rFonts w:cs="Arial"/>
          <w:bCs/>
          <w:szCs w:val="17"/>
          <w:lang w:val="en-US"/>
        </w:rPr>
        <w:t xml:space="preserve"> was determined by single-crystal X-ray diffraction analysis (Fig</w:t>
      </w:r>
      <w:r w:rsidR="007C45C4" w:rsidRPr="007C45C4">
        <w:rPr>
          <w:rFonts w:cs="Arial"/>
          <w:bCs/>
          <w:szCs w:val="17"/>
          <w:lang w:val="en-US"/>
        </w:rPr>
        <w:t>.</w:t>
      </w:r>
      <w:r w:rsidRPr="007C45C4">
        <w:rPr>
          <w:rFonts w:cs="Arial"/>
          <w:bCs/>
          <w:szCs w:val="17"/>
          <w:lang w:val="en-US"/>
        </w:rPr>
        <w:t xml:space="preserve"> 2). Selected </w:t>
      </w:r>
      <w:r w:rsidRPr="007C45C4">
        <w:rPr>
          <w:lang w:val="en-US"/>
        </w:rPr>
        <w:t>bond distances and bond angles are listed in caption of Fig</w:t>
      </w:r>
      <w:r w:rsidR="007C45C4" w:rsidRPr="007C45C4">
        <w:rPr>
          <w:lang w:val="en-US"/>
        </w:rPr>
        <w:t>.</w:t>
      </w:r>
      <w:r w:rsidRPr="007C45C4">
        <w:rPr>
          <w:lang w:val="en-US"/>
        </w:rPr>
        <w:t xml:space="preserve"> 2. The coordination sphere around central molybdenum adopts distorted square-pyramidal molecular geometry with indenyl in the apical position. Basal plane contains two </w:t>
      </w:r>
      <w:r w:rsidRPr="007C45C4">
        <w:rPr>
          <w:i/>
          <w:lang w:val="en-US"/>
        </w:rPr>
        <w:t>cis</w:t>
      </w:r>
      <w:r w:rsidRPr="007C45C4">
        <w:rPr>
          <w:lang w:val="en-US"/>
        </w:rPr>
        <w:t>-arranged carbonyls and nitrogen donors of 2</w:t>
      </w:r>
      <w:proofErr w:type="gramStart"/>
      <w:r w:rsidRPr="007C45C4">
        <w:rPr>
          <w:lang w:val="en-US"/>
        </w:rPr>
        <w:t>,2’</w:t>
      </w:r>
      <w:proofErr w:type="gramEnd"/>
      <w:r w:rsidRPr="007C45C4">
        <w:rPr>
          <w:lang w:val="en-US"/>
        </w:rPr>
        <w:t>-bipyridine. The bidentate ligand is located below the annulated benzene ring of the indenyl representing most common conformation of indenyl complexes of type [(η</w:t>
      </w:r>
      <w:r w:rsidRPr="007C45C4">
        <w:rPr>
          <w:vertAlign w:val="superscript"/>
          <w:lang w:val="en-US"/>
        </w:rPr>
        <w:t>5</w:t>
      </w:r>
      <w:r w:rsidRPr="007C45C4">
        <w:rPr>
          <w:lang w:val="en-US"/>
        </w:rPr>
        <w:t>-Ind</w:t>
      </w:r>
      <w:r w:rsidRPr="007C45C4">
        <w:rPr>
          <w:rFonts w:cs="Arial"/>
          <w:lang w:val="en-US"/>
        </w:rPr>
        <w:t>'</w:t>
      </w:r>
      <w:r w:rsidRPr="007C45C4">
        <w:rPr>
          <w:lang w:val="en-US"/>
        </w:rPr>
        <w:t>)Mo(CO)</w:t>
      </w:r>
      <w:r w:rsidRPr="007C45C4">
        <w:rPr>
          <w:vertAlign w:val="subscript"/>
          <w:lang w:val="en-US"/>
        </w:rPr>
        <w:t>2</w:t>
      </w:r>
      <w:r w:rsidRPr="007C45C4">
        <w:rPr>
          <w:lang w:val="en-US"/>
        </w:rPr>
        <w:t>L</w:t>
      </w:r>
      <w:r w:rsidRPr="007C45C4">
        <w:rPr>
          <w:vertAlign w:val="subscript"/>
          <w:lang w:val="en-US"/>
        </w:rPr>
        <w:t>2</w:t>
      </w:r>
      <w:r w:rsidRPr="007C45C4">
        <w:rPr>
          <w:lang w:val="en-US"/>
        </w:rPr>
        <w:t>]</w:t>
      </w:r>
      <w:r w:rsidRPr="007C45C4">
        <w:rPr>
          <w:vertAlign w:val="superscript"/>
          <w:lang w:val="en-US"/>
        </w:rPr>
        <w:t>+</w:t>
      </w:r>
      <w:r w:rsidRPr="007C45C4">
        <w:rPr>
          <w:lang w:val="en-US"/>
        </w:rPr>
        <w:t xml:space="preserve"> reported for various chelates so far.</w:t>
      </w:r>
      <w:r w:rsidR="000D21C1" w:rsidRPr="007C45C4">
        <w:rPr>
          <w:lang w:val="en-US"/>
        </w:rPr>
        <w:fldChar w:fldCharType="begin" w:fldLock="1"/>
      </w:r>
      <w:r w:rsidRPr="007C45C4">
        <w:rPr>
          <w:lang w:val="en-US"/>
        </w:rPr>
        <w:instrText>ADDIN CSL_CITATION {"citationItems":[{"id":"ITEM-1","itemData":{"DOI":"10.1039/C1DT10607D","ISSN":"1477-9226","abstract":"The macrocycle 1,4,7-trithiacyclononane (ttcn) reacts with [([small eta]5-Ind)Mo(CO)2(NCMe)2]+ (or [([small eta]5-Ind)Mo(CO)2([small kappa]2-dme)]+) to give [([small eta]3-Ind)Mo(CO)2([small kappa]3-ttcn)]+ as the BF4- salt (1), but its reaction with [([small eta]5-Ind)Mo(CO)2(C3H6)(FBF3)] affords the C-S bond cleavage product [([small eta]5-Ind)Mo(CO)([small kappa]3-1,4,7-trithiaheptanate)]BF4 (6), which has been characterised by X-ray crystallography (Ind = C9H7, indenyl). In contrast to ttcn, the macrocycles 1,3,5-trithiane (tt) and 1,4,7,10-tetrathiacyclododecane (ttcd) fail to induce changes in the coordination mode of indenyl: tt and ttcd react with [([small eta]5-Ind)Mo(CO)2(NCMe)2]+ (or [([small eta]5-Ind)Mo(CO)2([small kappa]2-dme)]+) to give [([small eta]5-Ind)Mo(CO)2([small kappa]2-tt)]+ (2), characterised by X-ray crystallography, and [([small eta]5-Ind)Mo(CO)2([small kappa]2-ttcd)]+ (3), respectively. The cyclopentadienyl (Cp = C5H5) analogues [([small eta]5-CpMo(CO)2([small kappa]2-tt)]+ (4) and [([small eta]5-CpMo(CO)2([small kappa]2-ttcn)]+ (5) have also been synthesised and 5 characterised by X-ray crystallography. DFT calculations showed that the [small eta]5-Ind/Cp coordination mode is always the most stable. However, a molecular dynamics study of the macrocycles conformations revealed that the major conformer of ttcn was a chair, which favoured [small kappa]3 coordination. As indenyl complexes undergo slippage with a small barrier (&lt;10 kcal mol-1), the kinetically preferred species [([small eta]3-Ind)Mo(CO)2([small kappa]3-ttcn)]+ (1) is the observed one. The conversion to 6 proceeds stepwise, with loss of ethylene followed by loss of CO, as calculated by DFT, with a barrier of 38.7 kcal mol-1, consistent with the slow uncatalysed reaction.","author":[{"dropping-particle":"","family":"Gamelas","given":"Carla A","non-dropping-particle":"","parse-names":false,"suffix":""},{"dropping-particle":"","family":"Bandeira","given":"Nuno A G","non-dropping-particle":"","parse-names":false,"suffix":""},{"dropping-particle":"","family":"Pereira","given":"Claudia C L","non-dropping-particle":"","parse-names":false,"suffix":""},{"dropping-particle":"","family":"Calhorda","given":"Maria Jose","non-dropping-particle":"","parse-names":false,"suffix":""},{"dropping-particle":"","family":"Herdtweck","given":"Eberhardt","non-dropping-particle":"","parse-names":false,"suffix":""},{"dropping-particle":"","family":"Machuqueiro","given":"Miguel","non-dropping-particle":"","parse-names":false,"suffix":""},{"dropping-particle":"","family":"Romao","given":"Carlos C","non-dropping-particle":"","parse-names":false,"suffix":""},{"dropping-particle":"","family":"Veiros","given":"Luis F","non-dropping-particle":"","parse-names":false,"suffix":""}],"container-title":"Dalton Transactions","id":"ITEM-1","issue":"40","issued":{"date-parts":[["2011"]]},"page":"10513-10525","publisher":"The Royal Society of Chemistry","title":"Indenyl ring slippage in crown thioether complexes [IndMo(CO)2L]+ and C-S activation of trithiacyclononane: Experimental and theoretical studies","type":"article-journal","volume":"40"},"uris":["http://www.mendeley.com/documents/?uuid=a1df943b-1b40-4d3f-b507-74b303746df1"]},{"id":"ITEM-2","itemData":{"DOI":"10.1002/ejic.201501133","ISSN":"14341948","author":[{"dropping-particle":"","family":"Mrózek","given":"Ondřej","non-dropping-particle":"","parse-names":false,"suffix":""},{"dropping-particle":"","family":"Šebestová","given":"Lucie","non-dropping-particle":"","parse-names":false,"suffix":""},{"dropping-particle":"","family":"Vinklárek","given":"Jaromír","non-dropping-particle":"","parse-names":false,"suffix":""},{"dropping-particle":"","family":"Řezáčová","given":"Martina","non-dropping-particle":"","parse-names":false,"suffix":""},{"dropping-particle":"","family":"Eisner","given":"Aleš","non-dropping-particle":"","parse-names":false,"suffix":""},{"dropping-particle":"","family":"Růžičková","given":"Zdeňka","non-dropping-particle":"","parse-names":false,"suffix":""},{"dropping-particle":"","family":"Honzíček","given":"Jan","non-dropping-particle":"","parse-names":false,"suffix":""}],"container-title":"European Journal of Inorganic Chemistry","id":"ITEM-2","issue":"4","issued":{"date-parts":[["2016","2","5"]]},"page":"519-529","title":"Highly Water-Soluble Cyclopentadienyl and Indenyl Molybdenum(II) Complexes - Second Generation of Molybdenum-Based Cytotoxic Agents","type":"article-journal","volume":"2016"},"uris":["http://www.mendeley.com/documents/?uuid=cd036df7-c268-4e7c-90de-2f23aa9e0425"]},{"id":"ITEM-3","itemData":{"DOI":"10.1039/C5RA01450F","abstract":"A series of [small eta]3-indenyl molybdenum compounds [([small eta]3-4,7-Me2C9H5)Mo(CO)2(N,NL)Cl] (N,NL = bpy, phen, pyma), isostructural with well-known [small eta]3-allyl compounds, was synthesized from the recently established halide synthon [{([small eta]5-4,7-Me2C9H5)Mo(CO)2([small mu ]-Cl)}2]. The low stability of the hexacoordinated [small eta]3-indenyl molybdenum species in solution has been overcome by a modification of the chelating ligand. Hence, the dissociation of the compounds bearing ligands with methyl groups beside nitrogen donor atoms (e.g. 6,6[prime or minute]-Me2-bpy, 2,9-Me2-phen; 2,9-Me2-4,7-Ph2-phen) is strongly disfavored due to the steric requirements of the substituents. The considerable discrimination of the pentacoordinated species enables the use of [([small eta]5-4,7-Me2C9H5)Mo(CO)2(2,9-Me2-phen)][BF4] for the assembly of derivatives bearing other halides and pseudohalides in the coordination sphere of molybdenum. The current study further describes some other new indenyl complexes accessible from [{([small eta]5-4,7-Me2C9H5)Mo(CO)2([small mu ]-Cl)}2]. All structural types presented in this experimental study were supported by X-ray crystallographic data.","author":[{"dropping-particle":"","family":"Lodinsky","given":"Jakub","non-dropping-particle":"","parse-names":false,"suffix":""},{"dropping-particle":"","family":"Vinklarek","given":"Jaromir","non-dropping-particle":"","parse-names":false,"suffix":""},{"dropping-particle":"","family":"Dostal","given":"Libor","non-dropping-particle":"","parse-names":false,"suffix":""},{"dropping-particle":"","family":"Ruzickova","given":"Zdenka","non-dropping-particle":"","parse-names":false,"suffix":""},{"dropping-particle":"","family":"Honzicek","given":"Jan","non-dropping-particle":"","parse-names":false,"suffix":""}],"container-title":"RSC Advances","id":"ITEM-3","issue":"34","issued":{"date-parts":[["2015"]]},"page":"27140-27153","publisher":"The Royal Society of Chemistry","title":"Stabilization of [small eta]3-indenyl compounds by sterically demanding N,N-chelating ligands in the molybdenum coordination sphere","type":"article-journal","volume":"5"},"uris":["http://www.mendeley.com/documents/?uuid=7554313c-e3a0-41d0-ac85-3b856a7ce1c5"]},{"id":"ITEM-4","itemData":{"DOI":"https://doi.org/10.1016/j.jorganchem.2012.07.011","ISSN":"0022-328X","abstract":"A series of allyl molybdenum [(η3-C3H5)Mo(CO)2L2Cl], [(η3-C3H4COOMe)Mo(CO)2L2Br], cyclopentadienyl molybdenum [(η5-C5H4R)Mo(CO)2L2][BF4] (R = H, 4-MeOC6H4CH2, 3,4,5-(MeO)3C6H2CH2), indenyl molybdenum [(η5-C9H6R)Mo(CO)2L2][BF4] (R = H, 4-MeOC6H4CH2) and cyclopentadienyl tungsten compounds [(η5-C5H5)W(CO)2L2][BF4], where L2 is N,N′-chelating ligand, were synthesized and characterized. The in vitro assay on human leukemia cells MOLT-4 has shown that the substitution in the π-ligand has lower effect of on cytotoxicity than exchange of the N,N′-chelating ligand. Nevertheless, even this modification can lead to considerable enhance of cytotoxicity as was evidenced on the series of the indenyl molybdenum(II) compounds.","author":[{"dropping-particle":"","family":"Honzíček","given":"Jan","non-dropping-particle":"","parse-names":false,"suffix":""},{"dropping-particle":"","family":"Vinklárek","given":"Jaromír","non-dropping-particle":"","parse-names":false,"suffix":""},{"dropping-particle":"","family":"Padělková","given":"Zdeňka","non-dropping-particle":"","parse-names":false,"suffix":""},{"dropping-particle":"","family":"Šebestová","given":"Lucie","non-dropping-particle":"","parse-names":false,"suffix":""},{"dropping-particle":"","family":"Foltánová","given":"Karolína","non-dropping-particle":"","parse-names":false,"suffix":""},{"dropping-particle":"","family":"Řezáčová","given":"Martina","non-dropping-particle":"","parse-names":false,"suffix":""}],"container-title":"Journal of Organometallic Chemistry","id":"ITEM-4","issued":{"date-parts":[["2012"]]},"page":"258-268","title":"The effect of substitution on the cytotoxicity of molybdenum(II) and tungsten(II) compounds","type":"article-journal","volume":"716"},"uris":["http://www.mendeley.com/documents/?uuid=d0003565-9a94-48a0-ac6e-172e6f1bf7f5"]}],"mendeley":{"formattedCitation":"&lt;sup&gt;14,16,30,35&lt;/sup&gt;","plainTextFormattedCitation":"14,16,30,35","previouslyFormattedCitation":"&lt;sup&gt;14,16,30,35&lt;/sup&gt;"},"properties":{"noteIndex":0},"schema":"https://github.com/citation-style-language/schema/raw/master/csl-citation.json"}</w:instrText>
      </w:r>
      <w:r w:rsidR="000D21C1" w:rsidRPr="007C45C4">
        <w:rPr>
          <w:lang w:val="en-US"/>
        </w:rPr>
        <w:fldChar w:fldCharType="separate"/>
      </w:r>
      <w:r w:rsidRPr="007C45C4">
        <w:rPr>
          <w:noProof/>
          <w:vertAlign w:val="superscript"/>
          <w:lang w:val="en-US"/>
        </w:rPr>
        <w:t>14,16,30,35</w:t>
      </w:r>
      <w:r w:rsidR="000D21C1" w:rsidRPr="007C45C4">
        <w:rPr>
          <w:lang w:val="en-US"/>
        </w:rPr>
        <w:fldChar w:fldCharType="end"/>
      </w:r>
      <w:r w:rsidRPr="007C45C4">
        <w:rPr>
          <w:rFonts w:cs="Arial"/>
          <w:lang w:val="en-US"/>
        </w:rPr>
        <w:t xml:space="preserve">Low values of structural parameters </w:t>
      </w:r>
      <w:r w:rsidRPr="007C45C4">
        <w:rPr>
          <w:rFonts w:cs="Arial"/>
          <w:lang w:val="en-US"/>
        </w:rPr>
        <w:sym w:font="Symbol" w:char="F044"/>
      </w:r>
      <w:r w:rsidRPr="007C45C4">
        <w:rPr>
          <w:rFonts w:cs="Arial"/>
          <w:lang w:val="en-US"/>
        </w:rPr>
        <w:t>(M</w:t>
      </w:r>
      <w:r w:rsidRPr="007C45C4">
        <w:rPr>
          <w:rFonts w:cs="Arial"/>
          <w:lang w:val="en-US"/>
        </w:rPr>
        <w:sym w:font="Symbol" w:char="F02D"/>
      </w:r>
      <w:r w:rsidRPr="007C45C4">
        <w:rPr>
          <w:rFonts w:cs="Arial"/>
          <w:lang w:val="en-US"/>
        </w:rPr>
        <w:t xml:space="preserve">C) and </w:t>
      </w:r>
      <w:r w:rsidRPr="007C45C4">
        <w:rPr>
          <w:rFonts w:cs="Arial"/>
          <w:lang w:val="en-US"/>
        </w:rPr>
        <w:sym w:font="Symbol" w:char="F057"/>
      </w:r>
      <w:r w:rsidRPr="007C45C4">
        <w:rPr>
          <w:rFonts w:cs="Arial"/>
          <w:lang w:val="en-US"/>
        </w:rPr>
        <w:t xml:space="preserve"> determines η</w:t>
      </w:r>
      <w:r w:rsidRPr="007C45C4">
        <w:rPr>
          <w:rFonts w:cs="Arial"/>
          <w:vertAlign w:val="superscript"/>
          <w:lang w:val="en-US"/>
        </w:rPr>
        <w:t>5</w:t>
      </w:r>
      <w:r w:rsidRPr="007C45C4">
        <w:rPr>
          <w:rFonts w:cs="Arial"/>
          <w:lang w:val="en-US"/>
        </w:rPr>
        <w:t xml:space="preserve"> coordination mode of the indenyl as summarizes Table 2.</w:t>
      </w:r>
    </w:p>
    <w:p w14:paraId="46073384" w14:textId="735E7159" w:rsidR="00B80503" w:rsidRPr="007C45C4" w:rsidRDefault="005667B4" w:rsidP="00B80503">
      <w:pPr>
        <w:pStyle w:val="RSCI02FigureSchemeChartwithtopbar"/>
        <w:rPr>
          <w:lang w:val="en-US"/>
        </w:rPr>
      </w:pPr>
      <w:r w:rsidRPr="007C45C4">
        <w:rPr>
          <w:noProof/>
          <w:lang w:val="en-US"/>
        </w:rPr>
        <w:drawing>
          <wp:inline distT="0" distB="0" distL="0" distR="0" wp14:anchorId="1A984386" wp14:editId="5E633628">
            <wp:extent cx="2488565" cy="3721100"/>
            <wp:effectExtent l="0" t="0" r="6985" b="0"/>
            <wp:docPr id="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xrd_4_final.tiff"/>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88565" cy="3721100"/>
                    </a:xfrm>
                    <a:prstGeom prst="rect">
                      <a:avLst/>
                    </a:prstGeom>
                  </pic:spPr>
                </pic:pic>
              </a:graphicData>
            </a:graphic>
          </wp:inline>
        </w:drawing>
      </w:r>
    </w:p>
    <w:p w14:paraId="7A885F5C" w14:textId="7234D84B" w:rsidR="005667B4" w:rsidRPr="007C45C4" w:rsidRDefault="005667B4" w:rsidP="00B80503">
      <w:pPr>
        <w:pStyle w:val="RSCI05CaptiontoFigureSchemeChartwithbottombar"/>
        <w:rPr>
          <w:lang w:val="en-US"/>
        </w:rPr>
      </w:pPr>
      <w:r w:rsidRPr="007C45C4">
        <w:rPr>
          <w:b/>
          <w:lang w:val="en-US"/>
        </w:rPr>
        <w:t>Fig</w:t>
      </w:r>
      <w:r w:rsidR="007C45C4" w:rsidRPr="007C45C4">
        <w:rPr>
          <w:b/>
          <w:lang w:val="en-US"/>
        </w:rPr>
        <w:t>.</w:t>
      </w:r>
      <w:r w:rsidRPr="007C45C4">
        <w:rPr>
          <w:b/>
          <w:lang w:val="en-US"/>
        </w:rPr>
        <w:t xml:space="preserve"> </w:t>
      </w:r>
      <w:r w:rsidR="009A21C5" w:rsidRPr="007C45C4">
        <w:rPr>
          <w:b/>
          <w:lang w:val="en-US"/>
        </w:rPr>
        <w:t>2</w:t>
      </w:r>
      <w:r w:rsidR="00A82FE0" w:rsidRPr="007C45C4">
        <w:rPr>
          <w:lang w:val="en-US"/>
        </w:rPr>
        <w:t xml:space="preserve"> </w:t>
      </w:r>
      <w:r w:rsidRPr="007C45C4">
        <w:rPr>
          <w:lang w:val="en-US"/>
        </w:rPr>
        <w:t>ORTEP view of [(η</w:t>
      </w:r>
      <w:r w:rsidRPr="007C45C4">
        <w:rPr>
          <w:vertAlign w:val="superscript"/>
          <w:lang w:val="en-US"/>
        </w:rPr>
        <w:t>5</w:t>
      </w:r>
      <w:r w:rsidRPr="007C45C4">
        <w:rPr>
          <w:lang w:val="en-US"/>
        </w:rPr>
        <w:t>-C</w:t>
      </w:r>
      <w:r w:rsidRPr="007C45C4">
        <w:rPr>
          <w:vertAlign w:val="subscript"/>
          <w:lang w:val="en-US"/>
        </w:rPr>
        <w:t>9</w:t>
      </w:r>
      <w:r w:rsidRPr="007C45C4">
        <w:rPr>
          <w:lang w:val="en-US"/>
        </w:rPr>
        <w:t>H</w:t>
      </w:r>
      <w:r w:rsidRPr="007C45C4">
        <w:rPr>
          <w:vertAlign w:val="subscript"/>
          <w:lang w:val="en-US"/>
        </w:rPr>
        <w:t>6</w:t>
      </w:r>
      <w:r w:rsidRPr="007C45C4">
        <w:rPr>
          <w:lang w:val="en-US"/>
        </w:rPr>
        <w:t>CH</w:t>
      </w:r>
      <w:r w:rsidRPr="007C45C4">
        <w:rPr>
          <w:vertAlign w:val="subscript"/>
          <w:lang w:val="en-US"/>
        </w:rPr>
        <w:t>2</w:t>
      </w:r>
      <w:r w:rsidRPr="007C45C4">
        <w:rPr>
          <w:lang w:val="en-US"/>
        </w:rPr>
        <w:t>C</w:t>
      </w:r>
      <w:r w:rsidRPr="007C45C4">
        <w:rPr>
          <w:vertAlign w:val="subscript"/>
          <w:lang w:val="en-US"/>
        </w:rPr>
        <w:t>4</w:t>
      </w:r>
      <w:r w:rsidRPr="007C45C4">
        <w:rPr>
          <w:lang w:val="en-US"/>
        </w:rPr>
        <w:t>H</w:t>
      </w:r>
      <w:r w:rsidRPr="007C45C4">
        <w:rPr>
          <w:vertAlign w:val="subscript"/>
          <w:lang w:val="en-US"/>
        </w:rPr>
        <w:t>3</w:t>
      </w:r>
      <w:r w:rsidRPr="007C45C4">
        <w:rPr>
          <w:lang w:val="en-US"/>
        </w:rPr>
        <w:t>S</w:t>
      </w:r>
      <w:proofErr w:type="gramStart"/>
      <w:r w:rsidRPr="007C45C4">
        <w:rPr>
          <w:lang w:val="en-US"/>
        </w:rPr>
        <w:t>)Mo</w:t>
      </w:r>
      <w:proofErr w:type="gramEnd"/>
      <w:r w:rsidRPr="007C45C4">
        <w:rPr>
          <w:lang w:val="en-US"/>
        </w:rPr>
        <w:t>(CO)</w:t>
      </w:r>
      <w:r w:rsidRPr="007C45C4">
        <w:rPr>
          <w:vertAlign w:val="subscript"/>
          <w:lang w:val="en-US"/>
        </w:rPr>
        <w:t>2</w:t>
      </w:r>
      <w:r w:rsidRPr="007C45C4">
        <w:rPr>
          <w:lang w:val="en-US"/>
        </w:rPr>
        <w:t>(</w:t>
      </w:r>
      <w:proofErr w:type="spellStart"/>
      <w:r w:rsidRPr="007C45C4">
        <w:rPr>
          <w:lang w:val="en-US"/>
        </w:rPr>
        <w:t>bpy</w:t>
      </w:r>
      <w:proofErr w:type="spellEnd"/>
      <w:r w:rsidRPr="007C45C4">
        <w:rPr>
          <w:lang w:val="en-US"/>
        </w:rPr>
        <w:t>)]</w:t>
      </w:r>
      <w:r w:rsidRPr="007C45C4">
        <w:rPr>
          <w:vertAlign w:val="superscript"/>
          <w:lang w:val="en-US"/>
        </w:rPr>
        <w:t>+</w:t>
      </w:r>
      <w:r w:rsidR="007C45C4" w:rsidRPr="007C45C4">
        <w:rPr>
          <w:lang w:val="en-US"/>
        </w:rPr>
        <w:t xml:space="preserve"> present in c</w:t>
      </w:r>
      <w:r w:rsidR="007C45C4">
        <w:rPr>
          <w:lang w:val="en-US"/>
        </w:rPr>
        <w:t xml:space="preserve">rystal structure of </w:t>
      </w:r>
      <w:r w:rsidR="007C45C4" w:rsidRPr="007C45C4">
        <w:rPr>
          <w:b/>
          <w:lang w:val="en-US"/>
        </w:rPr>
        <w:t>4a</w:t>
      </w:r>
      <w:r w:rsidR="007C45C4">
        <w:rPr>
          <w:lang w:val="en-US"/>
        </w:rPr>
        <w:t>.</w:t>
      </w:r>
      <w:r w:rsidRPr="007C45C4">
        <w:rPr>
          <w:lang w:val="en-US"/>
        </w:rPr>
        <w:t xml:space="preserve"> Thermal ellipsoids are drawn at 20% probability level. Select</w:t>
      </w:r>
      <w:r w:rsidR="00832F13" w:rsidRPr="007C45C4">
        <w:rPr>
          <w:lang w:val="en-US"/>
        </w:rPr>
        <w:t>ed bond length (Å) and angles (°</w:t>
      </w:r>
      <w:r w:rsidRPr="007C45C4">
        <w:rPr>
          <w:lang w:val="en-US"/>
        </w:rPr>
        <w:t>): Mo1</w:t>
      </w:r>
      <w:r w:rsidRPr="007C45C4">
        <w:rPr>
          <w:lang w:val="en-US"/>
        </w:rPr>
        <w:sym w:font="Symbol" w:char="F02D"/>
      </w:r>
      <w:proofErr w:type="gramStart"/>
      <w:r w:rsidRPr="007C45C4">
        <w:rPr>
          <w:lang w:val="en-US"/>
        </w:rPr>
        <w:t>Cg(</w:t>
      </w:r>
      <w:proofErr w:type="spellStart"/>
      <w:proofErr w:type="gramEnd"/>
      <w:r w:rsidRPr="007C45C4">
        <w:rPr>
          <w:lang w:val="en-US"/>
        </w:rPr>
        <w:t>Cp</w:t>
      </w:r>
      <w:proofErr w:type="spellEnd"/>
      <w:r w:rsidRPr="007C45C4">
        <w:rPr>
          <w:lang w:val="en-US"/>
        </w:rPr>
        <w:t>) = 1.9965(17), Mo1</w:t>
      </w:r>
      <w:r w:rsidRPr="007C45C4">
        <w:rPr>
          <w:lang w:val="en-US"/>
        </w:rPr>
        <w:sym w:font="Symbol" w:char="F02D"/>
      </w:r>
      <w:r w:rsidRPr="007C45C4">
        <w:rPr>
          <w:lang w:val="en-US"/>
        </w:rPr>
        <w:t>C16 = 1.970(3), Mo1</w:t>
      </w:r>
      <w:r w:rsidRPr="007C45C4">
        <w:rPr>
          <w:lang w:val="en-US"/>
        </w:rPr>
        <w:sym w:font="Symbol" w:char="F02D"/>
      </w:r>
      <w:r w:rsidRPr="007C45C4">
        <w:rPr>
          <w:lang w:val="en-US"/>
        </w:rPr>
        <w:t>C15 = 1.962(3), Mo1</w:t>
      </w:r>
      <w:r w:rsidRPr="007C45C4">
        <w:rPr>
          <w:lang w:val="en-US"/>
        </w:rPr>
        <w:sym w:font="Symbol" w:char="F02D"/>
      </w:r>
      <w:r w:rsidRPr="007C45C4">
        <w:rPr>
          <w:lang w:val="en-US"/>
        </w:rPr>
        <w:t>N1 = 2.190(3), Mo1</w:t>
      </w:r>
      <w:r w:rsidRPr="007C45C4">
        <w:rPr>
          <w:lang w:val="en-US"/>
        </w:rPr>
        <w:sym w:font="Symbol" w:char="F02D"/>
      </w:r>
      <w:r w:rsidRPr="007C45C4">
        <w:rPr>
          <w:lang w:val="en-US"/>
        </w:rPr>
        <w:t>N2 = 2.183(3), C15</w:t>
      </w:r>
      <w:r w:rsidRPr="007C45C4">
        <w:rPr>
          <w:lang w:val="en-US"/>
        </w:rPr>
        <w:sym w:font="Symbol" w:char="F02D"/>
      </w:r>
      <w:r w:rsidRPr="007C45C4">
        <w:rPr>
          <w:lang w:val="en-US"/>
        </w:rPr>
        <w:t>Mo1</w:t>
      </w:r>
      <w:r w:rsidRPr="007C45C4">
        <w:rPr>
          <w:lang w:val="en-US"/>
        </w:rPr>
        <w:sym w:font="Symbol" w:char="F02D"/>
      </w:r>
      <w:r w:rsidRPr="007C45C4">
        <w:rPr>
          <w:lang w:val="en-US"/>
        </w:rPr>
        <w:t>C16 = 73.3(1), N1</w:t>
      </w:r>
      <w:r w:rsidRPr="007C45C4">
        <w:rPr>
          <w:lang w:val="en-US"/>
        </w:rPr>
        <w:sym w:font="Symbol" w:char="F02D"/>
      </w:r>
      <w:r w:rsidRPr="007C45C4">
        <w:rPr>
          <w:lang w:val="en-US"/>
        </w:rPr>
        <w:t>Mo1</w:t>
      </w:r>
      <w:r w:rsidRPr="007C45C4">
        <w:rPr>
          <w:lang w:val="en-US"/>
        </w:rPr>
        <w:sym w:font="Symbol" w:char="F02D"/>
      </w:r>
      <w:r w:rsidRPr="007C45C4">
        <w:rPr>
          <w:lang w:val="en-US"/>
        </w:rPr>
        <w:t>N2 = 72.8(1).</w:t>
      </w:r>
    </w:p>
    <w:p w14:paraId="3116B171" w14:textId="77777777" w:rsidR="00284AE7" w:rsidRPr="007C45C4" w:rsidRDefault="00284AE7" w:rsidP="00284AE7">
      <w:pPr>
        <w:pStyle w:val="RSCB06BHeadingSub-Section"/>
        <w:rPr>
          <w:lang w:val="en-US"/>
        </w:rPr>
      </w:pPr>
      <w:r w:rsidRPr="007C45C4">
        <w:rPr>
          <w:lang w:val="en-US"/>
        </w:rPr>
        <w:t>Cytotoxicity of chelate complexes</w:t>
      </w:r>
    </w:p>
    <w:p w14:paraId="4EA21A76" w14:textId="51DD2125" w:rsidR="00284AE7" w:rsidRPr="007C45C4" w:rsidRDefault="00025417" w:rsidP="00973FE9">
      <w:pPr>
        <w:pStyle w:val="RSCB02ArticleText"/>
        <w:rPr>
          <w:lang w:val="en-US"/>
        </w:rPr>
      </w:pPr>
      <w:r w:rsidRPr="007C45C4">
        <w:rPr>
          <w:lang w:val="en-US"/>
        </w:rPr>
        <w:t xml:space="preserve">In the first step, the cytotoxic effect of all synthetized molybdenum complexes </w:t>
      </w:r>
      <w:r w:rsidRPr="007C45C4">
        <w:rPr>
          <w:b/>
          <w:lang w:val="en-US"/>
        </w:rPr>
        <w:t>3</w:t>
      </w:r>
      <w:r w:rsidRPr="007C45C4">
        <w:rPr>
          <w:lang w:val="en-US"/>
        </w:rPr>
        <w:t>–</w:t>
      </w:r>
      <w:r w:rsidRPr="007C45C4">
        <w:rPr>
          <w:b/>
          <w:lang w:val="en-US"/>
        </w:rPr>
        <w:t>7</w:t>
      </w:r>
      <w:r w:rsidRPr="007C45C4">
        <w:rPr>
          <w:lang w:val="en-US"/>
        </w:rPr>
        <w:t xml:space="preserve"> was evaluated against human T-lymphocytic leukemia cells MOLT-4 in exponential grow phase at 24</w:t>
      </w:r>
      <w:r w:rsidR="00A82FE0" w:rsidRPr="007C45C4">
        <w:rPr>
          <w:lang w:val="en-US"/>
        </w:rPr>
        <w:t>-</w:t>
      </w:r>
      <w:r w:rsidRPr="007C45C4">
        <w:rPr>
          <w:lang w:val="en-US"/>
        </w:rPr>
        <w:t>h interval of treatment. Our working group used suspension cell line MOLT-4 as a standard cancer line for the initial cytotoxicity assessment of complexes.</w:t>
      </w:r>
      <w:r w:rsidR="008F7914" w:rsidRPr="007C45C4">
        <w:rPr>
          <w:lang w:val="en-US"/>
        </w:rPr>
        <w:fldChar w:fldCharType="begin" w:fldLock="1"/>
      </w:r>
      <w:r w:rsidR="00357335" w:rsidRPr="007C45C4">
        <w:rPr>
          <w:lang w:val="en-US"/>
        </w:rPr>
        <w:instrText>ADDIN CSL_CITATION {"citationItems":[{"id":"ITEM-1","itemData":{"DOI":"10.1002/ejic.201201505","ISSN":"1434-1948","abstract":"Abstract A series of vanadocene complexes [Cp?2V(L)][OTf]2 (Cp? = ?5?C5H5, ?5?C5H4Me; L = phen, 5?NO2?phen, 5?NH2?phen, 4,7?Ph2?phen) was prepared and characterized by mass spectrometry and EPR spectroscopy. Structures of two complexes that contain an N,N??chelating ligand, [(?5?C5H4Me)2V(phen)][OTf]2·0.5Me2CO and [(?5?C5H5)2V(5?NH2?phen)][OTf]2, and the triflate intermediate [(?5?C5H5)2V(OTf)2] were further confirmed by X?ray diffraction analysis. The cytotoxicity study has shown that complexes that contain phenanthroline ligands have considerably higher in vitro activity toward human leukemia cells MOLT?4 and HL?60 than their parent dichlorides ([Cp?2VCl2]). The high activity of these complexes coheres with their higher stability in various aqueous media. This study has further shown that substitution of chloride ligands in the vanadocene dichloride has a considerably higher effect on cytotoxicity than expected on the basis of established mechanistic rules.","author":[{"dropping-particle":"","family":"Vinklárek","given":"Jaromír","non-dropping-particle":"","parse-names":false,"suffix":""},{"dropping-particle":"","family":"Hurychová","given":"Hana","non-dropping-particle":"","parse-names":false,"suffix":""},{"dropping-particle":"","family":"Honzíček","given":"Jan","non-dropping-particle":"","parse-names":false,"suffix":""},{"dropping-particle":"","family":"Šebestová","given":"Lucie","non-dropping-particle":"","parse-names":false,"suffix":""},{"dropping-particle":"","family":"Padělková","given":"Zdeňka","non-dropping-particle":"","parse-names":false,"suffix":""},{"dropping-particle":"","family":"Řezáčová","given":"Martina","non-dropping-particle":"","parse-names":false,"suffix":""}],"container-title":"European Journal of Inorganic Chemistry","id":"ITEM-1","issue":"14","issued":{"date-parts":[["2013","5","6"]]},"note":"doi: 10.1002/ejic.201201505","page":"2665-2672","publisher":"Wiley-Blackwell","title":"Can Substitution of Chlorides Enhance the Cytotoxicity of Vanadocene Dichloride?","type":"article-journal","volume":"2013"},"uris":["http://www.mendeley.com/documents/?uuid=6cae269e-b96a-4f62-93cf-8f8bfb98ef21"]},{"id":"ITEM-2","itemData":{"DOI":"10.1002/ejic.201501133","ISSN":"14341948","author":[{"dropping-particle":"","family":"Mrózek","given":"Ondřej","non-dropping-particle":"","parse-names":false,"suffix":""},{"dropping-particle":"","family":"Šebestová","given":"Lucie","non-dropping-particle":"","parse-names":false,"suffix":""},{"dropping-particle":"","family":"Vinklárek","given":"Jaromír","non-dropping-particle":"","parse-names":false,"suffix":""},{"dropping-particle":"","family":"Řezáčová","given":"Martina","non-dropping-particle":"","parse-names":false,"suffix":""},{"dropping-particle":"","family":"Eisner","given":"Aleš","non-dropping-particle":"","parse-names":false,"suffix":""},{"dropping-particle":"","family":"Růžičková","given":"Zdeňka","non-dropping-particle":"","parse-names":false,"suffix":""},{"dropping-particle":"","family":"Honzíček","given":"Jan","non-dropping-particle":"","parse-names":false,"suffix":""}],"container-title":"European Journal of Inorganic Chemistry","id":"ITEM-2","issue":"4","issued":{"date-parts":[["2016","2","5"]]},"page":"519-529","title":"Highly Water-Soluble Cyclopentadienyl and Indenyl Molybdenum(II) Complexes - Second Generation of Molybdenum-Based Cytotoxic Agents","type":"article-journal","volume":"2016"},"uris":["http://www.mendeley.com/documents/?uuid=cd036df7-c268-4e7c-90de-2f23aa9e0425"]},{"id":"ITEM-3","itemData":{"DOI":"https://doi.org/10.1016/j.jorganchem.2012.07.011","ISSN":"0022-328X","abstract":"A series of allyl molybdenum [(η3-C3H5)Mo(CO)2L2Cl], [(η3-C3H4COOMe)Mo(CO)2L2Br], cyclopentadienyl molybdenum [(η5-C5H4R)Mo(CO)2L2][BF4] (R = H, 4-MeOC6H4CH2, 3,4,5-(MeO)3C6H2CH2), indenyl molybdenum [(η5-C9H6R)Mo(CO)2L2][BF4] (R = H, 4-MeOC6H4CH2) and cyclopentadienyl tungsten compounds [(η5-C5H5)W(CO)2L2][BF4], where L2 is N,N′-chelating ligand, were synthesized and characterized. The in vitro assay on human leukemia cells MOLT-4 has shown that the substitution in the π-ligand has lower effect of on cytotoxicity than exchange of the N,N′-chelating ligand. Nevertheless, even this modification can lead to considerable enhance of cytotoxicity as was evidenced on the series of the indenyl molybdenum(II) compounds.","author":[{"dropping-particle":"","family":"Honzíček","given":"Jan","non-dropping-particle":"","parse-names":false,"suffix":""},{"dropping-particle":"","family":"Vinklárek","given":"Jaromír","non-dropping-particle":"","parse-names":false,"suffix":""},{"dropping-particle":"","family":"Padělková","given":"Zdeňka","non-dropping-particle":"","parse-names":false,"suffix":""},{"dropping-particle":"","family":"Šebestová","given":"Lucie","non-dropping-particle":"","parse-names":false,"suffix":""},{"dropping-particle":"","family":"Foltánová","given":"Karolína","non-dropping-particle":"","parse-names":false,"suffix":""},{"dropping-particle":"","family":"Řezáčová","given":"Martina","non-dropping-particle":"","parse-names":false,"suffix":""}],"container-title":"Journal of Organometallic Chemistry","id":"ITEM-3","issued":{"date-parts":[["2012"]]},"page":"258-268","title":"The effect of substitution on the cytotoxicity of molybdenum(II) and tungsten(II) compounds","type":"article-journal","volume":"716"},"uris":["http://www.mendeley.com/documents/?uuid=d0003565-9a94-48a0-ac6e-172e6f1bf7f5"]},{"id":"ITEM-4","itemData":{"DOI":"https://doi.org/10.1016/j.cbi.2015.09.017","ISSN":"0009-2797","abstract":"This work describes cytotoxic effect of non-platinum metal-based compounds on the human T-leukemic cells with different p53 status (p53 wild-type MOLT-4 and p53-deficient Jurkat cells). The cytotoxic and apoptosis-inducing effect of the vanadium complex [(η5-C5H5)2V(5-NH2-phen)]OTf (V1) and molybdenum complex [(η3-C3H5)Mo(CO)2(phen)Cl] (Mo1) were studied using flow cytometry, spectrophotometry and Western blotting. We found that the cytotoxic effect of both tested complexes after 24 h is higher against the both examined cell lines than that of cis-platin (cis-DDP). At later investigated time intervals of 48 and 72 h, the cytotoxic effect of the cis-DDP increased but the values of the cytotoxicity of the tested V1 and Mo1 complexes remained unchanged, with the cytotoxicity of V1 comparable to that of cis-DDP. Furthermore we observed that the apoptotic process was induced by the activation of the caspases 9 (intrinsic pathway) and 8 (extrinsic pathway) in cells exposed to evaluated complexes. In case of the p53 wild-type MOLT-4 cells, the expression of the tumor-suppressor protein p53 and its form phosphorylated at the serine 15 increased after both V1 and Mo1 treatment, similar to the effect of cis-DDP.","author":[{"dropping-particle":"","family":"Šebestová","given":"Lucie","non-dropping-particle":"","parse-names":false,"suffix":""},{"dropping-particle":"","family":"Havelek","given":"Radim","non-dropping-particle":"","parse-names":false,"suffix":""},{"dropping-particle":"","family":"Řezáčová","given":"Martina","non-dropping-particle":"","parse-names":false,"suffix":""},{"dropping-particle":"","family":"Honzíček","given":"Jan","non-dropping-particle":"","parse-names":false,"suffix":""},{"dropping-particle":"","family":"Kročová","given":"Zuzana","non-dropping-particle":"","parse-names":false,"suffix":""},{"dropping-particle":"","family":"Vinklárek","given":"Jaromír","non-dropping-particle":"","parse-names":false,"suffix":""}],"container-title":"Chemico-Biological Interactions","id":"ITEM-4","issued":{"date-parts":[["2015"]]},"page":"61-70","title":"Study of antitumor effect of selected vanadium and molybdenum organometallic complexes in human leukemic T-cells","type":"article-journal","volume":"242"},"uris":["http://www.mendeley.com/documents/?uuid=634b33f9-4350-4606-aedd-27d02da4c764"]}],"mendeley":{"formattedCitation":"&lt;sup&gt;14–16,36&lt;/sup&gt;","plainTextFormattedCitation":"14–16,36","previouslyFormattedCitation":"&lt;sup&gt;14–16,36&lt;/sup&gt;"},"properties":{"noteIndex":0},"schema":"https://github.com/citation-style-language/schema/raw/master/csl-citation.json"}</w:instrText>
      </w:r>
      <w:r w:rsidR="008F7914" w:rsidRPr="007C45C4">
        <w:rPr>
          <w:lang w:val="en-US"/>
        </w:rPr>
        <w:fldChar w:fldCharType="separate"/>
      </w:r>
      <w:r w:rsidR="008F7914" w:rsidRPr="007C45C4">
        <w:rPr>
          <w:noProof/>
          <w:vertAlign w:val="superscript"/>
          <w:lang w:val="en-US"/>
        </w:rPr>
        <w:t>14–16,36</w:t>
      </w:r>
      <w:r w:rsidR="008F7914" w:rsidRPr="007C45C4">
        <w:rPr>
          <w:lang w:val="en-US"/>
        </w:rPr>
        <w:fldChar w:fldCharType="end"/>
      </w:r>
      <w:r w:rsidRPr="007C45C4">
        <w:rPr>
          <w:lang w:val="en-US"/>
        </w:rPr>
        <w:t xml:space="preserve"> The cytotoxicity of complexes in terms of </w:t>
      </w:r>
      <w:r w:rsidR="009A21C5" w:rsidRPr="007C45C4">
        <w:rPr>
          <w:lang w:val="en-US"/>
        </w:rPr>
        <w:t>50% maximal inhibitory concentration (IC</w:t>
      </w:r>
      <w:r w:rsidR="009A21C5" w:rsidRPr="007C45C4">
        <w:rPr>
          <w:vertAlign w:val="subscript"/>
          <w:lang w:val="en-US"/>
        </w:rPr>
        <w:t>50</w:t>
      </w:r>
      <w:r w:rsidR="009A21C5" w:rsidRPr="007C45C4">
        <w:rPr>
          <w:lang w:val="en-US"/>
        </w:rPr>
        <w:t>)</w:t>
      </w:r>
      <w:r w:rsidRPr="007C45C4">
        <w:rPr>
          <w:lang w:val="en-US"/>
        </w:rPr>
        <w:t xml:space="preserve"> values were determined using the standard WST-1 cell proliferation and viability assays. This assay is based on reduction of the tetrazolium salt </w:t>
      </w:r>
      <w:r w:rsidR="009A21C5" w:rsidRPr="007C45C4">
        <w:rPr>
          <w:lang w:val="en-US"/>
        </w:rPr>
        <w:t>2-(4-iodophenyl)-3-(4-nitrophenyl)-5-(2</w:t>
      </w:r>
      <w:proofErr w:type="gramStart"/>
      <w:r w:rsidR="009A21C5" w:rsidRPr="007C45C4">
        <w:rPr>
          <w:lang w:val="en-US"/>
        </w:rPr>
        <w:t>,4</w:t>
      </w:r>
      <w:proofErr w:type="gramEnd"/>
      <w:r w:rsidR="009A21C5" w:rsidRPr="007C45C4">
        <w:rPr>
          <w:lang w:val="en-US"/>
        </w:rPr>
        <w:t>-disulfophenyl)-2</w:t>
      </w:r>
      <w:r w:rsidR="009A21C5" w:rsidRPr="007C45C4">
        <w:rPr>
          <w:i/>
          <w:lang w:val="en-US"/>
        </w:rPr>
        <w:t>H</w:t>
      </w:r>
      <w:r w:rsidR="009A21C5" w:rsidRPr="007C45C4">
        <w:rPr>
          <w:lang w:val="en-US"/>
        </w:rPr>
        <w:t>-tetrazolium sodium salt (WST-1)</w:t>
      </w:r>
      <w:r w:rsidRPr="007C45C4">
        <w:rPr>
          <w:lang w:val="en-US"/>
        </w:rPr>
        <w:t xml:space="preserve"> to a </w:t>
      </w:r>
      <w:r w:rsidR="00EB132C" w:rsidRPr="007C45C4">
        <w:rPr>
          <w:lang w:val="en-US"/>
        </w:rPr>
        <w:t>colored</w:t>
      </w:r>
      <w:r w:rsidRPr="007C45C4">
        <w:rPr>
          <w:lang w:val="en-US"/>
        </w:rPr>
        <w:t xml:space="preserve"> substance by mitochondrial </w:t>
      </w:r>
      <w:r w:rsidRPr="007C45C4">
        <w:rPr>
          <w:lang w:val="en-US"/>
        </w:rPr>
        <w:t>dehydrogenases of viable cells, and thus reflects combined drug treatment-induced changes in proliferation, growth and viability. The dose-dependence curves illustrating the effect of the increasing complexes concentrations on the viability of the MOLT-4 cells relative to untreated contro</w:t>
      </w:r>
      <w:r w:rsidR="009964FB">
        <w:rPr>
          <w:lang w:val="en-US"/>
        </w:rPr>
        <w:t>l cells are presented in Fig.</w:t>
      </w:r>
      <w:r w:rsidRPr="007C45C4">
        <w:rPr>
          <w:lang w:val="en-US"/>
        </w:rPr>
        <w:t xml:space="preserve"> 3</w:t>
      </w:r>
      <w:r w:rsidR="00CA3891">
        <w:rPr>
          <w:lang w:val="en-US"/>
        </w:rPr>
        <w:t xml:space="preserve"> together with </w:t>
      </w:r>
      <w:r w:rsidR="00CA3891" w:rsidRPr="007C45C4">
        <w:rPr>
          <w:lang w:val="en-US"/>
        </w:rPr>
        <w:t>obtained IC</w:t>
      </w:r>
      <w:r w:rsidR="00CA3891" w:rsidRPr="007C45C4">
        <w:rPr>
          <w:vertAlign w:val="subscript"/>
          <w:lang w:val="en-US"/>
        </w:rPr>
        <w:t>50</w:t>
      </w:r>
      <w:r w:rsidR="00CA3891" w:rsidRPr="007C45C4">
        <w:rPr>
          <w:lang w:val="en-US"/>
        </w:rPr>
        <w:t xml:space="preserve"> values</w:t>
      </w:r>
      <w:r w:rsidRPr="007C45C4">
        <w:rPr>
          <w:lang w:val="en-US"/>
        </w:rPr>
        <w:t xml:space="preserve">. Our results show that all </w:t>
      </w:r>
      <w:r w:rsidRPr="007C45C4">
        <w:rPr>
          <w:i/>
          <w:lang w:val="en-US"/>
        </w:rPr>
        <w:t>N</w:t>
      </w:r>
      <w:proofErr w:type="gramStart"/>
      <w:r w:rsidRPr="007C45C4">
        <w:rPr>
          <w:i/>
          <w:lang w:val="en-US"/>
        </w:rPr>
        <w:t>,N</w:t>
      </w:r>
      <w:proofErr w:type="gramEnd"/>
      <w:r w:rsidRPr="007C45C4">
        <w:rPr>
          <w:lang w:val="en-US"/>
        </w:rPr>
        <w:t xml:space="preserve">-chelate complexes </w:t>
      </w:r>
      <w:r w:rsidRPr="007C45C4">
        <w:rPr>
          <w:b/>
          <w:lang w:val="en-US"/>
        </w:rPr>
        <w:t>4</w:t>
      </w:r>
      <w:r w:rsidRPr="007C45C4">
        <w:rPr>
          <w:lang w:val="en-US"/>
        </w:rPr>
        <w:t>–</w:t>
      </w:r>
      <w:r w:rsidRPr="007C45C4">
        <w:rPr>
          <w:b/>
          <w:lang w:val="en-US"/>
        </w:rPr>
        <w:t>7</w:t>
      </w:r>
      <w:r w:rsidRPr="007C45C4">
        <w:rPr>
          <w:lang w:val="en-US"/>
        </w:rPr>
        <w:t xml:space="preserve"> show considerably higher activity than the parent acetonitrile complex </w:t>
      </w:r>
      <w:r w:rsidRPr="007C45C4">
        <w:rPr>
          <w:b/>
          <w:lang w:val="en-US"/>
        </w:rPr>
        <w:t>3</w:t>
      </w:r>
      <w:r w:rsidRPr="007C45C4">
        <w:rPr>
          <w:lang w:val="en-US"/>
        </w:rPr>
        <w:t xml:space="preserve">. Considering the structure and cytotoxicity of newly prepared </w:t>
      </w:r>
      <w:r w:rsidRPr="007C45C4">
        <w:rPr>
          <w:b/>
          <w:lang w:val="en-US"/>
        </w:rPr>
        <w:t>4</w:t>
      </w:r>
      <w:r w:rsidRPr="007C45C4">
        <w:rPr>
          <w:lang w:val="en-US"/>
        </w:rPr>
        <w:t>–</w:t>
      </w:r>
      <w:r w:rsidRPr="007C45C4">
        <w:rPr>
          <w:b/>
          <w:lang w:val="en-US"/>
        </w:rPr>
        <w:t>7</w:t>
      </w:r>
      <w:r w:rsidRPr="007C45C4">
        <w:rPr>
          <w:lang w:val="en-US"/>
        </w:rPr>
        <w:t xml:space="preserve"> versus parent </w:t>
      </w:r>
      <w:r w:rsidRPr="007C45C4">
        <w:rPr>
          <w:b/>
          <w:lang w:val="en-US"/>
        </w:rPr>
        <w:t>3</w:t>
      </w:r>
      <w:r w:rsidRPr="007C45C4">
        <w:rPr>
          <w:lang w:val="en-US"/>
        </w:rPr>
        <w:t xml:space="preserve">, it is evident that the activity of the molybdenum complexes is markedly improved through the substitution by </w:t>
      </w:r>
      <w:r w:rsidR="001D4A75" w:rsidRPr="007C45C4">
        <w:rPr>
          <w:lang w:val="en-US"/>
        </w:rPr>
        <w:t>2</w:t>
      </w:r>
      <w:proofErr w:type="gramStart"/>
      <w:r w:rsidR="001D4A75" w:rsidRPr="007C45C4">
        <w:rPr>
          <w:lang w:val="en-US"/>
        </w:rPr>
        <w:t>,2’</w:t>
      </w:r>
      <w:proofErr w:type="gramEnd"/>
      <w:r w:rsidR="001D4A75" w:rsidRPr="007C45C4">
        <w:rPr>
          <w:lang w:val="en-US"/>
        </w:rPr>
        <w:t>-</w:t>
      </w:r>
      <w:r w:rsidRPr="007C45C4">
        <w:rPr>
          <w:lang w:val="en-US"/>
        </w:rPr>
        <w:t xml:space="preserve">bypiridine or </w:t>
      </w:r>
      <w:r w:rsidR="001D4A75" w:rsidRPr="007C45C4">
        <w:rPr>
          <w:lang w:val="en-US"/>
        </w:rPr>
        <w:t>1,10-</w:t>
      </w:r>
      <w:r w:rsidRPr="007C45C4">
        <w:rPr>
          <w:lang w:val="en-US"/>
        </w:rPr>
        <w:t xml:space="preserve">phenanthroline framework. However, it is crucial to point out that </w:t>
      </w:r>
      <w:proofErr w:type="spellStart"/>
      <w:r w:rsidRPr="007C45C4">
        <w:rPr>
          <w:lang w:val="en-US"/>
        </w:rPr>
        <w:t>bpy</w:t>
      </w:r>
      <w:proofErr w:type="spellEnd"/>
      <w:r w:rsidRPr="007C45C4">
        <w:rPr>
          <w:lang w:val="en-US"/>
        </w:rPr>
        <w:t xml:space="preserve"> complex </w:t>
      </w:r>
      <w:proofErr w:type="gramStart"/>
      <w:r w:rsidRPr="007C45C4">
        <w:rPr>
          <w:b/>
          <w:lang w:val="en-US"/>
        </w:rPr>
        <w:t>4</w:t>
      </w:r>
      <w:proofErr w:type="gramEnd"/>
      <w:r w:rsidRPr="007C45C4">
        <w:rPr>
          <w:lang w:val="en-US"/>
        </w:rPr>
        <w:t xml:space="preserve"> shows lower cytotoxic activity than </w:t>
      </w:r>
      <w:proofErr w:type="spellStart"/>
      <w:r w:rsidRPr="007C45C4">
        <w:rPr>
          <w:lang w:val="en-US"/>
        </w:rPr>
        <w:t>phen</w:t>
      </w:r>
      <w:proofErr w:type="spellEnd"/>
      <w:r w:rsidRPr="007C45C4">
        <w:rPr>
          <w:lang w:val="en-US"/>
        </w:rPr>
        <w:t xml:space="preserve"> complexes </w:t>
      </w:r>
      <w:r w:rsidRPr="007C45C4">
        <w:rPr>
          <w:b/>
          <w:lang w:val="en-US"/>
        </w:rPr>
        <w:t>5</w:t>
      </w:r>
      <w:r w:rsidRPr="007C45C4">
        <w:rPr>
          <w:lang w:val="en-US"/>
        </w:rPr>
        <w:t>–</w:t>
      </w:r>
      <w:r w:rsidRPr="007C45C4">
        <w:rPr>
          <w:b/>
          <w:lang w:val="en-US"/>
        </w:rPr>
        <w:t>7</w:t>
      </w:r>
      <w:r w:rsidRPr="007C45C4">
        <w:rPr>
          <w:lang w:val="en-US"/>
        </w:rPr>
        <w:t xml:space="preserve">. The highest overall cytotoxicity exhibit compound </w:t>
      </w:r>
      <w:proofErr w:type="gramStart"/>
      <w:r w:rsidRPr="007C45C4">
        <w:rPr>
          <w:b/>
          <w:lang w:val="en-US"/>
        </w:rPr>
        <w:t>6</w:t>
      </w:r>
      <w:proofErr w:type="gramEnd"/>
      <w:r w:rsidRPr="007C45C4">
        <w:rPr>
          <w:lang w:val="en-US"/>
        </w:rPr>
        <w:t xml:space="preserve"> bearing </w:t>
      </w:r>
      <w:r w:rsidR="001D4A75" w:rsidRPr="007C45C4">
        <w:rPr>
          <w:rFonts w:cs="Arial"/>
          <w:szCs w:val="17"/>
          <w:lang w:val="en-US"/>
        </w:rPr>
        <w:t>Ph</w:t>
      </w:r>
      <w:r w:rsidR="001D4A75" w:rsidRPr="007C45C4">
        <w:rPr>
          <w:rFonts w:cs="Arial"/>
          <w:szCs w:val="17"/>
          <w:vertAlign w:val="subscript"/>
          <w:lang w:val="en-US"/>
        </w:rPr>
        <w:t>2</w:t>
      </w:r>
      <w:r w:rsidR="001D4A75" w:rsidRPr="007C45C4">
        <w:rPr>
          <w:rFonts w:cs="Arial"/>
          <w:szCs w:val="17"/>
          <w:lang w:val="en-US"/>
        </w:rPr>
        <w:t>phen</w:t>
      </w:r>
      <w:r w:rsidRPr="007C45C4">
        <w:rPr>
          <w:lang w:val="en-US"/>
        </w:rPr>
        <w:t xml:space="preserve"> with IC</w:t>
      </w:r>
      <w:r w:rsidRPr="007C45C4">
        <w:rPr>
          <w:vertAlign w:val="subscript"/>
          <w:lang w:val="en-US"/>
        </w:rPr>
        <w:t>50</w:t>
      </w:r>
      <w:r w:rsidRPr="007C45C4">
        <w:rPr>
          <w:lang w:val="en-US"/>
        </w:rPr>
        <w:t xml:space="preserve"> value 0.19 ± 0.02 </w:t>
      </w:r>
      <w:proofErr w:type="spellStart"/>
      <w:r w:rsidRPr="007C45C4">
        <w:rPr>
          <w:lang w:val="en-US"/>
        </w:rPr>
        <w:t>μM</w:t>
      </w:r>
      <w:proofErr w:type="spellEnd"/>
      <w:r w:rsidRPr="007C45C4">
        <w:rPr>
          <w:lang w:val="en-US"/>
        </w:rPr>
        <w:t xml:space="preserve">. This complex has about two orders of magnitude higher cytotoxic activity than previously reported for </w:t>
      </w:r>
      <w:r w:rsidRPr="007C45C4">
        <w:rPr>
          <w:i/>
          <w:lang w:val="en-US"/>
        </w:rPr>
        <w:t>cis</w:t>
      </w:r>
      <w:r w:rsidRPr="007C45C4">
        <w:rPr>
          <w:lang w:val="en-US"/>
        </w:rPr>
        <w:t>-</w:t>
      </w:r>
      <w:proofErr w:type="spellStart"/>
      <w:r w:rsidRPr="007C45C4">
        <w:rPr>
          <w:lang w:val="en-US"/>
        </w:rPr>
        <w:t>platin</w:t>
      </w:r>
      <w:proofErr w:type="spellEnd"/>
      <w:r w:rsidRPr="007C45C4">
        <w:rPr>
          <w:lang w:val="en-US"/>
        </w:rPr>
        <w:t xml:space="preserve"> (</w:t>
      </w:r>
      <w:r w:rsidRPr="007C45C4">
        <w:rPr>
          <w:i/>
          <w:lang w:val="en-US"/>
        </w:rPr>
        <w:t>cis</w:t>
      </w:r>
      <w:r w:rsidRPr="007C45C4">
        <w:rPr>
          <w:lang w:val="en-US"/>
        </w:rPr>
        <w:t>-DDP).</w:t>
      </w:r>
      <w:r w:rsidR="008F7914" w:rsidRPr="007C45C4">
        <w:rPr>
          <w:lang w:val="en-US"/>
        </w:rPr>
        <w:fldChar w:fldCharType="begin" w:fldLock="1"/>
      </w:r>
      <w:r w:rsidR="00357335" w:rsidRPr="007C45C4">
        <w:rPr>
          <w:lang w:val="en-US"/>
        </w:rPr>
        <w:instrText>ADDIN CSL_CITATION {"citationItems":[{"id":"ITEM-1","itemData":{"DOI":"10.1002/ejic.201201505","ISSN":"1434-1948","abstract":"Abstract A series of vanadocene complexes [Cp?2V(L)][OTf]2 (Cp? = ?5?C5H5, ?5?C5H4Me; L = phen, 5?NO2?phen, 5?NH2?phen, 4,7?Ph2?phen) was prepared and characterized by mass spectrometry and EPR spectroscopy. Structures of two complexes that contain an N,N??chelating ligand, [(?5?C5H4Me)2V(phen)][OTf]2·0.5Me2CO and [(?5?C5H5)2V(5?NH2?phen)][OTf]2, and the triflate intermediate [(?5?C5H5)2V(OTf)2] were further confirmed by X?ray diffraction analysis. The cytotoxicity study has shown that complexes that contain phenanthroline ligands have considerably higher in vitro activity toward human leukemia cells MOLT?4 and HL?60 than their parent dichlorides ([Cp?2VCl2]). The high activity of these complexes coheres with their higher stability in various aqueous media. This study has further shown that substitution of chloride ligands in the vanadocene dichloride has a considerably higher effect on cytotoxicity than expected on the basis of established mechanistic rules.","author":[{"dropping-particle":"","family":"Vinklárek","given":"Jaromír","non-dropping-particle":"","parse-names":false,"suffix":""},{"dropping-particle":"","family":"Hurychová","given":"Hana","non-dropping-particle":"","parse-names":false,"suffix":""},{"dropping-particle":"","family":"Honzíček","given":"Jan","non-dropping-particle":"","parse-names":false,"suffix":""},{"dropping-particle":"","family":"Šebestová","given":"Lucie","non-dropping-particle":"","parse-names":false,"suffix":""},{"dropping-particle":"","family":"Padělková","given":"Zdeňka","non-dropping-particle":"","parse-names":false,"suffix":""},{"dropping-particle":"","family":"Řezáčová","given":"Martina","non-dropping-particle":"","parse-names":false,"suffix":""}],"container-title":"European Journal of Inorganic Chemistry","id":"ITEM-1","issue":"14","issued":{"date-parts":[["2013","5","6"]]},"note":"doi: 10.1002/ejic.201201505","page":"2665-2672","publisher":"Wiley-Blackwell","title":"Can Substitution of Chlorides Enhance the Cytotoxicity of Vanadocene Dichloride?","type":"article-journal","volume":"2013"},"uris":["http://www.mendeley.com/documents/?uuid=6cae269e-b96a-4f62-93cf-8f8bfb98ef21"]}],"mendeley":{"formattedCitation":"&lt;sup&gt;15&lt;/sup&gt;","plainTextFormattedCitation":"15","previouslyFormattedCitation":"&lt;sup&gt;15&lt;/sup&gt;"},"properties":{"noteIndex":0},"schema":"https://github.com/citation-style-language/schema/raw/master/csl-citation.json"}</w:instrText>
      </w:r>
      <w:r w:rsidR="008F7914" w:rsidRPr="007C45C4">
        <w:rPr>
          <w:lang w:val="en-US"/>
        </w:rPr>
        <w:fldChar w:fldCharType="separate"/>
      </w:r>
      <w:r w:rsidR="008F7914" w:rsidRPr="007C45C4">
        <w:rPr>
          <w:noProof/>
          <w:vertAlign w:val="superscript"/>
          <w:lang w:val="en-US"/>
        </w:rPr>
        <w:t>15</w:t>
      </w:r>
      <w:r w:rsidR="008F7914" w:rsidRPr="007C45C4">
        <w:rPr>
          <w:lang w:val="en-US"/>
        </w:rPr>
        <w:fldChar w:fldCharType="end"/>
      </w:r>
      <w:r w:rsidRPr="007C45C4">
        <w:rPr>
          <w:lang w:val="en-US"/>
        </w:rPr>
        <w:t xml:space="preserve"> Due to the notable cytotoxic properties of </w:t>
      </w:r>
      <w:proofErr w:type="gramStart"/>
      <w:r w:rsidRPr="007C45C4">
        <w:rPr>
          <w:b/>
          <w:lang w:val="en-US"/>
        </w:rPr>
        <w:t>6</w:t>
      </w:r>
      <w:proofErr w:type="gramEnd"/>
      <w:r w:rsidRPr="007C45C4">
        <w:rPr>
          <w:lang w:val="en-US"/>
        </w:rPr>
        <w:t xml:space="preserve"> among other complexes, it was used as a hit compound in the following experiments, in which we aimed to clarify possible cellular and molecular mechanisms.</w:t>
      </w:r>
    </w:p>
    <w:p w14:paraId="3BDDF59D" w14:textId="30392EDA" w:rsidR="00D26F30" w:rsidRPr="007C45C4" w:rsidRDefault="00975246" w:rsidP="00B80503">
      <w:pPr>
        <w:pStyle w:val="RSCI02FigureSchemeChartwithtopbar"/>
        <w:rPr>
          <w:lang w:val="en-US"/>
        </w:rPr>
      </w:pPr>
      <w:r w:rsidRPr="007C45C4">
        <w:rPr>
          <w:noProof/>
          <w:w w:val="100"/>
          <w:lang w:val="en-US"/>
        </w:rPr>
        <w:drawing>
          <wp:inline distT="0" distB="0" distL="0" distR="0" wp14:anchorId="1CC72B01" wp14:editId="34CA4A5C">
            <wp:extent cx="2987040" cy="2122932"/>
            <wp:effectExtent l="0" t="0" r="381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3.tif"/>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987040" cy="2122932"/>
                    </a:xfrm>
                    <a:prstGeom prst="rect">
                      <a:avLst/>
                    </a:prstGeom>
                  </pic:spPr>
                </pic:pic>
              </a:graphicData>
            </a:graphic>
          </wp:inline>
        </w:drawing>
      </w:r>
    </w:p>
    <w:p w14:paraId="387D6D3F" w14:textId="134C3AC3" w:rsidR="007C45C4" w:rsidRPr="007C45C4" w:rsidRDefault="0019285F" w:rsidP="007C45C4">
      <w:pPr>
        <w:pStyle w:val="RSCI05CaptiontoFigureSchemeChartwithbottombar"/>
        <w:rPr>
          <w:lang w:val="en-US"/>
        </w:rPr>
      </w:pPr>
      <w:r w:rsidRPr="007C45C4">
        <w:rPr>
          <w:rStyle w:val="RSCI04CaptiontoFigureSchemeChartChar"/>
          <w:b/>
          <w:bCs/>
          <w:lang w:val="en-US"/>
        </w:rPr>
        <w:t>Fig</w:t>
      </w:r>
      <w:r w:rsidR="007C45C4" w:rsidRPr="007C45C4">
        <w:rPr>
          <w:rStyle w:val="RSCI04CaptiontoFigureSchemeChartChar"/>
          <w:b/>
          <w:bCs/>
          <w:lang w:val="en-US"/>
        </w:rPr>
        <w:t>.</w:t>
      </w:r>
      <w:r w:rsidRPr="007C45C4">
        <w:rPr>
          <w:rStyle w:val="RSCI04CaptiontoFigureSchemeChartChar"/>
          <w:b/>
          <w:bCs/>
          <w:lang w:val="en-US"/>
        </w:rPr>
        <w:t xml:space="preserve"> 3</w:t>
      </w:r>
      <w:r w:rsidR="007C45C4" w:rsidRPr="007C45C4">
        <w:rPr>
          <w:rStyle w:val="RSCI04CaptiontoFigureSchemeChartChar"/>
          <w:bCs/>
          <w:lang w:val="en-US"/>
        </w:rPr>
        <w:t xml:space="preserve"> </w:t>
      </w:r>
      <w:r w:rsidR="00F26C79">
        <w:rPr>
          <w:rStyle w:val="RSCI04CaptiontoFigureSchemeChartChar"/>
          <w:bCs/>
          <w:lang w:val="en-US"/>
        </w:rPr>
        <w:t>C</w:t>
      </w:r>
      <w:r w:rsidRPr="007C45C4">
        <w:rPr>
          <w:rStyle w:val="RSCI04CaptiontoFigureSchemeChartChar"/>
          <w:bCs/>
          <w:lang w:val="en-US"/>
        </w:rPr>
        <w:t xml:space="preserve">ytotoxicity effect </w:t>
      </w:r>
      <w:r w:rsidR="0095100A" w:rsidRPr="007C45C4">
        <w:rPr>
          <w:rStyle w:val="RSCI04CaptiontoFigureSchemeChartChar"/>
          <w:bCs/>
          <w:lang w:val="en-US"/>
        </w:rPr>
        <w:t xml:space="preserve">of </w:t>
      </w:r>
      <w:r w:rsidRPr="007C45C4">
        <w:rPr>
          <w:rStyle w:val="RSCI04CaptiontoFigureSchemeChartChar"/>
          <w:bCs/>
          <w:lang w:val="en-US"/>
        </w:rPr>
        <w:t>complex</w:t>
      </w:r>
      <w:r w:rsidR="0095100A" w:rsidRPr="007C45C4">
        <w:rPr>
          <w:rStyle w:val="RSCI04CaptiontoFigureSchemeChartChar"/>
          <w:bCs/>
          <w:lang w:val="en-US"/>
        </w:rPr>
        <w:t xml:space="preserve">es </w:t>
      </w:r>
      <w:r w:rsidR="0095100A" w:rsidRPr="007C45C4">
        <w:rPr>
          <w:rStyle w:val="RSCI04CaptiontoFigureSchemeChartChar"/>
          <w:b/>
          <w:bCs/>
          <w:lang w:val="en-US"/>
        </w:rPr>
        <w:t>3</w:t>
      </w:r>
      <w:r w:rsidR="0095100A" w:rsidRPr="007C45C4">
        <w:rPr>
          <w:rStyle w:val="RSCI04CaptiontoFigureSchemeChartChar"/>
          <w:bCs/>
          <w:lang w:val="en-US"/>
        </w:rPr>
        <w:t>–</w:t>
      </w:r>
      <w:r w:rsidR="0095100A" w:rsidRPr="007C45C4">
        <w:rPr>
          <w:rStyle w:val="RSCI04CaptiontoFigureSchemeChartChar"/>
          <w:b/>
          <w:bCs/>
          <w:lang w:val="en-US"/>
        </w:rPr>
        <w:t>7</w:t>
      </w:r>
      <w:r w:rsidRPr="007C45C4">
        <w:rPr>
          <w:rStyle w:val="RSCI04CaptiontoFigureSchemeChartChar"/>
          <w:bCs/>
          <w:lang w:val="en-US"/>
        </w:rPr>
        <w:t xml:space="preserve"> determined in the MOLT-4 cells after 24 h of treatment using WST-1 assay. Results show</w:t>
      </w:r>
      <w:r w:rsidR="007C45C4" w:rsidRPr="007C45C4">
        <w:rPr>
          <w:rStyle w:val="RSCI04CaptiontoFigureSchemeChartChar"/>
          <w:bCs/>
          <w:lang w:val="en-US"/>
        </w:rPr>
        <w:t xml:space="preserve">n are mean values ± SD of three </w:t>
      </w:r>
      <w:r w:rsidRPr="007C45C4">
        <w:rPr>
          <w:rStyle w:val="RSCI04CaptiontoFigureSchemeChartChar"/>
          <w:bCs/>
          <w:lang w:val="en-US"/>
        </w:rPr>
        <w:t>independent replications</w:t>
      </w:r>
      <w:r w:rsidRPr="007C45C4">
        <w:rPr>
          <w:lang w:val="en-US"/>
        </w:rPr>
        <w:t>.</w:t>
      </w:r>
    </w:p>
    <w:p w14:paraId="1CDC7578" w14:textId="7C6113FC" w:rsidR="004C6201" w:rsidRDefault="00841613" w:rsidP="00973FE9">
      <w:pPr>
        <w:pStyle w:val="RSCB02ArticleText"/>
        <w:rPr>
          <w:lang w:val="en-US"/>
        </w:rPr>
      </w:pPr>
      <w:r w:rsidRPr="007C45C4">
        <w:rPr>
          <w:lang w:val="en-US"/>
        </w:rPr>
        <w:t xml:space="preserve">In the next phase, we evaluated the overall cytotoxic activity and potency of the complex </w:t>
      </w:r>
      <w:proofErr w:type="gramStart"/>
      <w:r w:rsidRPr="007C45C4">
        <w:rPr>
          <w:b/>
          <w:lang w:val="en-US"/>
        </w:rPr>
        <w:t>6</w:t>
      </w:r>
      <w:proofErr w:type="gramEnd"/>
      <w:r w:rsidRPr="007C45C4">
        <w:rPr>
          <w:lang w:val="en-US"/>
        </w:rPr>
        <w:t xml:space="preserve"> against cancer cells in comparison with non-cancer cells. Cytotoxic activity of </w:t>
      </w:r>
      <w:proofErr w:type="gramStart"/>
      <w:r w:rsidRPr="007C45C4">
        <w:rPr>
          <w:b/>
          <w:lang w:val="en-US"/>
        </w:rPr>
        <w:t>6</w:t>
      </w:r>
      <w:proofErr w:type="gramEnd"/>
      <w:r w:rsidRPr="007C45C4">
        <w:rPr>
          <w:lang w:val="en-US"/>
        </w:rPr>
        <w:t xml:space="preserve"> at selected concentrations (0.1; 2 and 5 µM) were determined at 24 and 48 h after treatment against several human derived cancer cells (MOLT-4, A2780, A549, HT-29 and A2780cis) by WST-1 assay. The MRC-5 cells were chosen as non-cancer cells in parallel experiments. Results are shown in the Table </w:t>
      </w:r>
      <w:r w:rsidR="00600DF2" w:rsidRPr="007C45C4">
        <w:rPr>
          <w:lang w:val="en-US"/>
        </w:rPr>
        <w:t>3</w:t>
      </w:r>
      <w:r w:rsidRPr="007C45C4">
        <w:rPr>
          <w:lang w:val="en-US"/>
        </w:rPr>
        <w:t xml:space="preserve">. The most sensitive cell line to the complex </w:t>
      </w:r>
      <w:proofErr w:type="gramStart"/>
      <w:r w:rsidRPr="007C45C4">
        <w:rPr>
          <w:b/>
          <w:lang w:val="en-US"/>
        </w:rPr>
        <w:t>6</w:t>
      </w:r>
      <w:proofErr w:type="gramEnd"/>
      <w:r w:rsidRPr="007C45C4">
        <w:rPr>
          <w:lang w:val="en-US"/>
        </w:rPr>
        <w:t xml:space="preserve"> was the suspension leukemic cells MOLT-4 determined after 24 h of treatment. </w:t>
      </w:r>
    </w:p>
    <w:p w14:paraId="293B5D06" w14:textId="77777777" w:rsidR="004C6201" w:rsidRPr="007C45C4" w:rsidRDefault="004C6201" w:rsidP="004C6201">
      <w:pPr>
        <w:pStyle w:val="RSCT02Tabletitlewithouttopbar"/>
        <w:rPr>
          <w:lang w:val="en-US"/>
        </w:rPr>
      </w:pPr>
      <w:r w:rsidRPr="007C45C4">
        <w:rPr>
          <w:b/>
          <w:lang w:val="en-US"/>
        </w:rPr>
        <w:lastRenderedPageBreak/>
        <w:t>Table 3</w:t>
      </w:r>
      <w:r w:rsidRPr="007C45C4">
        <w:rPr>
          <w:lang w:val="en-US"/>
        </w:rPr>
        <w:t xml:space="preserve"> The value of growth percent of the cells MOLT-4 (</w:t>
      </w:r>
      <w:r w:rsidRPr="007C45C4">
        <w:rPr>
          <w:b/>
          <w:lang w:val="en-US"/>
        </w:rPr>
        <w:t>I</w:t>
      </w:r>
      <w:r w:rsidRPr="007C45C4">
        <w:rPr>
          <w:lang w:val="en-US"/>
        </w:rPr>
        <w:t>), A2780 (</w:t>
      </w:r>
      <w:r w:rsidRPr="007C45C4">
        <w:rPr>
          <w:b/>
          <w:lang w:val="en-US"/>
        </w:rPr>
        <w:t>II</w:t>
      </w:r>
      <w:r w:rsidRPr="007C45C4">
        <w:rPr>
          <w:lang w:val="en-US"/>
        </w:rPr>
        <w:t>), A549 (</w:t>
      </w:r>
      <w:r w:rsidRPr="007C45C4">
        <w:rPr>
          <w:b/>
          <w:lang w:val="en-US"/>
        </w:rPr>
        <w:t>III</w:t>
      </w:r>
      <w:r w:rsidRPr="007C45C4">
        <w:rPr>
          <w:lang w:val="en-US"/>
        </w:rPr>
        <w:t>), HT-29 (</w:t>
      </w:r>
      <w:r w:rsidRPr="007C45C4">
        <w:rPr>
          <w:b/>
          <w:lang w:val="en-US"/>
        </w:rPr>
        <w:t>IV</w:t>
      </w:r>
      <w:r w:rsidRPr="007C45C4">
        <w:rPr>
          <w:lang w:val="en-US"/>
        </w:rPr>
        <w:t>), A2780cis (</w:t>
      </w:r>
      <w:r w:rsidRPr="007C45C4">
        <w:rPr>
          <w:b/>
          <w:lang w:val="en-US"/>
        </w:rPr>
        <w:t>V</w:t>
      </w:r>
      <w:r w:rsidRPr="007C45C4">
        <w:rPr>
          <w:lang w:val="en-US"/>
        </w:rPr>
        <w:t>)</w:t>
      </w:r>
      <w:r w:rsidRPr="007C45C4">
        <w:rPr>
          <w:b/>
          <w:lang w:val="en-US"/>
        </w:rPr>
        <w:t xml:space="preserve"> </w:t>
      </w:r>
      <w:r w:rsidRPr="007C45C4">
        <w:rPr>
          <w:lang w:val="en-US"/>
        </w:rPr>
        <w:t>and MRC-5 (</w:t>
      </w:r>
      <w:r w:rsidRPr="007C45C4">
        <w:rPr>
          <w:b/>
          <w:lang w:val="en-US"/>
        </w:rPr>
        <w:t>VI</w:t>
      </w:r>
      <w:r w:rsidRPr="007C45C4">
        <w:rPr>
          <w:lang w:val="en-US"/>
        </w:rPr>
        <w:t>)</w:t>
      </w:r>
      <w:r w:rsidRPr="007C45C4">
        <w:rPr>
          <w:b/>
          <w:lang w:val="en-US"/>
        </w:rPr>
        <w:t xml:space="preserve"> </w:t>
      </w:r>
      <w:r w:rsidRPr="007C45C4">
        <w:rPr>
          <w:lang w:val="en-US"/>
        </w:rPr>
        <w:t xml:space="preserve">after treatment with complex </w:t>
      </w:r>
      <w:r w:rsidRPr="007C45C4">
        <w:rPr>
          <w:b/>
          <w:lang w:val="en-US"/>
        </w:rPr>
        <w:t>6</w:t>
      </w:r>
      <w:r w:rsidRPr="007C45C4">
        <w:rPr>
          <w:lang w:val="en-US"/>
        </w:rPr>
        <w:t xml:space="preserve"> during incubation time 24 and 48 </w:t>
      </w:r>
      <w:proofErr w:type="spellStart"/>
      <w:r w:rsidRPr="007C45C4">
        <w:rPr>
          <w:lang w:val="en-US"/>
        </w:rPr>
        <w:t>h.</w:t>
      </w:r>
      <w:r w:rsidRPr="007C45C4">
        <w:rPr>
          <w:i/>
          <w:vertAlign w:val="superscript"/>
          <w:lang w:val="en-US"/>
        </w:rPr>
        <w:t>a</w:t>
      </w:r>
      <w:proofErr w:type="spellEnd"/>
      <w:r w:rsidRPr="007C45C4">
        <w:rPr>
          <w:lang w:val="en-US"/>
        </w:rPr>
        <w:t xml:space="preserve"> </w:t>
      </w:r>
    </w:p>
    <w:tbl>
      <w:tblPr>
        <w:tblW w:w="4706" w:type="dxa"/>
        <w:tblLayout w:type="fixed"/>
        <w:tblCellMar>
          <w:left w:w="70" w:type="dxa"/>
          <w:right w:w="70" w:type="dxa"/>
        </w:tblCellMar>
        <w:tblLook w:val="0000" w:firstRow="0" w:lastRow="0" w:firstColumn="0" w:lastColumn="0" w:noHBand="0" w:noVBand="0"/>
      </w:tblPr>
      <w:tblGrid>
        <w:gridCol w:w="284"/>
        <w:gridCol w:w="805"/>
        <w:gridCol w:w="755"/>
        <w:gridCol w:w="686"/>
        <w:gridCol w:w="755"/>
        <w:gridCol w:w="686"/>
        <w:gridCol w:w="707"/>
        <w:gridCol w:w="28"/>
      </w:tblGrid>
      <w:tr w:rsidR="004C6201" w:rsidRPr="007C45C4" w14:paraId="0A388554" w14:textId="77777777" w:rsidTr="00CA7AD4">
        <w:trPr>
          <w:gridAfter w:val="1"/>
          <w:wAfter w:w="28" w:type="dxa"/>
          <w:trHeight w:val="340"/>
        </w:trPr>
        <w:tc>
          <w:tcPr>
            <w:tcW w:w="284" w:type="dxa"/>
            <w:tcBorders>
              <w:right w:val="single" w:sz="6" w:space="0" w:color="auto"/>
            </w:tcBorders>
            <w:shd w:val="clear" w:color="auto" w:fill="FFFFFF"/>
            <w:tcMar>
              <w:left w:w="0" w:type="dxa"/>
              <w:right w:w="0" w:type="dxa"/>
            </w:tcMar>
            <w:vAlign w:val="center"/>
          </w:tcPr>
          <w:p w14:paraId="656C7EE7" w14:textId="77777777" w:rsidR="004C6201" w:rsidRPr="007C45C4" w:rsidRDefault="004C6201" w:rsidP="00CA7AD4">
            <w:pPr>
              <w:pStyle w:val="RSCT03TableBody"/>
              <w:rPr>
                <w:lang w:val="en-US"/>
              </w:rPr>
            </w:pPr>
          </w:p>
        </w:tc>
        <w:tc>
          <w:tcPr>
            <w:tcW w:w="2246" w:type="dxa"/>
            <w:gridSpan w:val="3"/>
            <w:tcBorders>
              <w:left w:val="single" w:sz="6" w:space="0" w:color="auto"/>
              <w:bottom w:val="single" w:sz="6" w:space="0" w:color="auto"/>
              <w:right w:val="single" w:sz="6" w:space="0" w:color="auto"/>
            </w:tcBorders>
            <w:shd w:val="clear" w:color="auto" w:fill="FFFFFF"/>
            <w:tcMar>
              <w:left w:w="0" w:type="dxa"/>
              <w:right w:w="0" w:type="dxa"/>
            </w:tcMar>
            <w:vAlign w:val="center"/>
          </w:tcPr>
          <w:p w14:paraId="0E4D47F3" w14:textId="77777777" w:rsidR="004C6201" w:rsidRPr="007C45C4" w:rsidRDefault="004C6201" w:rsidP="00CA7AD4">
            <w:pPr>
              <w:pStyle w:val="RSCT03TableBody"/>
              <w:rPr>
                <w:lang w:val="en-US"/>
              </w:rPr>
            </w:pPr>
            <w:r w:rsidRPr="007C45C4">
              <w:rPr>
                <w:lang w:val="en-US"/>
              </w:rPr>
              <w:t>24 h</w:t>
            </w:r>
          </w:p>
        </w:tc>
        <w:tc>
          <w:tcPr>
            <w:tcW w:w="2148" w:type="dxa"/>
            <w:gridSpan w:val="3"/>
            <w:tcBorders>
              <w:left w:val="single" w:sz="6" w:space="0" w:color="auto"/>
              <w:bottom w:val="single" w:sz="6" w:space="0" w:color="auto"/>
            </w:tcBorders>
            <w:shd w:val="clear" w:color="auto" w:fill="FFFFFF"/>
            <w:tcMar>
              <w:left w:w="0" w:type="dxa"/>
              <w:right w:w="0" w:type="dxa"/>
            </w:tcMar>
            <w:vAlign w:val="center"/>
          </w:tcPr>
          <w:p w14:paraId="45CDFB8F" w14:textId="77777777" w:rsidR="004C6201" w:rsidRPr="007C45C4" w:rsidRDefault="004C6201" w:rsidP="00CA7AD4">
            <w:pPr>
              <w:pStyle w:val="RSCT03TableBody"/>
              <w:rPr>
                <w:lang w:val="en-US"/>
              </w:rPr>
            </w:pPr>
            <w:r w:rsidRPr="007C45C4">
              <w:rPr>
                <w:lang w:val="en-US"/>
              </w:rPr>
              <w:t>48 h</w:t>
            </w:r>
          </w:p>
        </w:tc>
      </w:tr>
      <w:tr w:rsidR="004C6201" w:rsidRPr="007C45C4" w14:paraId="38680E3E" w14:textId="77777777" w:rsidTr="00CA7AD4">
        <w:trPr>
          <w:trHeight w:val="340"/>
        </w:trPr>
        <w:tc>
          <w:tcPr>
            <w:tcW w:w="284" w:type="dxa"/>
            <w:tcBorders>
              <w:bottom w:val="single" w:sz="6" w:space="0" w:color="auto"/>
              <w:right w:val="single" w:sz="6" w:space="0" w:color="auto"/>
            </w:tcBorders>
            <w:shd w:val="clear" w:color="auto" w:fill="FFFFFF"/>
            <w:tcMar>
              <w:left w:w="0" w:type="dxa"/>
              <w:right w:w="0" w:type="dxa"/>
            </w:tcMar>
            <w:vAlign w:val="center"/>
          </w:tcPr>
          <w:p w14:paraId="355F9BF7" w14:textId="77777777" w:rsidR="004C6201" w:rsidRPr="007C45C4" w:rsidRDefault="004C6201" w:rsidP="00CA7AD4">
            <w:pPr>
              <w:pStyle w:val="RSCT03TableBody"/>
              <w:rPr>
                <w:lang w:val="en-US"/>
              </w:rPr>
            </w:pPr>
            <w:r w:rsidRPr="007C45C4">
              <w:rPr>
                <w:lang w:val="en-US"/>
              </w:rPr>
              <w:t> </w:t>
            </w:r>
          </w:p>
        </w:tc>
        <w:tc>
          <w:tcPr>
            <w:tcW w:w="805" w:type="dxa"/>
            <w:tcBorders>
              <w:left w:val="single" w:sz="6" w:space="0" w:color="auto"/>
              <w:bottom w:val="single" w:sz="6" w:space="0" w:color="auto"/>
            </w:tcBorders>
            <w:shd w:val="clear" w:color="auto" w:fill="FFFFFF"/>
            <w:tcMar>
              <w:left w:w="0" w:type="dxa"/>
              <w:right w:w="0" w:type="dxa"/>
            </w:tcMar>
            <w:vAlign w:val="center"/>
          </w:tcPr>
          <w:p w14:paraId="2FEF3244" w14:textId="77777777" w:rsidR="004C6201" w:rsidRPr="007C45C4" w:rsidRDefault="004C6201" w:rsidP="00CA7AD4">
            <w:pPr>
              <w:pStyle w:val="RSCT03TableBody"/>
              <w:rPr>
                <w:lang w:val="en-US"/>
              </w:rPr>
            </w:pPr>
            <w:r w:rsidRPr="007C45C4">
              <w:rPr>
                <w:lang w:val="en-US"/>
              </w:rPr>
              <w:t>0.1 µM</w:t>
            </w:r>
          </w:p>
        </w:tc>
        <w:tc>
          <w:tcPr>
            <w:tcW w:w="755" w:type="dxa"/>
            <w:tcBorders>
              <w:bottom w:val="single" w:sz="6" w:space="0" w:color="auto"/>
            </w:tcBorders>
            <w:shd w:val="clear" w:color="auto" w:fill="FFFFFF"/>
            <w:tcMar>
              <w:left w:w="0" w:type="dxa"/>
              <w:right w:w="0" w:type="dxa"/>
            </w:tcMar>
            <w:vAlign w:val="center"/>
          </w:tcPr>
          <w:p w14:paraId="066824E3" w14:textId="77777777" w:rsidR="004C6201" w:rsidRPr="007C45C4" w:rsidRDefault="004C6201" w:rsidP="00CA7AD4">
            <w:pPr>
              <w:pStyle w:val="RSCT03TableBody"/>
              <w:rPr>
                <w:lang w:val="en-US"/>
              </w:rPr>
            </w:pPr>
            <w:r w:rsidRPr="007C45C4">
              <w:rPr>
                <w:lang w:val="en-US"/>
              </w:rPr>
              <w:t>2 µM</w:t>
            </w:r>
          </w:p>
        </w:tc>
        <w:tc>
          <w:tcPr>
            <w:tcW w:w="686" w:type="dxa"/>
            <w:tcBorders>
              <w:bottom w:val="single" w:sz="6" w:space="0" w:color="auto"/>
              <w:right w:val="single" w:sz="6" w:space="0" w:color="auto"/>
            </w:tcBorders>
            <w:shd w:val="clear" w:color="auto" w:fill="FFFFFF"/>
            <w:tcMar>
              <w:left w:w="0" w:type="dxa"/>
              <w:right w:w="0" w:type="dxa"/>
            </w:tcMar>
            <w:vAlign w:val="center"/>
          </w:tcPr>
          <w:p w14:paraId="645BC532" w14:textId="77777777" w:rsidR="004C6201" w:rsidRPr="007C45C4" w:rsidRDefault="004C6201" w:rsidP="00CA7AD4">
            <w:pPr>
              <w:pStyle w:val="RSCT03TableBody"/>
              <w:rPr>
                <w:lang w:val="en-US"/>
              </w:rPr>
            </w:pPr>
            <w:r w:rsidRPr="007C45C4">
              <w:rPr>
                <w:lang w:val="en-US"/>
              </w:rPr>
              <w:t>5 µM</w:t>
            </w:r>
          </w:p>
        </w:tc>
        <w:tc>
          <w:tcPr>
            <w:tcW w:w="755" w:type="dxa"/>
            <w:tcBorders>
              <w:left w:val="single" w:sz="6" w:space="0" w:color="auto"/>
              <w:bottom w:val="single" w:sz="6" w:space="0" w:color="auto"/>
            </w:tcBorders>
            <w:shd w:val="clear" w:color="auto" w:fill="FFFFFF"/>
            <w:tcMar>
              <w:left w:w="0" w:type="dxa"/>
              <w:right w:w="0" w:type="dxa"/>
            </w:tcMar>
            <w:vAlign w:val="center"/>
          </w:tcPr>
          <w:p w14:paraId="2FA8F9DD" w14:textId="77777777" w:rsidR="004C6201" w:rsidRPr="007C45C4" w:rsidRDefault="004C6201" w:rsidP="00CA7AD4">
            <w:pPr>
              <w:pStyle w:val="RSCT03TableBody"/>
              <w:rPr>
                <w:lang w:val="en-US"/>
              </w:rPr>
            </w:pPr>
            <w:r w:rsidRPr="007C45C4">
              <w:rPr>
                <w:lang w:val="en-US"/>
              </w:rPr>
              <w:t>0.1 µM</w:t>
            </w:r>
          </w:p>
        </w:tc>
        <w:tc>
          <w:tcPr>
            <w:tcW w:w="686" w:type="dxa"/>
            <w:tcBorders>
              <w:bottom w:val="single" w:sz="6" w:space="0" w:color="auto"/>
            </w:tcBorders>
            <w:shd w:val="clear" w:color="auto" w:fill="FFFFFF"/>
            <w:tcMar>
              <w:left w:w="0" w:type="dxa"/>
              <w:right w:w="0" w:type="dxa"/>
            </w:tcMar>
            <w:vAlign w:val="center"/>
          </w:tcPr>
          <w:p w14:paraId="00865FF1" w14:textId="77777777" w:rsidR="004C6201" w:rsidRPr="007C45C4" w:rsidRDefault="004C6201" w:rsidP="00CA7AD4">
            <w:pPr>
              <w:pStyle w:val="RSCT03TableBody"/>
              <w:rPr>
                <w:lang w:val="en-US"/>
              </w:rPr>
            </w:pPr>
            <w:r w:rsidRPr="007C45C4">
              <w:rPr>
                <w:lang w:val="en-US"/>
              </w:rPr>
              <w:t>2 µM</w:t>
            </w:r>
          </w:p>
        </w:tc>
        <w:tc>
          <w:tcPr>
            <w:tcW w:w="735" w:type="dxa"/>
            <w:gridSpan w:val="2"/>
            <w:tcBorders>
              <w:bottom w:val="single" w:sz="6" w:space="0" w:color="auto"/>
            </w:tcBorders>
            <w:shd w:val="clear" w:color="auto" w:fill="FFFFFF"/>
            <w:tcMar>
              <w:left w:w="0" w:type="dxa"/>
              <w:right w:w="0" w:type="dxa"/>
            </w:tcMar>
            <w:vAlign w:val="center"/>
          </w:tcPr>
          <w:p w14:paraId="3E1B4D0F" w14:textId="77777777" w:rsidR="004C6201" w:rsidRPr="007C45C4" w:rsidRDefault="004C6201" w:rsidP="00CA7AD4">
            <w:pPr>
              <w:pStyle w:val="RSCT03TableBody"/>
              <w:rPr>
                <w:lang w:val="en-US"/>
              </w:rPr>
            </w:pPr>
            <w:r w:rsidRPr="007C45C4">
              <w:rPr>
                <w:lang w:val="en-US"/>
              </w:rPr>
              <w:t>5 µM</w:t>
            </w:r>
          </w:p>
        </w:tc>
      </w:tr>
      <w:tr w:rsidR="004C6201" w:rsidRPr="007C45C4" w14:paraId="364E7F48" w14:textId="77777777" w:rsidTr="00CA7AD4">
        <w:trPr>
          <w:trHeight w:val="340"/>
        </w:trPr>
        <w:tc>
          <w:tcPr>
            <w:tcW w:w="284" w:type="dxa"/>
            <w:tcBorders>
              <w:top w:val="single" w:sz="6" w:space="0" w:color="auto"/>
              <w:right w:val="single" w:sz="6" w:space="0" w:color="auto"/>
            </w:tcBorders>
            <w:shd w:val="clear" w:color="auto" w:fill="FFFFFF"/>
            <w:tcMar>
              <w:left w:w="0" w:type="dxa"/>
              <w:right w:w="0" w:type="dxa"/>
            </w:tcMar>
            <w:vAlign w:val="center"/>
          </w:tcPr>
          <w:p w14:paraId="0AF74501" w14:textId="77777777" w:rsidR="004C6201" w:rsidRPr="007C45C4" w:rsidRDefault="004C6201" w:rsidP="00CA7AD4">
            <w:pPr>
              <w:pStyle w:val="RSCT03TableBody"/>
              <w:rPr>
                <w:b/>
                <w:lang w:val="en-US"/>
              </w:rPr>
            </w:pPr>
            <w:r w:rsidRPr="007C45C4">
              <w:rPr>
                <w:b/>
                <w:lang w:val="en-US"/>
              </w:rPr>
              <w:t>I</w:t>
            </w:r>
          </w:p>
        </w:tc>
        <w:tc>
          <w:tcPr>
            <w:tcW w:w="805" w:type="dxa"/>
            <w:tcBorders>
              <w:top w:val="single" w:sz="6" w:space="0" w:color="auto"/>
              <w:left w:val="single" w:sz="6" w:space="0" w:color="auto"/>
            </w:tcBorders>
            <w:shd w:val="clear" w:color="auto" w:fill="FFFFFF"/>
            <w:tcMar>
              <w:left w:w="0" w:type="dxa"/>
              <w:right w:w="0" w:type="dxa"/>
            </w:tcMar>
            <w:vAlign w:val="center"/>
          </w:tcPr>
          <w:p w14:paraId="4B1F0118" w14:textId="77777777" w:rsidR="004C6201" w:rsidRPr="007C45C4" w:rsidRDefault="004C6201" w:rsidP="00CA7AD4">
            <w:pPr>
              <w:pStyle w:val="RSCT03TableBody"/>
              <w:rPr>
                <w:lang w:val="en-US"/>
              </w:rPr>
            </w:pPr>
            <w:r w:rsidRPr="007C45C4">
              <w:rPr>
                <w:lang w:val="en-US"/>
              </w:rPr>
              <w:t>44.1±9.7</w:t>
            </w:r>
          </w:p>
        </w:tc>
        <w:tc>
          <w:tcPr>
            <w:tcW w:w="755" w:type="dxa"/>
            <w:tcBorders>
              <w:top w:val="single" w:sz="6" w:space="0" w:color="auto"/>
            </w:tcBorders>
            <w:shd w:val="clear" w:color="auto" w:fill="FFFFFF"/>
            <w:tcMar>
              <w:left w:w="0" w:type="dxa"/>
              <w:right w:w="0" w:type="dxa"/>
            </w:tcMar>
            <w:vAlign w:val="center"/>
          </w:tcPr>
          <w:p w14:paraId="7F79C55D" w14:textId="77777777" w:rsidR="004C6201" w:rsidRPr="007C45C4" w:rsidRDefault="004C6201" w:rsidP="00CA7AD4">
            <w:pPr>
              <w:pStyle w:val="RSCT03TableBody"/>
              <w:rPr>
                <w:lang w:val="en-US"/>
              </w:rPr>
            </w:pPr>
            <w:r w:rsidRPr="007C45C4">
              <w:rPr>
                <w:lang w:val="en-US"/>
              </w:rPr>
              <w:t>1.4±0.1</w:t>
            </w:r>
          </w:p>
        </w:tc>
        <w:tc>
          <w:tcPr>
            <w:tcW w:w="686" w:type="dxa"/>
            <w:tcBorders>
              <w:top w:val="single" w:sz="6" w:space="0" w:color="auto"/>
              <w:right w:val="single" w:sz="6" w:space="0" w:color="auto"/>
            </w:tcBorders>
            <w:shd w:val="clear" w:color="auto" w:fill="FFFFFF"/>
            <w:tcMar>
              <w:left w:w="0" w:type="dxa"/>
              <w:right w:w="0" w:type="dxa"/>
            </w:tcMar>
            <w:vAlign w:val="center"/>
          </w:tcPr>
          <w:p w14:paraId="7D958435" w14:textId="77777777" w:rsidR="004C6201" w:rsidRPr="007C45C4" w:rsidRDefault="004C6201" w:rsidP="00CA7AD4">
            <w:pPr>
              <w:pStyle w:val="RSCT03TableBody"/>
              <w:rPr>
                <w:lang w:val="en-US"/>
              </w:rPr>
            </w:pPr>
            <w:r w:rsidRPr="007C45C4">
              <w:rPr>
                <w:lang w:val="en-US"/>
              </w:rPr>
              <w:t>0.8±0.8</w:t>
            </w:r>
          </w:p>
        </w:tc>
        <w:tc>
          <w:tcPr>
            <w:tcW w:w="755" w:type="dxa"/>
            <w:tcBorders>
              <w:top w:val="single" w:sz="6" w:space="0" w:color="auto"/>
              <w:left w:val="single" w:sz="6" w:space="0" w:color="auto"/>
            </w:tcBorders>
            <w:shd w:val="clear" w:color="auto" w:fill="FFFFFF"/>
            <w:tcMar>
              <w:left w:w="0" w:type="dxa"/>
              <w:right w:w="0" w:type="dxa"/>
            </w:tcMar>
            <w:vAlign w:val="center"/>
          </w:tcPr>
          <w:p w14:paraId="6BFDD62B" w14:textId="77777777" w:rsidR="004C6201" w:rsidRPr="007C45C4" w:rsidRDefault="004C6201" w:rsidP="00CA7AD4">
            <w:pPr>
              <w:pStyle w:val="RSCT03TableBody"/>
              <w:rPr>
                <w:lang w:val="en-US"/>
              </w:rPr>
            </w:pPr>
            <w:r w:rsidRPr="007C45C4">
              <w:rPr>
                <w:lang w:val="en-US"/>
              </w:rPr>
              <w:t>48.6±1.3</w:t>
            </w:r>
          </w:p>
        </w:tc>
        <w:tc>
          <w:tcPr>
            <w:tcW w:w="686" w:type="dxa"/>
            <w:tcBorders>
              <w:top w:val="single" w:sz="6" w:space="0" w:color="auto"/>
            </w:tcBorders>
            <w:shd w:val="clear" w:color="auto" w:fill="FFFFFF"/>
            <w:tcMar>
              <w:left w:w="0" w:type="dxa"/>
              <w:right w:w="0" w:type="dxa"/>
            </w:tcMar>
            <w:vAlign w:val="center"/>
          </w:tcPr>
          <w:p w14:paraId="040E25A3" w14:textId="77777777" w:rsidR="004C6201" w:rsidRPr="007C45C4" w:rsidRDefault="004C6201" w:rsidP="00CA7AD4">
            <w:pPr>
              <w:pStyle w:val="RSCT03TableBody"/>
              <w:rPr>
                <w:lang w:val="en-US"/>
              </w:rPr>
            </w:pPr>
            <w:r w:rsidRPr="007C45C4">
              <w:rPr>
                <w:lang w:val="en-US"/>
              </w:rPr>
              <w:t>0.2±0.1</w:t>
            </w:r>
          </w:p>
        </w:tc>
        <w:tc>
          <w:tcPr>
            <w:tcW w:w="735" w:type="dxa"/>
            <w:gridSpan w:val="2"/>
            <w:tcBorders>
              <w:top w:val="single" w:sz="6" w:space="0" w:color="auto"/>
            </w:tcBorders>
            <w:shd w:val="clear" w:color="auto" w:fill="FFFFFF"/>
            <w:tcMar>
              <w:left w:w="0" w:type="dxa"/>
              <w:right w:w="0" w:type="dxa"/>
            </w:tcMar>
            <w:vAlign w:val="center"/>
          </w:tcPr>
          <w:p w14:paraId="2DC694FD" w14:textId="77777777" w:rsidR="004C6201" w:rsidRPr="007C45C4" w:rsidRDefault="004C6201" w:rsidP="00CA7AD4">
            <w:pPr>
              <w:pStyle w:val="RSCT03TableBody"/>
              <w:rPr>
                <w:lang w:val="en-US"/>
              </w:rPr>
            </w:pPr>
            <w:r w:rsidRPr="007C45C4">
              <w:rPr>
                <w:lang w:val="en-US"/>
              </w:rPr>
              <w:t>0.6±0.2</w:t>
            </w:r>
          </w:p>
        </w:tc>
      </w:tr>
      <w:tr w:rsidR="004C6201" w:rsidRPr="007C45C4" w14:paraId="76FD1EE8" w14:textId="77777777" w:rsidTr="00CA7AD4">
        <w:trPr>
          <w:trHeight w:val="340"/>
        </w:trPr>
        <w:tc>
          <w:tcPr>
            <w:tcW w:w="284" w:type="dxa"/>
            <w:tcBorders>
              <w:right w:val="single" w:sz="6" w:space="0" w:color="auto"/>
            </w:tcBorders>
            <w:shd w:val="clear" w:color="auto" w:fill="FFFFFF"/>
            <w:tcMar>
              <w:left w:w="0" w:type="dxa"/>
              <w:right w:w="0" w:type="dxa"/>
            </w:tcMar>
            <w:vAlign w:val="center"/>
          </w:tcPr>
          <w:p w14:paraId="7C75D108" w14:textId="77777777" w:rsidR="004C6201" w:rsidRPr="007C45C4" w:rsidRDefault="004C6201" w:rsidP="00CA7AD4">
            <w:pPr>
              <w:pStyle w:val="RSCT03TableBody"/>
              <w:rPr>
                <w:b/>
                <w:lang w:val="en-US"/>
              </w:rPr>
            </w:pPr>
            <w:r w:rsidRPr="007C45C4">
              <w:rPr>
                <w:b/>
                <w:lang w:val="en-US"/>
              </w:rPr>
              <w:t>II</w:t>
            </w:r>
          </w:p>
        </w:tc>
        <w:tc>
          <w:tcPr>
            <w:tcW w:w="805" w:type="dxa"/>
            <w:tcBorders>
              <w:left w:val="single" w:sz="6" w:space="0" w:color="auto"/>
            </w:tcBorders>
            <w:shd w:val="clear" w:color="auto" w:fill="FFFFFF"/>
            <w:tcMar>
              <w:left w:w="0" w:type="dxa"/>
              <w:right w:w="0" w:type="dxa"/>
            </w:tcMar>
            <w:vAlign w:val="center"/>
          </w:tcPr>
          <w:p w14:paraId="4EE124FA" w14:textId="77777777" w:rsidR="004C6201" w:rsidRPr="007C45C4" w:rsidRDefault="004C6201" w:rsidP="00CA7AD4">
            <w:pPr>
              <w:pStyle w:val="RSCT03TableBody"/>
              <w:rPr>
                <w:lang w:val="en-US"/>
              </w:rPr>
            </w:pPr>
            <w:r w:rsidRPr="007C45C4">
              <w:rPr>
                <w:lang w:val="en-US"/>
              </w:rPr>
              <w:t>70.9±5.9</w:t>
            </w:r>
          </w:p>
        </w:tc>
        <w:tc>
          <w:tcPr>
            <w:tcW w:w="755" w:type="dxa"/>
            <w:shd w:val="clear" w:color="auto" w:fill="FFFFFF"/>
            <w:tcMar>
              <w:left w:w="0" w:type="dxa"/>
              <w:right w:w="0" w:type="dxa"/>
            </w:tcMar>
            <w:vAlign w:val="center"/>
          </w:tcPr>
          <w:p w14:paraId="2E547B70" w14:textId="77777777" w:rsidR="004C6201" w:rsidRPr="007C45C4" w:rsidRDefault="004C6201" w:rsidP="00CA7AD4">
            <w:pPr>
              <w:pStyle w:val="RSCT03TableBody"/>
              <w:rPr>
                <w:lang w:val="en-US"/>
              </w:rPr>
            </w:pPr>
            <w:r w:rsidRPr="007C45C4">
              <w:rPr>
                <w:lang w:val="en-US"/>
              </w:rPr>
              <w:t>20.3±3.2</w:t>
            </w:r>
          </w:p>
        </w:tc>
        <w:tc>
          <w:tcPr>
            <w:tcW w:w="686" w:type="dxa"/>
            <w:tcBorders>
              <w:right w:val="single" w:sz="6" w:space="0" w:color="auto"/>
            </w:tcBorders>
            <w:shd w:val="clear" w:color="auto" w:fill="FFFFFF"/>
            <w:tcMar>
              <w:left w:w="0" w:type="dxa"/>
              <w:right w:w="0" w:type="dxa"/>
            </w:tcMar>
            <w:vAlign w:val="center"/>
          </w:tcPr>
          <w:p w14:paraId="7A1051C0" w14:textId="77777777" w:rsidR="004C6201" w:rsidRPr="007C45C4" w:rsidRDefault="004C6201" w:rsidP="00CA7AD4">
            <w:pPr>
              <w:pStyle w:val="RSCT03TableBody"/>
              <w:rPr>
                <w:lang w:val="en-US"/>
              </w:rPr>
            </w:pPr>
            <w:r w:rsidRPr="007C45C4">
              <w:rPr>
                <w:lang w:val="en-US"/>
              </w:rPr>
              <w:t>7.9±1.3</w:t>
            </w:r>
          </w:p>
        </w:tc>
        <w:tc>
          <w:tcPr>
            <w:tcW w:w="755" w:type="dxa"/>
            <w:tcBorders>
              <w:left w:val="single" w:sz="6" w:space="0" w:color="auto"/>
            </w:tcBorders>
            <w:shd w:val="clear" w:color="auto" w:fill="FFFFFF"/>
            <w:tcMar>
              <w:left w:w="0" w:type="dxa"/>
              <w:right w:w="0" w:type="dxa"/>
            </w:tcMar>
            <w:vAlign w:val="center"/>
          </w:tcPr>
          <w:p w14:paraId="5F1D1953" w14:textId="77777777" w:rsidR="004C6201" w:rsidRPr="007C45C4" w:rsidRDefault="004C6201" w:rsidP="00CA7AD4">
            <w:pPr>
              <w:pStyle w:val="RSCT03TableBody"/>
              <w:rPr>
                <w:lang w:val="en-US"/>
              </w:rPr>
            </w:pPr>
            <w:r w:rsidRPr="007C45C4">
              <w:rPr>
                <w:lang w:val="en-US"/>
              </w:rPr>
              <w:t>16.9±0.1</w:t>
            </w:r>
          </w:p>
        </w:tc>
        <w:tc>
          <w:tcPr>
            <w:tcW w:w="686" w:type="dxa"/>
            <w:shd w:val="clear" w:color="auto" w:fill="FFFFFF"/>
            <w:tcMar>
              <w:left w:w="0" w:type="dxa"/>
              <w:right w:w="0" w:type="dxa"/>
            </w:tcMar>
            <w:vAlign w:val="center"/>
          </w:tcPr>
          <w:p w14:paraId="7A61789D" w14:textId="77777777" w:rsidR="004C6201" w:rsidRPr="007C45C4" w:rsidRDefault="004C6201" w:rsidP="00CA7AD4">
            <w:pPr>
              <w:pStyle w:val="RSCT03TableBody"/>
              <w:rPr>
                <w:lang w:val="en-US"/>
              </w:rPr>
            </w:pPr>
            <w:r w:rsidRPr="007C45C4">
              <w:rPr>
                <w:lang w:val="en-US"/>
              </w:rPr>
              <w:t>1.0±1.0</w:t>
            </w:r>
          </w:p>
        </w:tc>
        <w:tc>
          <w:tcPr>
            <w:tcW w:w="735" w:type="dxa"/>
            <w:gridSpan w:val="2"/>
            <w:shd w:val="clear" w:color="auto" w:fill="FFFFFF"/>
            <w:tcMar>
              <w:left w:w="0" w:type="dxa"/>
              <w:right w:w="0" w:type="dxa"/>
            </w:tcMar>
            <w:vAlign w:val="center"/>
          </w:tcPr>
          <w:p w14:paraId="085D1BB8" w14:textId="77777777" w:rsidR="004C6201" w:rsidRPr="007C45C4" w:rsidRDefault="004C6201" w:rsidP="00CA7AD4">
            <w:pPr>
              <w:pStyle w:val="RSCT03TableBody"/>
              <w:rPr>
                <w:lang w:val="en-US"/>
              </w:rPr>
            </w:pPr>
            <w:r w:rsidRPr="007C45C4">
              <w:rPr>
                <w:lang w:val="en-US"/>
              </w:rPr>
              <w:t>1.2±0.9</w:t>
            </w:r>
          </w:p>
        </w:tc>
      </w:tr>
      <w:tr w:rsidR="004C6201" w:rsidRPr="007C45C4" w14:paraId="4C9D13B4" w14:textId="77777777" w:rsidTr="00CA7AD4">
        <w:trPr>
          <w:trHeight w:val="340"/>
        </w:trPr>
        <w:tc>
          <w:tcPr>
            <w:tcW w:w="284" w:type="dxa"/>
            <w:tcBorders>
              <w:right w:val="single" w:sz="6" w:space="0" w:color="auto"/>
            </w:tcBorders>
            <w:shd w:val="clear" w:color="auto" w:fill="FFFFFF"/>
            <w:tcMar>
              <w:left w:w="0" w:type="dxa"/>
              <w:right w:w="0" w:type="dxa"/>
            </w:tcMar>
            <w:vAlign w:val="center"/>
          </w:tcPr>
          <w:p w14:paraId="6797ABE8" w14:textId="77777777" w:rsidR="004C6201" w:rsidRPr="007C45C4" w:rsidRDefault="004C6201" w:rsidP="00CA7AD4">
            <w:pPr>
              <w:pStyle w:val="RSCT03TableBody"/>
              <w:rPr>
                <w:b/>
                <w:lang w:val="en-US"/>
              </w:rPr>
            </w:pPr>
            <w:r w:rsidRPr="007C45C4">
              <w:rPr>
                <w:b/>
                <w:lang w:val="en-US"/>
              </w:rPr>
              <w:t>III</w:t>
            </w:r>
          </w:p>
        </w:tc>
        <w:tc>
          <w:tcPr>
            <w:tcW w:w="805" w:type="dxa"/>
            <w:tcBorders>
              <w:left w:val="single" w:sz="6" w:space="0" w:color="auto"/>
            </w:tcBorders>
            <w:shd w:val="clear" w:color="auto" w:fill="FFFFFF"/>
            <w:tcMar>
              <w:left w:w="0" w:type="dxa"/>
              <w:right w:w="0" w:type="dxa"/>
            </w:tcMar>
            <w:vAlign w:val="center"/>
          </w:tcPr>
          <w:p w14:paraId="40AAC669" w14:textId="77777777" w:rsidR="004C6201" w:rsidRPr="007C45C4" w:rsidRDefault="004C6201" w:rsidP="00CA7AD4">
            <w:pPr>
              <w:pStyle w:val="RSCT03TableBody"/>
              <w:rPr>
                <w:lang w:val="en-US"/>
              </w:rPr>
            </w:pPr>
            <w:r w:rsidRPr="007C45C4">
              <w:rPr>
                <w:lang w:val="en-US"/>
              </w:rPr>
              <w:t>77.2±6.2</w:t>
            </w:r>
          </w:p>
        </w:tc>
        <w:tc>
          <w:tcPr>
            <w:tcW w:w="755" w:type="dxa"/>
            <w:shd w:val="clear" w:color="auto" w:fill="FFFFFF"/>
            <w:tcMar>
              <w:left w:w="0" w:type="dxa"/>
              <w:right w:w="0" w:type="dxa"/>
            </w:tcMar>
            <w:vAlign w:val="center"/>
          </w:tcPr>
          <w:p w14:paraId="728A8FE5" w14:textId="77777777" w:rsidR="004C6201" w:rsidRPr="007C45C4" w:rsidRDefault="004C6201" w:rsidP="00CA7AD4">
            <w:pPr>
              <w:pStyle w:val="RSCT03TableBody"/>
              <w:rPr>
                <w:lang w:val="en-US"/>
              </w:rPr>
            </w:pPr>
            <w:r w:rsidRPr="007C45C4">
              <w:rPr>
                <w:lang w:val="en-US"/>
              </w:rPr>
              <w:t>35.2±70.1</w:t>
            </w:r>
          </w:p>
        </w:tc>
        <w:tc>
          <w:tcPr>
            <w:tcW w:w="686" w:type="dxa"/>
            <w:tcBorders>
              <w:right w:val="single" w:sz="6" w:space="0" w:color="auto"/>
            </w:tcBorders>
            <w:shd w:val="clear" w:color="auto" w:fill="FFFFFF"/>
            <w:tcMar>
              <w:left w:w="0" w:type="dxa"/>
              <w:right w:w="0" w:type="dxa"/>
            </w:tcMar>
            <w:vAlign w:val="center"/>
          </w:tcPr>
          <w:p w14:paraId="48BF37A8" w14:textId="77777777" w:rsidR="004C6201" w:rsidRPr="007C45C4" w:rsidRDefault="004C6201" w:rsidP="00CA7AD4">
            <w:pPr>
              <w:pStyle w:val="RSCT03TableBody"/>
              <w:rPr>
                <w:lang w:val="en-US"/>
              </w:rPr>
            </w:pPr>
            <w:r w:rsidRPr="007C45C4">
              <w:rPr>
                <w:lang w:val="en-US"/>
              </w:rPr>
              <w:t>17.9±2.0</w:t>
            </w:r>
          </w:p>
        </w:tc>
        <w:tc>
          <w:tcPr>
            <w:tcW w:w="755" w:type="dxa"/>
            <w:tcBorders>
              <w:left w:val="single" w:sz="6" w:space="0" w:color="auto"/>
            </w:tcBorders>
            <w:shd w:val="clear" w:color="auto" w:fill="FFFFFF"/>
            <w:tcMar>
              <w:left w:w="0" w:type="dxa"/>
              <w:right w:w="0" w:type="dxa"/>
            </w:tcMar>
            <w:vAlign w:val="center"/>
          </w:tcPr>
          <w:p w14:paraId="6AC6FE6C" w14:textId="77777777" w:rsidR="004C6201" w:rsidRPr="007C45C4" w:rsidRDefault="004C6201" w:rsidP="00CA7AD4">
            <w:pPr>
              <w:pStyle w:val="RSCT03TableBody"/>
              <w:rPr>
                <w:lang w:val="en-US"/>
              </w:rPr>
            </w:pPr>
            <w:r w:rsidRPr="007C45C4">
              <w:rPr>
                <w:lang w:val="en-US"/>
              </w:rPr>
              <w:t>41.6±0.8</w:t>
            </w:r>
          </w:p>
        </w:tc>
        <w:tc>
          <w:tcPr>
            <w:tcW w:w="686" w:type="dxa"/>
            <w:shd w:val="clear" w:color="auto" w:fill="FFFFFF"/>
            <w:tcMar>
              <w:left w:w="0" w:type="dxa"/>
              <w:right w:w="0" w:type="dxa"/>
            </w:tcMar>
            <w:vAlign w:val="center"/>
          </w:tcPr>
          <w:p w14:paraId="6F1B5FA1" w14:textId="77777777" w:rsidR="004C6201" w:rsidRPr="007C45C4" w:rsidRDefault="004C6201" w:rsidP="00CA7AD4">
            <w:pPr>
              <w:pStyle w:val="RSCT03TableBody"/>
              <w:rPr>
                <w:lang w:val="en-US"/>
              </w:rPr>
            </w:pPr>
            <w:r w:rsidRPr="007C45C4">
              <w:rPr>
                <w:lang w:val="en-US"/>
              </w:rPr>
              <w:t>2.6±1</w:t>
            </w:r>
          </w:p>
        </w:tc>
        <w:tc>
          <w:tcPr>
            <w:tcW w:w="735" w:type="dxa"/>
            <w:gridSpan w:val="2"/>
            <w:shd w:val="clear" w:color="auto" w:fill="FFFFFF"/>
            <w:tcMar>
              <w:left w:w="0" w:type="dxa"/>
              <w:right w:w="0" w:type="dxa"/>
            </w:tcMar>
            <w:vAlign w:val="center"/>
          </w:tcPr>
          <w:p w14:paraId="0830A0FF" w14:textId="77777777" w:rsidR="004C6201" w:rsidRPr="007C45C4" w:rsidRDefault="004C6201" w:rsidP="00CA7AD4">
            <w:pPr>
              <w:pStyle w:val="RSCT03TableBody"/>
              <w:rPr>
                <w:lang w:val="en-US"/>
              </w:rPr>
            </w:pPr>
            <w:r w:rsidRPr="007C45C4">
              <w:rPr>
                <w:lang w:val="en-US"/>
              </w:rPr>
              <w:t>0.1±0.2</w:t>
            </w:r>
          </w:p>
        </w:tc>
      </w:tr>
      <w:tr w:rsidR="004C6201" w:rsidRPr="007C45C4" w14:paraId="52DE7EC9" w14:textId="77777777" w:rsidTr="00CA7AD4">
        <w:trPr>
          <w:trHeight w:val="340"/>
        </w:trPr>
        <w:tc>
          <w:tcPr>
            <w:tcW w:w="284" w:type="dxa"/>
            <w:tcBorders>
              <w:right w:val="single" w:sz="6" w:space="0" w:color="auto"/>
            </w:tcBorders>
            <w:shd w:val="clear" w:color="auto" w:fill="FFFFFF"/>
            <w:tcMar>
              <w:left w:w="0" w:type="dxa"/>
              <w:right w:w="0" w:type="dxa"/>
            </w:tcMar>
            <w:vAlign w:val="center"/>
          </w:tcPr>
          <w:p w14:paraId="4109BBA7" w14:textId="77777777" w:rsidR="004C6201" w:rsidRPr="007C45C4" w:rsidRDefault="004C6201" w:rsidP="00CA7AD4">
            <w:pPr>
              <w:pStyle w:val="RSCT03TableBody"/>
              <w:rPr>
                <w:b/>
                <w:lang w:val="en-US"/>
              </w:rPr>
            </w:pPr>
            <w:r w:rsidRPr="007C45C4">
              <w:rPr>
                <w:b/>
                <w:lang w:val="en-US"/>
              </w:rPr>
              <w:t>IV</w:t>
            </w:r>
          </w:p>
        </w:tc>
        <w:tc>
          <w:tcPr>
            <w:tcW w:w="805" w:type="dxa"/>
            <w:tcBorders>
              <w:left w:val="single" w:sz="6" w:space="0" w:color="auto"/>
            </w:tcBorders>
            <w:shd w:val="clear" w:color="auto" w:fill="FFFFFF"/>
            <w:tcMar>
              <w:left w:w="0" w:type="dxa"/>
              <w:right w:w="0" w:type="dxa"/>
            </w:tcMar>
            <w:vAlign w:val="center"/>
          </w:tcPr>
          <w:p w14:paraId="2D70D8A6" w14:textId="77777777" w:rsidR="004C6201" w:rsidRPr="007C45C4" w:rsidRDefault="004C6201" w:rsidP="00CA7AD4">
            <w:pPr>
              <w:pStyle w:val="RSCT03TableBody"/>
              <w:rPr>
                <w:lang w:val="en-US"/>
              </w:rPr>
            </w:pPr>
            <w:r w:rsidRPr="007C45C4">
              <w:rPr>
                <w:lang w:val="en-US"/>
              </w:rPr>
              <w:t>103.4±4.5</w:t>
            </w:r>
          </w:p>
        </w:tc>
        <w:tc>
          <w:tcPr>
            <w:tcW w:w="755" w:type="dxa"/>
            <w:shd w:val="clear" w:color="auto" w:fill="FFFFFF"/>
            <w:tcMar>
              <w:left w:w="0" w:type="dxa"/>
              <w:right w:w="0" w:type="dxa"/>
            </w:tcMar>
            <w:vAlign w:val="center"/>
          </w:tcPr>
          <w:p w14:paraId="5D34301F" w14:textId="77777777" w:rsidR="004C6201" w:rsidRPr="007C45C4" w:rsidRDefault="004C6201" w:rsidP="00CA7AD4">
            <w:pPr>
              <w:pStyle w:val="RSCT03TableBody"/>
              <w:rPr>
                <w:lang w:val="en-US"/>
              </w:rPr>
            </w:pPr>
            <w:r w:rsidRPr="007C45C4">
              <w:rPr>
                <w:lang w:val="en-US"/>
              </w:rPr>
              <w:t>66.4±3.8</w:t>
            </w:r>
          </w:p>
        </w:tc>
        <w:tc>
          <w:tcPr>
            <w:tcW w:w="686" w:type="dxa"/>
            <w:tcBorders>
              <w:right w:val="single" w:sz="6" w:space="0" w:color="auto"/>
            </w:tcBorders>
            <w:shd w:val="clear" w:color="auto" w:fill="FFFFFF"/>
            <w:tcMar>
              <w:left w:w="0" w:type="dxa"/>
              <w:right w:w="0" w:type="dxa"/>
            </w:tcMar>
            <w:vAlign w:val="center"/>
          </w:tcPr>
          <w:p w14:paraId="3626EA9B" w14:textId="77777777" w:rsidR="004C6201" w:rsidRPr="007C45C4" w:rsidRDefault="004C6201" w:rsidP="00CA7AD4">
            <w:pPr>
              <w:pStyle w:val="RSCT03TableBody"/>
              <w:rPr>
                <w:lang w:val="en-US"/>
              </w:rPr>
            </w:pPr>
            <w:r w:rsidRPr="007C45C4">
              <w:rPr>
                <w:lang w:val="en-US"/>
              </w:rPr>
              <w:t>41.3±2.6</w:t>
            </w:r>
          </w:p>
        </w:tc>
        <w:tc>
          <w:tcPr>
            <w:tcW w:w="755" w:type="dxa"/>
            <w:tcBorders>
              <w:left w:val="single" w:sz="6" w:space="0" w:color="auto"/>
            </w:tcBorders>
            <w:shd w:val="clear" w:color="auto" w:fill="FFFFFF"/>
            <w:tcMar>
              <w:left w:w="0" w:type="dxa"/>
              <w:right w:w="0" w:type="dxa"/>
            </w:tcMar>
            <w:vAlign w:val="center"/>
          </w:tcPr>
          <w:p w14:paraId="0E0311E1" w14:textId="77777777" w:rsidR="004C6201" w:rsidRPr="007C45C4" w:rsidRDefault="004C6201" w:rsidP="00CA7AD4">
            <w:pPr>
              <w:pStyle w:val="RSCT03TableBody"/>
              <w:rPr>
                <w:lang w:val="en-US"/>
              </w:rPr>
            </w:pPr>
            <w:r w:rsidRPr="007C45C4">
              <w:rPr>
                <w:lang w:val="en-US"/>
              </w:rPr>
              <w:t>63.0±1.3</w:t>
            </w:r>
          </w:p>
        </w:tc>
        <w:tc>
          <w:tcPr>
            <w:tcW w:w="686" w:type="dxa"/>
            <w:shd w:val="clear" w:color="auto" w:fill="FFFFFF"/>
            <w:tcMar>
              <w:left w:w="0" w:type="dxa"/>
              <w:right w:w="0" w:type="dxa"/>
            </w:tcMar>
            <w:vAlign w:val="center"/>
          </w:tcPr>
          <w:p w14:paraId="26D1A8DA" w14:textId="77777777" w:rsidR="004C6201" w:rsidRPr="007C45C4" w:rsidRDefault="004C6201" w:rsidP="00CA7AD4">
            <w:pPr>
              <w:pStyle w:val="RSCT03TableBody"/>
              <w:rPr>
                <w:lang w:val="en-US"/>
              </w:rPr>
            </w:pPr>
            <w:r w:rsidRPr="007C45C4">
              <w:rPr>
                <w:lang w:val="en-US"/>
              </w:rPr>
              <w:t>19.0±5.8</w:t>
            </w:r>
          </w:p>
        </w:tc>
        <w:tc>
          <w:tcPr>
            <w:tcW w:w="735" w:type="dxa"/>
            <w:gridSpan w:val="2"/>
            <w:shd w:val="clear" w:color="auto" w:fill="FFFFFF"/>
            <w:tcMar>
              <w:left w:w="0" w:type="dxa"/>
              <w:right w:w="0" w:type="dxa"/>
            </w:tcMar>
            <w:vAlign w:val="center"/>
          </w:tcPr>
          <w:p w14:paraId="54476AF1" w14:textId="77777777" w:rsidR="004C6201" w:rsidRPr="007C45C4" w:rsidRDefault="004C6201" w:rsidP="00CA7AD4">
            <w:pPr>
              <w:pStyle w:val="RSCT03TableBody"/>
              <w:rPr>
                <w:lang w:val="en-US"/>
              </w:rPr>
            </w:pPr>
            <w:r w:rsidRPr="007C45C4">
              <w:rPr>
                <w:lang w:val="en-US"/>
              </w:rPr>
              <w:t>5.6±0.4</w:t>
            </w:r>
          </w:p>
        </w:tc>
      </w:tr>
      <w:tr w:rsidR="004C6201" w:rsidRPr="007C45C4" w14:paraId="6F926DF5" w14:textId="77777777" w:rsidTr="00CA7AD4">
        <w:trPr>
          <w:trHeight w:val="340"/>
        </w:trPr>
        <w:tc>
          <w:tcPr>
            <w:tcW w:w="284" w:type="dxa"/>
            <w:tcBorders>
              <w:right w:val="single" w:sz="6" w:space="0" w:color="auto"/>
            </w:tcBorders>
            <w:shd w:val="clear" w:color="auto" w:fill="FFFFFF"/>
            <w:tcMar>
              <w:left w:w="0" w:type="dxa"/>
              <w:right w:w="0" w:type="dxa"/>
            </w:tcMar>
            <w:vAlign w:val="center"/>
          </w:tcPr>
          <w:p w14:paraId="3CB2B9B0" w14:textId="77777777" w:rsidR="004C6201" w:rsidRPr="007C45C4" w:rsidRDefault="004C6201" w:rsidP="00CA7AD4">
            <w:pPr>
              <w:pStyle w:val="RSCT03TableBody"/>
              <w:rPr>
                <w:b/>
                <w:lang w:val="en-US"/>
              </w:rPr>
            </w:pPr>
            <w:r w:rsidRPr="007C45C4">
              <w:rPr>
                <w:b/>
                <w:lang w:val="en-US"/>
              </w:rPr>
              <w:t>V</w:t>
            </w:r>
          </w:p>
        </w:tc>
        <w:tc>
          <w:tcPr>
            <w:tcW w:w="805" w:type="dxa"/>
            <w:tcBorders>
              <w:left w:val="single" w:sz="6" w:space="0" w:color="auto"/>
            </w:tcBorders>
            <w:shd w:val="clear" w:color="auto" w:fill="FFFFFF"/>
            <w:tcMar>
              <w:left w:w="0" w:type="dxa"/>
              <w:right w:w="0" w:type="dxa"/>
            </w:tcMar>
            <w:vAlign w:val="center"/>
          </w:tcPr>
          <w:p w14:paraId="2F8A7885" w14:textId="77777777" w:rsidR="004C6201" w:rsidRPr="007C45C4" w:rsidRDefault="004C6201" w:rsidP="00CA7AD4">
            <w:pPr>
              <w:pStyle w:val="RSCT03TableBody"/>
              <w:rPr>
                <w:lang w:val="en-US"/>
              </w:rPr>
            </w:pPr>
            <w:r w:rsidRPr="007C45C4">
              <w:rPr>
                <w:lang w:val="en-US"/>
              </w:rPr>
              <w:t>108.0±54</w:t>
            </w:r>
          </w:p>
        </w:tc>
        <w:tc>
          <w:tcPr>
            <w:tcW w:w="755" w:type="dxa"/>
            <w:shd w:val="clear" w:color="auto" w:fill="FFFFFF"/>
            <w:tcMar>
              <w:left w:w="0" w:type="dxa"/>
              <w:right w:w="0" w:type="dxa"/>
            </w:tcMar>
            <w:vAlign w:val="center"/>
          </w:tcPr>
          <w:p w14:paraId="6E3E4926" w14:textId="77777777" w:rsidR="004C6201" w:rsidRPr="007C45C4" w:rsidRDefault="004C6201" w:rsidP="00CA7AD4">
            <w:pPr>
              <w:pStyle w:val="RSCT03TableBody"/>
              <w:rPr>
                <w:lang w:val="en-US"/>
              </w:rPr>
            </w:pPr>
            <w:r w:rsidRPr="007C45C4">
              <w:rPr>
                <w:lang w:val="en-US"/>
              </w:rPr>
              <w:t>56.4±2.8</w:t>
            </w:r>
          </w:p>
        </w:tc>
        <w:tc>
          <w:tcPr>
            <w:tcW w:w="686" w:type="dxa"/>
            <w:tcBorders>
              <w:right w:val="single" w:sz="6" w:space="0" w:color="auto"/>
            </w:tcBorders>
            <w:shd w:val="clear" w:color="auto" w:fill="FFFFFF"/>
            <w:tcMar>
              <w:left w:w="0" w:type="dxa"/>
              <w:right w:w="0" w:type="dxa"/>
            </w:tcMar>
            <w:vAlign w:val="center"/>
          </w:tcPr>
          <w:p w14:paraId="668937E7" w14:textId="77777777" w:rsidR="004C6201" w:rsidRPr="007C45C4" w:rsidRDefault="004C6201" w:rsidP="00CA7AD4">
            <w:pPr>
              <w:pStyle w:val="RSCT03TableBody"/>
              <w:rPr>
                <w:lang w:val="en-US"/>
              </w:rPr>
            </w:pPr>
            <w:r w:rsidRPr="007C45C4">
              <w:rPr>
                <w:lang w:val="en-US"/>
              </w:rPr>
              <w:t>27.3±1.1</w:t>
            </w:r>
          </w:p>
        </w:tc>
        <w:tc>
          <w:tcPr>
            <w:tcW w:w="755" w:type="dxa"/>
            <w:tcBorders>
              <w:left w:val="single" w:sz="6" w:space="0" w:color="auto"/>
            </w:tcBorders>
            <w:shd w:val="clear" w:color="auto" w:fill="FFFFFF"/>
            <w:tcMar>
              <w:left w:w="0" w:type="dxa"/>
              <w:right w:w="0" w:type="dxa"/>
            </w:tcMar>
            <w:vAlign w:val="center"/>
          </w:tcPr>
          <w:p w14:paraId="393297EC" w14:textId="77777777" w:rsidR="004C6201" w:rsidRPr="007C45C4" w:rsidRDefault="004C6201" w:rsidP="00CA7AD4">
            <w:pPr>
              <w:pStyle w:val="RSCT03TableBody"/>
              <w:rPr>
                <w:lang w:val="en-US"/>
              </w:rPr>
            </w:pPr>
            <w:r w:rsidRPr="007C45C4">
              <w:rPr>
                <w:lang w:val="en-US"/>
              </w:rPr>
              <w:t>118.0±9.2</w:t>
            </w:r>
          </w:p>
        </w:tc>
        <w:tc>
          <w:tcPr>
            <w:tcW w:w="686" w:type="dxa"/>
            <w:shd w:val="clear" w:color="auto" w:fill="FFFFFF"/>
            <w:tcMar>
              <w:left w:w="0" w:type="dxa"/>
              <w:right w:w="0" w:type="dxa"/>
            </w:tcMar>
            <w:vAlign w:val="center"/>
          </w:tcPr>
          <w:p w14:paraId="64FB0E00" w14:textId="77777777" w:rsidR="004C6201" w:rsidRPr="007C45C4" w:rsidRDefault="004C6201" w:rsidP="00CA7AD4">
            <w:pPr>
              <w:pStyle w:val="RSCT03TableBody"/>
              <w:rPr>
                <w:lang w:val="en-US"/>
              </w:rPr>
            </w:pPr>
            <w:r w:rsidRPr="007C45C4">
              <w:rPr>
                <w:lang w:val="en-US"/>
              </w:rPr>
              <w:t>4.1±0.5</w:t>
            </w:r>
          </w:p>
        </w:tc>
        <w:tc>
          <w:tcPr>
            <w:tcW w:w="735" w:type="dxa"/>
            <w:gridSpan w:val="2"/>
            <w:shd w:val="clear" w:color="auto" w:fill="FFFFFF"/>
            <w:tcMar>
              <w:left w:w="0" w:type="dxa"/>
              <w:right w:w="0" w:type="dxa"/>
            </w:tcMar>
            <w:vAlign w:val="center"/>
          </w:tcPr>
          <w:p w14:paraId="0E550AF7" w14:textId="77777777" w:rsidR="004C6201" w:rsidRPr="007C45C4" w:rsidRDefault="004C6201" w:rsidP="00CA7AD4">
            <w:pPr>
              <w:pStyle w:val="RSCT03TableBody"/>
              <w:rPr>
                <w:lang w:val="en-US"/>
              </w:rPr>
            </w:pPr>
            <w:r w:rsidRPr="007C45C4">
              <w:rPr>
                <w:lang w:val="en-US"/>
              </w:rPr>
              <w:t>1.7±0.3</w:t>
            </w:r>
          </w:p>
        </w:tc>
      </w:tr>
      <w:tr w:rsidR="004C6201" w:rsidRPr="007C45C4" w14:paraId="4BF2B701" w14:textId="77777777" w:rsidTr="00CA7AD4">
        <w:trPr>
          <w:trHeight w:val="340"/>
        </w:trPr>
        <w:tc>
          <w:tcPr>
            <w:tcW w:w="284" w:type="dxa"/>
            <w:tcBorders>
              <w:right w:val="single" w:sz="6" w:space="0" w:color="auto"/>
            </w:tcBorders>
            <w:shd w:val="clear" w:color="auto" w:fill="FFFFFF"/>
            <w:tcMar>
              <w:left w:w="0" w:type="dxa"/>
              <w:right w:w="0" w:type="dxa"/>
            </w:tcMar>
            <w:vAlign w:val="center"/>
          </w:tcPr>
          <w:p w14:paraId="5F91541A" w14:textId="77777777" w:rsidR="004C6201" w:rsidRPr="007C45C4" w:rsidRDefault="004C6201" w:rsidP="00CA7AD4">
            <w:pPr>
              <w:pStyle w:val="RSCT03TableBody"/>
              <w:rPr>
                <w:b/>
                <w:lang w:val="en-US"/>
              </w:rPr>
            </w:pPr>
            <w:r w:rsidRPr="007C45C4">
              <w:rPr>
                <w:b/>
                <w:lang w:val="en-US"/>
              </w:rPr>
              <w:t>VI</w:t>
            </w:r>
          </w:p>
        </w:tc>
        <w:tc>
          <w:tcPr>
            <w:tcW w:w="805" w:type="dxa"/>
            <w:tcBorders>
              <w:left w:val="single" w:sz="6" w:space="0" w:color="auto"/>
            </w:tcBorders>
            <w:shd w:val="clear" w:color="auto" w:fill="FFFFFF"/>
            <w:tcMar>
              <w:left w:w="0" w:type="dxa"/>
              <w:right w:w="0" w:type="dxa"/>
            </w:tcMar>
            <w:vAlign w:val="center"/>
          </w:tcPr>
          <w:p w14:paraId="65544C46" w14:textId="77777777" w:rsidR="004C6201" w:rsidRPr="007C45C4" w:rsidRDefault="004C6201" w:rsidP="00CA7AD4">
            <w:pPr>
              <w:pStyle w:val="RSCT03TableBody"/>
              <w:rPr>
                <w:lang w:val="en-US"/>
              </w:rPr>
            </w:pPr>
            <w:r w:rsidRPr="007C45C4">
              <w:rPr>
                <w:lang w:val="en-US"/>
              </w:rPr>
              <w:t>109.1±2.5</w:t>
            </w:r>
          </w:p>
        </w:tc>
        <w:tc>
          <w:tcPr>
            <w:tcW w:w="755" w:type="dxa"/>
            <w:shd w:val="clear" w:color="auto" w:fill="FFFFFF"/>
            <w:tcMar>
              <w:left w:w="0" w:type="dxa"/>
              <w:right w:w="0" w:type="dxa"/>
            </w:tcMar>
            <w:vAlign w:val="center"/>
          </w:tcPr>
          <w:p w14:paraId="6DFF09AB" w14:textId="77777777" w:rsidR="004C6201" w:rsidRPr="007C45C4" w:rsidRDefault="004C6201" w:rsidP="00CA7AD4">
            <w:pPr>
              <w:pStyle w:val="RSCT03TableBody"/>
              <w:rPr>
                <w:lang w:val="en-US"/>
              </w:rPr>
            </w:pPr>
            <w:r w:rsidRPr="007C45C4">
              <w:rPr>
                <w:lang w:val="en-US"/>
              </w:rPr>
              <w:t>68.4±4.2</w:t>
            </w:r>
          </w:p>
        </w:tc>
        <w:tc>
          <w:tcPr>
            <w:tcW w:w="686" w:type="dxa"/>
            <w:tcBorders>
              <w:right w:val="single" w:sz="6" w:space="0" w:color="auto"/>
            </w:tcBorders>
            <w:shd w:val="clear" w:color="auto" w:fill="FFFFFF"/>
            <w:tcMar>
              <w:left w:w="0" w:type="dxa"/>
              <w:right w:w="0" w:type="dxa"/>
            </w:tcMar>
            <w:vAlign w:val="center"/>
          </w:tcPr>
          <w:p w14:paraId="6C22E911" w14:textId="77777777" w:rsidR="004C6201" w:rsidRPr="007C45C4" w:rsidRDefault="004C6201" w:rsidP="00CA7AD4">
            <w:pPr>
              <w:pStyle w:val="RSCT03TableBody"/>
              <w:rPr>
                <w:lang w:val="en-US"/>
              </w:rPr>
            </w:pPr>
            <w:r w:rsidRPr="007C45C4">
              <w:rPr>
                <w:lang w:val="en-US"/>
              </w:rPr>
              <w:t>39.3±2.1</w:t>
            </w:r>
          </w:p>
        </w:tc>
        <w:tc>
          <w:tcPr>
            <w:tcW w:w="755" w:type="dxa"/>
            <w:tcBorders>
              <w:left w:val="single" w:sz="6" w:space="0" w:color="auto"/>
            </w:tcBorders>
            <w:shd w:val="clear" w:color="auto" w:fill="FFFFFF"/>
            <w:tcMar>
              <w:left w:w="0" w:type="dxa"/>
              <w:right w:w="0" w:type="dxa"/>
            </w:tcMar>
            <w:vAlign w:val="center"/>
          </w:tcPr>
          <w:p w14:paraId="12542C70" w14:textId="77777777" w:rsidR="004C6201" w:rsidRPr="007C45C4" w:rsidRDefault="004C6201" w:rsidP="00CA7AD4">
            <w:pPr>
              <w:pStyle w:val="RSCT03TableBody"/>
              <w:rPr>
                <w:lang w:val="en-US"/>
              </w:rPr>
            </w:pPr>
            <w:r w:rsidRPr="007C45C4">
              <w:rPr>
                <w:lang w:val="en-US"/>
              </w:rPr>
              <w:t>79.9±7.3</w:t>
            </w:r>
          </w:p>
        </w:tc>
        <w:tc>
          <w:tcPr>
            <w:tcW w:w="686" w:type="dxa"/>
            <w:shd w:val="clear" w:color="auto" w:fill="FFFFFF"/>
            <w:tcMar>
              <w:left w:w="0" w:type="dxa"/>
              <w:right w:w="0" w:type="dxa"/>
            </w:tcMar>
            <w:vAlign w:val="center"/>
          </w:tcPr>
          <w:p w14:paraId="42397085" w14:textId="77777777" w:rsidR="004C6201" w:rsidRPr="007C45C4" w:rsidRDefault="004C6201" w:rsidP="00CA7AD4">
            <w:pPr>
              <w:pStyle w:val="RSCT03TableBody"/>
              <w:rPr>
                <w:lang w:val="en-US"/>
              </w:rPr>
            </w:pPr>
            <w:r w:rsidRPr="007C45C4">
              <w:rPr>
                <w:lang w:val="en-US"/>
              </w:rPr>
              <w:t>46.1±7.8</w:t>
            </w:r>
          </w:p>
        </w:tc>
        <w:tc>
          <w:tcPr>
            <w:tcW w:w="735" w:type="dxa"/>
            <w:gridSpan w:val="2"/>
            <w:shd w:val="clear" w:color="auto" w:fill="FFFFFF"/>
            <w:tcMar>
              <w:left w:w="0" w:type="dxa"/>
              <w:right w:w="0" w:type="dxa"/>
            </w:tcMar>
            <w:vAlign w:val="center"/>
          </w:tcPr>
          <w:p w14:paraId="309E821F" w14:textId="77777777" w:rsidR="004C6201" w:rsidRPr="007C45C4" w:rsidRDefault="004C6201" w:rsidP="00CA7AD4">
            <w:pPr>
              <w:pStyle w:val="RSCT03TableBody"/>
              <w:rPr>
                <w:lang w:val="en-US"/>
              </w:rPr>
            </w:pPr>
            <w:r w:rsidRPr="007C45C4">
              <w:rPr>
                <w:lang w:val="en-US"/>
              </w:rPr>
              <w:t>5.9±4.2</w:t>
            </w:r>
          </w:p>
        </w:tc>
      </w:tr>
    </w:tbl>
    <w:p w14:paraId="39636FBD" w14:textId="77777777" w:rsidR="004C6201" w:rsidRPr="007C45C4" w:rsidRDefault="004C6201" w:rsidP="004C6201">
      <w:pPr>
        <w:pStyle w:val="RSCT04TableFootnotewithbottombar"/>
        <w:rPr>
          <w:lang w:val="en-US"/>
        </w:rPr>
      </w:pPr>
      <w:proofErr w:type="gramStart"/>
      <w:r w:rsidRPr="007C45C4">
        <w:rPr>
          <w:i/>
          <w:vertAlign w:val="superscript"/>
          <w:lang w:val="en-US"/>
        </w:rPr>
        <w:t>a</w:t>
      </w:r>
      <w:proofErr w:type="gramEnd"/>
      <w:r w:rsidRPr="007C45C4">
        <w:rPr>
          <w:lang w:val="en-US"/>
        </w:rPr>
        <w:t xml:space="preserve"> Determined using WST-1 as means ± SD from three independent experiments.</w:t>
      </w:r>
    </w:p>
    <w:p w14:paraId="070E6DED" w14:textId="77777777" w:rsidR="004C6201" w:rsidRDefault="00841613" w:rsidP="004C6201">
      <w:pPr>
        <w:pStyle w:val="RSCB02ArticleText"/>
        <w:rPr>
          <w:lang w:val="en-US"/>
        </w:rPr>
      </w:pPr>
      <w:r w:rsidRPr="007C45C4">
        <w:rPr>
          <w:lang w:val="en-US"/>
        </w:rPr>
        <w:t xml:space="preserve">The obtained mean </w:t>
      </w:r>
      <w:r w:rsidR="00600DF2" w:rsidRPr="007C45C4">
        <w:rPr>
          <w:lang w:val="en-US"/>
        </w:rPr>
        <w:t xml:space="preserve">growth percent (GP) </w:t>
      </w:r>
      <w:r w:rsidRPr="007C45C4">
        <w:rPr>
          <w:lang w:val="en-US"/>
        </w:rPr>
        <w:t>values for the MOLT-4 cel</w:t>
      </w:r>
      <w:r w:rsidR="0095100A" w:rsidRPr="007C45C4">
        <w:rPr>
          <w:lang w:val="en-US"/>
        </w:rPr>
        <w:t>ls were 44.1</w:t>
      </w:r>
      <w:r w:rsidRPr="007C45C4">
        <w:rPr>
          <w:lang w:val="en-US"/>
        </w:rPr>
        <w:t xml:space="preserve">% (24 h) at the group treated with concentration 0.1 µM. The cytotoxic effect against MOLT-4 cells increased through a dose-dependent way of the complex </w:t>
      </w:r>
      <w:proofErr w:type="gramStart"/>
      <w:r w:rsidRPr="007C45C4">
        <w:rPr>
          <w:b/>
          <w:lang w:val="en-US"/>
        </w:rPr>
        <w:t>6</w:t>
      </w:r>
      <w:proofErr w:type="gramEnd"/>
      <w:r w:rsidRPr="007C45C4">
        <w:rPr>
          <w:lang w:val="en-US"/>
        </w:rPr>
        <w:t xml:space="preserve"> (2 and 5 µM) but the cytotoxicity was independent of the incubation time. The cells A2</w:t>
      </w:r>
      <w:r w:rsidR="0095100A" w:rsidRPr="007C45C4">
        <w:rPr>
          <w:lang w:val="en-US"/>
        </w:rPr>
        <w:t>780 were GP 70.9</w:t>
      </w:r>
      <w:r w:rsidRPr="007C45C4">
        <w:rPr>
          <w:lang w:val="en-US"/>
        </w:rPr>
        <w:t>% (24 h</w:t>
      </w:r>
      <w:r w:rsidR="0095100A" w:rsidRPr="007C45C4">
        <w:rPr>
          <w:lang w:val="en-US"/>
        </w:rPr>
        <w:t>) resp. 16.9</w:t>
      </w:r>
      <w:r w:rsidRPr="007C45C4">
        <w:rPr>
          <w:lang w:val="en-US"/>
        </w:rPr>
        <w:t>% (24 h) after treatment 0.1 µM complex</w:t>
      </w:r>
      <w:r w:rsidR="00600DF2" w:rsidRPr="007C45C4">
        <w:rPr>
          <w:lang w:val="en-US"/>
        </w:rPr>
        <w:t xml:space="preserve"> </w:t>
      </w:r>
      <w:r w:rsidR="00A00696" w:rsidRPr="007C45C4">
        <w:rPr>
          <w:b/>
          <w:lang w:val="en-US"/>
        </w:rPr>
        <w:t>6</w:t>
      </w:r>
      <w:r w:rsidRPr="007C45C4">
        <w:rPr>
          <w:lang w:val="en-US"/>
        </w:rPr>
        <w:t>. The GP on the cancer cells A549 resp</w:t>
      </w:r>
      <w:r w:rsidR="0095100A" w:rsidRPr="007C45C4">
        <w:rPr>
          <w:lang w:val="en-US"/>
        </w:rPr>
        <w:t>. HT-29 were 77.2% resp. 103.4</w:t>
      </w:r>
      <w:r w:rsidRPr="007C45C4">
        <w:rPr>
          <w:lang w:val="en-US"/>
        </w:rPr>
        <w:t>% after 24 h</w:t>
      </w:r>
      <w:r w:rsidR="0095100A" w:rsidRPr="007C45C4">
        <w:rPr>
          <w:lang w:val="en-US"/>
        </w:rPr>
        <w:t xml:space="preserve"> and 41.6% and 63.0</w:t>
      </w:r>
      <w:r w:rsidRPr="007C45C4">
        <w:rPr>
          <w:lang w:val="en-US"/>
        </w:rPr>
        <w:t xml:space="preserve">% after 48 h by treatment 0.1 µM of </w:t>
      </w:r>
      <w:proofErr w:type="gramStart"/>
      <w:r w:rsidRPr="007C45C4">
        <w:rPr>
          <w:b/>
          <w:lang w:val="en-US"/>
        </w:rPr>
        <w:t>6</w:t>
      </w:r>
      <w:proofErr w:type="gramEnd"/>
      <w:r w:rsidRPr="007C45C4">
        <w:rPr>
          <w:lang w:val="en-US"/>
        </w:rPr>
        <w:t>. The cytotoxic effect against suspension cell line MOLT-4 was dependent on the dose and incubation time. At the end of the 48-h incubation period, it was observed that the concentrations 2 and 5 µM has GP very low. The cells</w:t>
      </w:r>
      <w:r w:rsidR="0095100A" w:rsidRPr="007C45C4">
        <w:rPr>
          <w:lang w:val="en-US"/>
        </w:rPr>
        <w:t xml:space="preserve"> A549 were measured GP only 2.6% resp. 0.1</w:t>
      </w:r>
      <w:r w:rsidRPr="007C45C4">
        <w:rPr>
          <w:lang w:val="en-US"/>
        </w:rPr>
        <w:t xml:space="preserve">% after treatment 2 resp. 5 µM of </w:t>
      </w:r>
      <w:r w:rsidRPr="007C45C4">
        <w:rPr>
          <w:b/>
          <w:lang w:val="en-US"/>
        </w:rPr>
        <w:t>6</w:t>
      </w:r>
      <w:r w:rsidRPr="007C45C4">
        <w:rPr>
          <w:lang w:val="en-US"/>
        </w:rPr>
        <w:t xml:space="preserve">. The complex </w:t>
      </w:r>
      <w:r w:rsidRPr="007C45C4">
        <w:rPr>
          <w:b/>
          <w:lang w:val="en-US"/>
        </w:rPr>
        <w:t>6</w:t>
      </w:r>
      <w:r w:rsidRPr="007C45C4">
        <w:rPr>
          <w:lang w:val="en-US"/>
        </w:rPr>
        <w:t xml:space="preserve"> was effective on the A2780cis cell after dose 2 and 5 µM and the higher effect was observed after 48 h since treatment. </w:t>
      </w:r>
    </w:p>
    <w:p w14:paraId="15F90143" w14:textId="77777777" w:rsidR="004C6201" w:rsidRDefault="004C6201" w:rsidP="004C6201">
      <w:pPr>
        <w:pStyle w:val="RSCI02FigureSchemeChartwithtopbar"/>
        <w:rPr>
          <w:b/>
          <w:lang w:val="en-US"/>
        </w:rPr>
      </w:pPr>
      <w:r w:rsidRPr="007C45C4">
        <w:rPr>
          <w:noProof/>
          <w:lang w:val="en-US"/>
        </w:rPr>
        <w:drawing>
          <wp:inline distT="0" distB="0" distL="0" distR="0" wp14:anchorId="3ED49EA5" wp14:editId="7DD70744">
            <wp:extent cx="2988000" cy="2124000"/>
            <wp:effectExtent l="0" t="0" r="3175"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4.tif"/>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988000" cy="2124000"/>
                    </a:xfrm>
                    <a:prstGeom prst="rect">
                      <a:avLst/>
                    </a:prstGeom>
                  </pic:spPr>
                </pic:pic>
              </a:graphicData>
            </a:graphic>
          </wp:inline>
        </w:drawing>
      </w:r>
    </w:p>
    <w:p w14:paraId="0CB21FD7" w14:textId="77777777" w:rsidR="004C6201" w:rsidRPr="007C45C4" w:rsidRDefault="004C6201" w:rsidP="004C6201">
      <w:pPr>
        <w:pStyle w:val="RSCI05CaptiontoFigureSchemeChartwithbottombar"/>
        <w:rPr>
          <w:lang w:val="en-US"/>
        </w:rPr>
      </w:pPr>
      <w:r>
        <w:rPr>
          <w:b/>
          <w:lang w:val="en-US"/>
        </w:rPr>
        <w:t>Fig. 4</w:t>
      </w:r>
      <w:r w:rsidRPr="009964FB">
        <w:rPr>
          <w:lang w:val="en-US"/>
        </w:rPr>
        <w:t xml:space="preserve"> The cytotoxic effect of complex </w:t>
      </w:r>
      <w:r w:rsidRPr="009964FB">
        <w:rPr>
          <w:b/>
          <w:lang w:val="en-US"/>
        </w:rPr>
        <w:t>6</w:t>
      </w:r>
      <w:r w:rsidRPr="009964FB">
        <w:rPr>
          <w:lang w:val="en-US"/>
        </w:rPr>
        <w:t xml:space="preserve"> on the A549 and MRC-5 determined using WST-1 assay 24 h after treatment. Results are the mean values ± SD of three independent replications.</w:t>
      </w:r>
    </w:p>
    <w:p w14:paraId="2F3B2F62" w14:textId="77777777" w:rsidR="004C6201" w:rsidRPr="007C45C4" w:rsidRDefault="004C6201" w:rsidP="004C6201">
      <w:pPr>
        <w:pStyle w:val="RSCB02ArticleText"/>
        <w:rPr>
          <w:lang w:val="en-US"/>
        </w:rPr>
      </w:pPr>
      <w:r w:rsidRPr="007C45C4">
        <w:rPr>
          <w:lang w:val="en-US"/>
        </w:rPr>
        <w:t xml:space="preserve">The non-cancer cells MRC-5 were the least effective. It was found out the cytotoxicity was dependent to dose and incubation time, but the values of GP were higher than others tested cell lines. Lung adenocarcinoma cell line A549 and for comparison non-cancer </w:t>
      </w:r>
      <w:proofErr w:type="spellStart"/>
      <w:r w:rsidRPr="007C45C4">
        <w:rPr>
          <w:lang w:val="en-US"/>
        </w:rPr>
        <w:t>foetal</w:t>
      </w:r>
      <w:proofErr w:type="spellEnd"/>
      <w:r w:rsidRPr="007C45C4">
        <w:rPr>
          <w:lang w:val="en-US"/>
        </w:rPr>
        <w:t xml:space="preserve"> lung cells MRC-5 were chosen in </w:t>
      </w:r>
      <w:r w:rsidRPr="007C45C4">
        <w:rPr>
          <w:lang w:val="en-US"/>
        </w:rPr>
        <w:t xml:space="preserve">the </w:t>
      </w:r>
      <w:proofErr w:type="gramStart"/>
      <w:r w:rsidRPr="007C45C4">
        <w:rPr>
          <w:lang w:val="en-US"/>
        </w:rPr>
        <w:t>2</w:t>
      </w:r>
      <w:proofErr w:type="gramEnd"/>
      <w:r w:rsidRPr="007C45C4">
        <w:rPr>
          <w:lang w:val="en-US"/>
        </w:rPr>
        <w:t xml:space="preserve"> and 5 µM concentration with treatment time 24 h for the study of the mechanism of effect.</w:t>
      </w:r>
    </w:p>
    <w:p w14:paraId="5ECC80A0" w14:textId="7F62EAC3" w:rsidR="00EE03D5" w:rsidRDefault="00EE03D5" w:rsidP="00EE03D5">
      <w:pPr>
        <w:pStyle w:val="RSCB02ArticleText"/>
        <w:rPr>
          <w:lang w:val="en-US"/>
        </w:rPr>
      </w:pPr>
      <w:r w:rsidRPr="007C45C4">
        <w:rPr>
          <w:lang w:val="en-US"/>
        </w:rPr>
        <w:t xml:space="preserve">Cytotoxicity of the complex </w:t>
      </w:r>
      <w:proofErr w:type="gramStart"/>
      <w:r w:rsidRPr="007C45C4">
        <w:rPr>
          <w:b/>
          <w:lang w:val="en-US"/>
        </w:rPr>
        <w:t>6</w:t>
      </w:r>
      <w:proofErr w:type="gramEnd"/>
      <w:r w:rsidRPr="007C45C4">
        <w:rPr>
          <w:lang w:val="en-US"/>
        </w:rPr>
        <w:t xml:space="preserve"> was also measured throughout the concentration range on the chosen cell lines A549 and MRC-5. It was determined that the value IC</w:t>
      </w:r>
      <w:r w:rsidRPr="007C45C4">
        <w:rPr>
          <w:vertAlign w:val="subscript"/>
          <w:lang w:val="en-US"/>
        </w:rPr>
        <w:t>50</w:t>
      </w:r>
      <w:r w:rsidRPr="007C45C4">
        <w:rPr>
          <w:lang w:val="en-US"/>
        </w:rPr>
        <w:t xml:space="preserve"> is 1.0 ± 0.2 µM on the A549 cells and 3.</w:t>
      </w:r>
      <w:r w:rsidR="00A5329A" w:rsidRPr="007C45C4">
        <w:rPr>
          <w:lang w:val="en-US"/>
        </w:rPr>
        <w:t>7</w:t>
      </w:r>
      <w:r w:rsidRPr="007C45C4">
        <w:rPr>
          <w:lang w:val="en-US"/>
        </w:rPr>
        <w:t xml:space="preserve"> ± 0.4 µM on the MRC-5 cel</w:t>
      </w:r>
      <w:r w:rsidR="009964FB">
        <w:rPr>
          <w:lang w:val="en-US"/>
        </w:rPr>
        <w:t>ls after 24 h incubation (Fi</w:t>
      </w:r>
      <w:bookmarkStart w:id="0" w:name="_GoBack"/>
      <w:bookmarkEnd w:id="0"/>
      <w:r w:rsidR="009964FB">
        <w:rPr>
          <w:lang w:val="en-US"/>
        </w:rPr>
        <w:t>g.</w:t>
      </w:r>
      <w:r w:rsidRPr="007C45C4">
        <w:rPr>
          <w:lang w:val="en-US"/>
        </w:rPr>
        <w:t xml:space="preserve"> 4). These results indicate that the complex </w:t>
      </w:r>
      <w:r w:rsidRPr="007C45C4">
        <w:rPr>
          <w:b/>
          <w:lang w:val="en-US"/>
        </w:rPr>
        <w:t>6</w:t>
      </w:r>
      <w:r w:rsidRPr="007C45C4">
        <w:rPr>
          <w:lang w:val="en-US"/>
        </w:rPr>
        <w:t xml:space="preserve"> is more cytotoxic to the cancer cells A549 than to the non-cancer cell line MRC-5.</w:t>
      </w:r>
    </w:p>
    <w:p w14:paraId="173539F7" w14:textId="23C72610" w:rsidR="002225C9" w:rsidRPr="007C45C4" w:rsidRDefault="00FD27DF" w:rsidP="00E8452E">
      <w:pPr>
        <w:pStyle w:val="RSCB02ArticleText"/>
        <w:spacing w:line="240" w:lineRule="auto"/>
        <w:rPr>
          <w:lang w:val="en-US"/>
        </w:rPr>
      </w:pPr>
      <w:r w:rsidRPr="007C45C4">
        <w:rPr>
          <w:lang w:val="en-US"/>
        </w:rPr>
        <w:t>In the next experiments (Fig</w:t>
      </w:r>
      <w:r w:rsidR="00EB3290">
        <w:rPr>
          <w:lang w:val="en-US"/>
        </w:rPr>
        <w:t>.</w:t>
      </w:r>
      <w:r w:rsidRPr="007C45C4">
        <w:rPr>
          <w:lang w:val="en-US"/>
        </w:rPr>
        <w:t xml:space="preserve"> 5), it was determined that the complex </w:t>
      </w:r>
      <w:r w:rsidRPr="007C45C4">
        <w:rPr>
          <w:b/>
          <w:lang w:val="en-US"/>
        </w:rPr>
        <w:t>6</w:t>
      </w:r>
      <w:r w:rsidRPr="007C45C4">
        <w:rPr>
          <w:lang w:val="en-US"/>
        </w:rPr>
        <w:t xml:space="preserve"> causes considerable inhibition of A</w:t>
      </w:r>
      <w:r w:rsidR="0095100A" w:rsidRPr="007C45C4">
        <w:rPr>
          <w:lang w:val="en-US"/>
        </w:rPr>
        <w:t>549 cells proliferation to 65.9</w:t>
      </w:r>
      <w:r w:rsidRPr="007C45C4">
        <w:rPr>
          <w:lang w:val="en-US"/>
        </w:rPr>
        <w:t>% at</w:t>
      </w:r>
      <w:r w:rsidR="0095100A" w:rsidRPr="007C45C4">
        <w:rPr>
          <w:lang w:val="en-US"/>
        </w:rPr>
        <w:t xml:space="preserve"> 2 µM concentration and to 16.9</w:t>
      </w:r>
      <w:r w:rsidRPr="007C45C4">
        <w:rPr>
          <w:lang w:val="en-US"/>
        </w:rPr>
        <w:t>% at 5 µM concentration with significantly decreased amount of viabl</w:t>
      </w:r>
      <w:r w:rsidR="0095100A" w:rsidRPr="007C45C4">
        <w:rPr>
          <w:lang w:val="en-US"/>
        </w:rPr>
        <w:t>e A549 cells to 68.7</w:t>
      </w:r>
      <w:r w:rsidRPr="007C45C4">
        <w:rPr>
          <w:lang w:val="en-US"/>
        </w:rPr>
        <w:t xml:space="preserve">% by 5 µM concentration after 24 h of exposure. The different mechanism of effect of the complex </w:t>
      </w:r>
      <w:proofErr w:type="gramStart"/>
      <w:r w:rsidRPr="007C45C4">
        <w:rPr>
          <w:b/>
          <w:lang w:val="en-US"/>
        </w:rPr>
        <w:t>6</w:t>
      </w:r>
      <w:proofErr w:type="gramEnd"/>
      <w:r w:rsidRPr="007C45C4">
        <w:rPr>
          <w:lang w:val="en-US"/>
        </w:rPr>
        <w:t xml:space="preserve"> on the cell proliferation and viability occurred after treatment of MRC-5 cells. Inconsistently to previous results, the MRC-5 cells were more sensitive to the tested complex showing dose-dependent decrease of the proliferation and amount of the viable cells more obviously then those observed for A549 cells. The viability of ce</w:t>
      </w:r>
      <w:r w:rsidR="0095100A" w:rsidRPr="007C45C4">
        <w:rPr>
          <w:lang w:val="en-US"/>
        </w:rPr>
        <w:t>lls MRC-5 was inhibited to 79.7% and 8.2</w:t>
      </w:r>
      <w:r w:rsidRPr="007C45C4">
        <w:rPr>
          <w:lang w:val="en-US"/>
        </w:rPr>
        <w:t xml:space="preserve">% by the treatment with </w:t>
      </w:r>
      <w:proofErr w:type="gramStart"/>
      <w:r w:rsidRPr="007C45C4">
        <w:rPr>
          <w:lang w:val="en-US"/>
        </w:rPr>
        <w:t>2</w:t>
      </w:r>
      <w:proofErr w:type="gramEnd"/>
      <w:r w:rsidRPr="007C45C4">
        <w:rPr>
          <w:lang w:val="en-US"/>
        </w:rPr>
        <w:t xml:space="preserve"> and 5 µM, respectively. The proliferation of MRC</w:t>
      </w:r>
      <w:r w:rsidR="0095100A" w:rsidRPr="007C45C4">
        <w:rPr>
          <w:lang w:val="en-US"/>
        </w:rPr>
        <w:t>-5 cells was reaching only 58.6% and 5.7</w:t>
      </w:r>
      <w:r w:rsidRPr="007C45C4">
        <w:rPr>
          <w:lang w:val="en-US"/>
        </w:rPr>
        <w:t>% relative to untreated control at the same determined concentrations.</w:t>
      </w:r>
    </w:p>
    <w:p w14:paraId="6FFD6BC1" w14:textId="77777777" w:rsidR="00E96229" w:rsidRPr="007C45C4" w:rsidRDefault="00E8452E" w:rsidP="007C45C4">
      <w:pPr>
        <w:pStyle w:val="RSCI02FigureSchemeChartwithtopbar"/>
        <w:rPr>
          <w:lang w:val="en-US"/>
        </w:rPr>
      </w:pPr>
      <w:r w:rsidRPr="007C45C4">
        <w:rPr>
          <w:noProof/>
          <w:lang w:val="en-US"/>
        </w:rPr>
        <w:drawing>
          <wp:inline distT="0" distB="0" distL="0" distR="0" wp14:anchorId="31D36950" wp14:editId="167C0293">
            <wp:extent cx="2987675" cy="1501140"/>
            <wp:effectExtent l="0" t="0" r="3175" b="3810"/>
            <wp:docPr id="18" name="Obráze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5.tif"/>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987675" cy="1501140"/>
                    </a:xfrm>
                    <a:prstGeom prst="rect">
                      <a:avLst/>
                    </a:prstGeom>
                  </pic:spPr>
                </pic:pic>
              </a:graphicData>
            </a:graphic>
          </wp:inline>
        </w:drawing>
      </w:r>
    </w:p>
    <w:p w14:paraId="681BBFB3" w14:textId="463EDAD9" w:rsidR="00C9650B" w:rsidRPr="007C45C4" w:rsidRDefault="009964FB" w:rsidP="009964FB">
      <w:pPr>
        <w:pStyle w:val="RSCI05CaptiontoFigureSchemeChartwithbottombar"/>
        <w:rPr>
          <w:lang w:val="en-US"/>
        </w:rPr>
      </w:pPr>
      <w:r>
        <w:rPr>
          <w:b/>
          <w:lang w:val="en-US"/>
        </w:rPr>
        <w:t>Fig. 5</w:t>
      </w:r>
      <w:r w:rsidR="00F341E3" w:rsidRPr="007C45C4">
        <w:rPr>
          <w:lang w:val="en-US"/>
        </w:rPr>
        <w:t xml:space="preserve"> The amount of A549 and MRC-5 cells after treatment with </w:t>
      </w:r>
      <w:r w:rsidR="00F341E3" w:rsidRPr="00CA7AD4">
        <w:rPr>
          <w:b/>
          <w:lang w:val="en-US"/>
        </w:rPr>
        <w:t>6</w:t>
      </w:r>
      <w:r w:rsidR="00F341E3" w:rsidRPr="007C45C4">
        <w:rPr>
          <w:lang w:val="en-US"/>
        </w:rPr>
        <w:t xml:space="preserve"> for 24</w:t>
      </w:r>
      <w:r w:rsidR="00A82FE0" w:rsidRPr="007C45C4">
        <w:rPr>
          <w:lang w:val="en-US"/>
        </w:rPr>
        <w:t xml:space="preserve"> </w:t>
      </w:r>
      <w:r w:rsidR="00F341E3" w:rsidRPr="007C45C4">
        <w:rPr>
          <w:lang w:val="en-US"/>
        </w:rPr>
        <w:t xml:space="preserve">h. Results are shown as mean ± SD of three independent experiments. * </w:t>
      </w:r>
      <w:r w:rsidR="004C6201">
        <w:rPr>
          <w:lang w:val="en-US"/>
        </w:rPr>
        <w:t>S</w:t>
      </w:r>
      <w:r w:rsidR="00F341E3" w:rsidRPr="007C45C4">
        <w:rPr>
          <w:lang w:val="en-US"/>
        </w:rPr>
        <w:t>ignificantly different to control (P &lt; 0.05).</w:t>
      </w:r>
    </w:p>
    <w:p w14:paraId="0B962826" w14:textId="5611C844" w:rsidR="00C9650B" w:rsidRPr="007C45C4" w:rsidRDefault="00C9650B" w:rsidP="00C9650B">
      <w:pPr>
        <w:pStyle w:val="RSCB02ArticleText"/>
        <w:rPr>
          <w:lang w:val="en-US"/>
        </w:rPr>
      </w:pPr>
      <w:r w:rsidRPr="007C45C4">
        <w:rPr>
          <w:lang w:val="en-US"/>
        </w:rPr>
        <w:t xml:space="preserve">Next experiments aimed to explanation of the mechanism of effect of the complex </w:t>
      </w:r>
      <w:proofErr w:type="gramStart"/>
      <w:r w:rsidRPr="007C45C4">
        <w:rPr>
          <w:b/>
          <w:lang w:val="en-US"/>
        </w:rPr>
        <w:t>6</w:t>
      </w:r>
      <w:proofErr w:type="gramEnd"/>
      <w:r w:rsidRPr="007C45C4">
        <w:rPr>
          <w:lang w:val="en-US"/>
        </w:rPr>
        <w:t>. A different effect on viability of the A549 and MRC-5 cells was explored by evaluation of the apoptotic process in both cell types using caspase activity. As shown in the Fig</w:t>
      </w:r>
      <w:r w:rsidR="009964FB">
        <w:rPr>
          <w:lang w:val="en-US"/>
        </w:rPr>
        <w:t>.</w:t>
      </w:r>
      <w:r w:rsidRPr="007C45C4">
        <w:rPr>
          <w:lang w:val="en-US"/>
        </w:rPr>
        <w:t xml:space="preserve"> 6A, the apoptotic death is not activated in A549 cells. The most studied transcriptional activator of the cell proliferation and apoptosis controlling gene is the tumor suppressor protein p53 (p53).</w:t>
      </w:r>
      <w:r w:rsidR="00084719" w:rsidRPr="007C45C4">
        <w:rPr>
          <w:lang w:val="en-US"/>
        </w:rPr>
        <w:fldChar w:fldCharType="begin" w:fldLock="1"/>
      </w:r>
      <w:r w:rsidR="00084719" w:rsidRPr="007C45C4">
        <w:rPr>
          <w:lang w:val="en-US"/>
        </w:rPr>
        <w:instrText>ADDIN CSL_CITATION {"citationItems":[{"id":"ITEM-1","itemData":{"author":[{"dropping-particle":"","family":"Bode","given":"Ann M","non-dropping-particle":"","parse-names":false,"suffix":""},{"dropping-particle":"","family":"Dong","given":"Zigang","non-dropping-particle":"","parse-names":false,"suffix":""}],"container-title":"Nature Reviews Cancer","id":"ITEM-1","issued":{"date-parts":[["2004","10","1"]]},"page":"793","publisher":"Nature Publishing Group","title":"Post-translational modification of p53 in tumorigenesis","type":"article-journal","volume":"4"},"uris":["http://www.mendeley.com/documents/?uuid=a92d827f-fa4a-4cc7-9cf2-29a4a8689542"]}],"mendeley":{"formattedCitation":"&lt;sup&gt;37&lt;/sup&gt;","plainTextFormattedCitation":"37","previouslyFormattedCitation":"&lt;sup&gt;37&lt;/sup&gt;"},"properties":{"noteIndex":0},"schema":"https://github.com/citation-style-language/schema/raw/master/csl-citation.json"}</w:instrText>
      </w:r>
      <w:r w:rsidR="00084719" w:rsidRPr="007C45C4">
        <w:rPr>
          <w:lang w:val="en-US"/>
        </w:rPr>
        <w:fldChar w:fldCharType="separate"/>
      </w:r>
      <w:r w:rsidR="00084719" w:rsidRPr="007C45C4">
        <w:rPr>
          <w:noProof/>
          <w:vertAlign w:val="superscript"/>
          <w:lang w:val="en-US"/>
        </w:rPr>
        <w:t>37</w:t>
      </w:r>
      <w:r w:rsidR="00084719" w:rsidRPr="007C45C4">
        <w:rPr>
          <w:lang w:val="en-US"/>
        </w:rPr>
        <w:fldChar w:fldCharType="end"/>
      </w:r>
      <w:r w:rsidRPr="007C45C4">
        <w:rPr>
          <w:lang w:val="en-US"/>
        </w:rPr>
        <w:t xml:space="preserve"> Its upregulation was determined with the </w:t>
      </w:r>
      <w:r w:rsidR="00F4533D" w:rsidRPr="007C45C4">
        <w:rPr>
          <w:lang w:val="en-US"/>
        </w:rPr>
        <w:t>quantitative polymerase chain reaction (qPCR)</w:t>
      </w:r>
      <w:r w:rsidRPr="007C45C4">
        <w:rPr>
          <w:lang w:val="en-US"/>
        </w:rPr>
        <w:t xml:space="preserve"> and the Western blot analysis and obtained data showed that the amount of the p53 is held on a constant level for the A549 cells (Fig</w:t>
      </w:r>
      <w:r w:rsidR="009964FB">
        <w:rPr>
          <w:lang w:val="en-US"/>
        </w:rPr>
        <w:t>.</w:t>
      </w:r>
      <w:r w:rsidRPr="007C45C4">
        <w:rPr>
          <w:lang w:val="en-US"/>
        </w:rPr>
        <w:t xml:space="preserve"> 6B). Similarly, the measurement of the level of the p53 negative regulator, an E3 ubiquitin ligase the mouse double minute </w:t>
      </w:r>
      <w:proofErr w:type="gramStart"/>
      <w:r w:rsidRPr="007C45C4">
        <w:rPr>
          <w:lang w:val="en-US"/>
        </w:rPr>
        <w:t>2</w:t>
      </w:r>
      <w:proofErr w:type="gramEnd"/>
      <w:r w:rsidRPr="007C45C4">
        <w:rPr>
          <w:lang w:val="en-US"/>
        </w:rPr>
        <w:t xml:space="preserve"> (MDM2) proved that the expression of the p53 is not affected. The p53 contains a binding side for the MDM2 E3 ubiquitin ligase, which is responsible for negative regulation of the p53.</w:t>
      </w:r>
      <w:r w:rsidR="00084719" w:rsidRPr="007C45C4">
        <w:rPr>
          <w:lang w:val="en-US"/>
        </w:rPr>
        <w:fldChar w:fldCharType="begin" w:fldLock="1"/>
      </w:r>
      <w:r w:rsidR="00104ACB" w:rsidRPr="007C45C4">
        <w:rPr>
          <w:lang w:val="en-US"/>
        </w:rPr>
        <w:instrText>ADDIN CSL_CITATION {"citationItems":[{"id":"ITEM-1","itemData":{"DOI":"https://doi.org/10.1016/j.cell.2004.06.016","ISSN":"0092-8674","abstract":"The only reported role for the conjugation of the NEDD8 ubiquitin-like molecule is control of the activity of SCF ubiquitin ligase complexes. Here, we show that the Mdm2 RING finger E3 ubiquitin ligase can also promote NEDD8 modification of the p53 tumor suppressor protein. Mdm2 is itself modified with NEDD8 with very similar characteristics to the autoubiquitination activity of Mdm2. By using a cell line (TS-41) with a temperature-sensitive mutation in the NEDD8 conjugation pathway and a p53 mutant that cannot be NEDDylated (3NKR), we demonstrate that Mdm2-dependent NEDD8 modification of p53 inhibits its transcriptional activity. These findings expand the role for Mdm2 as an E3 ligase, providing evidence that Mdm2 is a common component of the ubiquitin and NEDD8 conjugation pathway and indicating the diverse mechanisms by which E3 ligases can control the function of substrate proteins.","author":[{"dropping-particle":"","family":"Xirodimas","given":"Dimitris P","non-dropping-particle":"","parse-names":false,"suffix":""},{"dropping-particle":"","family":"Saville","given":"Mark K","non-dropping-particle":"","parse-names":false,"suffix":""},{"dropping-particle":"","family":"Bourdon","given":"Jean-Christophe","non-dropping-particle":"","parse-names":false,"suffix":""},{"dropping-particle":"","family":"Hay","given":"Ronald T","non-dropping-particle":"","parse-names":false,"suffix":""},{"dropping-particle":"","family":"Lane","given":"David P","non-dropping-particle":"","parse-names":false,"suffix":""}],"container-title":"Cell","id":"ITEM-1","issue":"1","issued":{"date-parts":[["2004"]]},"page":"83-97","title":"Mdm2-Mediated NEDD8 Conjugation of p53 Inhibits Its Transcriptional Activity","type":"article-journal","volume":"118"},"uris":["http://www.mendeley.com/documents/?uuid=428a87e0-1238-457c-aa8c-b4cdea2a82c1"]}],"mendeley":{"formattedCitation":"&lt;sup&gt;38&lt;/sup&gt;","plainTextFormattedCitation":"38","previouslyFormattedCitation":"&lt;sup&gt;38&lt;/sup&gt;"},"properties":{"noteIndex":0},"schema":"https://github.com/citation-style-language/schema/raw/master/csl-citation.json"}</w:instrText>
      </w:r>
      <w:r w:rsidR="00084719" w:rsidRPr="007C45C4">
        <w:rPr>
          <w:lang w:val="en-US"/>
        </w:rPr>
        <w:fldChar w:fldCharType="separate"/>
      </w:r>
      <w:r w:rsidR="00084719" w:rsidRPr="007C45C4">
        <w:rPr>
          <w:noProof/>
          <w:vertAlign w:val="superscript"/>
          <w:lang w:val="en-US"/>
        </w:rPr>
        <w:t>38</w:t>
      </w:r>
      <w:r w:rsidR="00084719" w:rsidRPr="007C45C4">
        <w:rPr>
          <w:lang w:val="en-US"/>
        </w:rPr>
        <w:fldChar w:fldCharType="end"/>
      </w:r>
      <w:r w:rsidRPr="007C45C4">
        <w:rPr>
          <w:lang w:val="en-US"/>
        </w:rPr>
        <w:t xml:space="preserve"> However, the ubiquitination and degradation activity controlled through the antagonizing protein MDM2 is not affected for tested concentrations of complex </w:t>
      </w:r>
      <w:proofErr w:type="gramStart"/>
      <w:r w:rsidRPr="007C45C4">
        <w:rPr>
          <w:b/>
          <w:lang w:val="en-US"/>
        </w:rPr>
        <w:t>6</w:t>
      </w:r>
      <w:proofErr w:type="gramEnd"/>
      <w:r w:rsidRPr="007C45C4">
        <w:rPr>
          <w:lang w:val="en-US"/>
        </w:rPr>
        <w:t xml:space="preserve">. Regulation </w:t>
      </w:r>
      <w:r w:rsidRPr="007C45C4">
        <w:rPr>
          <w:lang w:val="en-US"/>
        </w:rPr>
        <w:lastRenderedPageBreak/>
        <w:t>of the MDM2 protein is not affected significantly by expression of the MDM2 protein either, as shows by the results of the Western blot analysis (Fig</w:t>
      </w:r>
      <w:r w:rsidR="009964FB">
        <w:rPr>
          <w:lang w:val="en-US"/>
        </w:rPr>
        <w:t>.</w:t>
      </w:r>
      <w:r w:rsidRPr="007C45C4">
        <w:rPr>
          <w:lang w:val="en-US"/>
        </w:rPr>
        <w:t xml:space="preserve"> 6C) and qPCR. It is well known that the regulation of the p53 activity is driven by posttranslational modifications. However, the raised expression of the p53 protein stabilized with posttranslational modification affected by phosphorylation on the serine 392 was not detected </w:t>
      </w:r>
      <w:proofErr w:type="gramStart"/>
      <w:r w:rsidRPr="007C45C4">
        <w:rPr>
          <w:lang w:val="en-US"/>
        </w:rPr>
        <w:t>2</w:t>
      </w:r>
      <w:proofErr w:type="gramEnd"/>
      <w:r w:rsidRPr="007C45C4">
        <w:rPr>
          <w:lang w:val="en-US"/>
        </w:rPr>
        <w:t xml:space="preserve"> and 5 µM concentration of the complex </w:t>
      </w:r>
      <w:r w:rsidRPr="007C45C4">
        <w:rPr>
          <w:b/>
          <w:lang w:val="en-US"/>
        </w:rPr>
        <w:t>6</w:t>
      </w:r>
    </w:p>
    <w:p w14:paraId="3ADE937B" w14:textId="77777777" w:rsidR="009964FB" w:rsidRDefault="00A56244" w:rsidP="009964FB">
      <w:pPr>
        <w:pStyle w:val="RSCI02FigureSchemeChartwithtopbar"/>
        <w:rPr>
          <w:b/>
          <w:lang w:val="en-US"/>
        </w:rPr>
      </w:pPr>
      <w:r w:rsidRPr="007C45C4">
        <w:rPr>
          <w:noProof/>
          <w:lang w:val="en-US"/>
        </w:rPr>
        <w:drawing>
          <wp:inline distT="0" distB="0" distL="0" distR="0" wp14:anchorId="2E7B7315" wp14:editId="3CBF47B2">
            <wp:extent cx="2987674" cy="2328946"/>
            <wp:effectExtent l="0" t="0" r="3810" b="0"/>
            <wp:docPr id="21" name="Obráze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6.tif"/>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987674" cy="2328946"/>
                    </a:xfrm>
                    <a:prstGeom prst="rect">
                      <a:avLst/>
                    </a:prstGeom>
                  </pic:spPr>
                </pic:pic>
              </a:graphicData>
            </a:graphic>
          </wp:inline>
        </w:drawing>
      </w:r>
    </w:p>
    <w:p w14:paraId="1A8EDF6C" w14:textId="58724611" w:rsidR="00240537" w:rsidRPr="007C45C4" w:rsidRDefault="009964FB" w:rsidP="00B80503">
      <w:pPr>
        <w:pStyle w:val="RSCI05CaptiontoFigureSchemeChartwithbottombar"/>
        <w:rPr>
          <w:lang w:val="en-US"/>
        </w:rPr>
      </w:pPr>
      <w:r>
        <w:rPr>
          <w:b/>
          <w:lang w:val="en-US"/>
        </w:rPr>
        <w:t>Fig. 6</w:t>
      </w:r>
      <w:r w:rsidR="006D15F6" w:rsidRPr="007C45C4">
        <w:rPr>
          <w:lang w:val="en-US"/>
        </w:rPr>
        <w:t xml:space="preserve"> Effect of </w:t>
      </w:r>
      <w:proofErr w:type="gramStart"/>
      <w:r w:rsidR="007C45C4" w:rsidRPr="007C45C4">
        <w:rPr>
          <w:b/>
          <w:lang w:val="en-US"/>
        </w:rPr>
        <w:t>6</w:t>
      </w:r>
      <w:proofErr w:type="gramEnd"/>
      <w:r w:rsidR="007C45C4" w:rsidRPr="007C45C4">
        <w:rPr>
          <w:lang w:val="en-US"/>
        </w:rPr>
        <w:t xml:space="preserve"> </w:t>
      </w:r>
      <w:r w:rsidR="006D15F6" w:rsidRPr="007C45C4">
        <w:rPr>
          <w:lang w:val="en-US"/>
        </w:rPr>
        <w:t xml:space="preserve">on the programmed cell death of A549 cells after 24 h of incubation. A) Activity of caspase 3/7, caspase 8 and caspase 9. Results shown as mean ± SD of three independent experiments. </w:t>
      </w:r>
      <w:r w:rsidR="00123A4C" w:rsidRPr="007C45C4">
        <w:rPr>
          <w:lang w:val="en-US"/>
        </w:rPr>
        <w:t xml:space="preserve">0.25 µM doxorubicin used </w:t>
      </w:r>
      <w:r w:rsidR="00123A4C">
        <w:rPr>
          <w:lang w:val="en-US"/>
        </w:rPr>
        <w:t>a</w:t>
      </w:r>
      <w:r w:rsidR="006D15F6" w:rsidRPr="007C45C4">
        <w:rPr>
          <w:lang w:val="en-US"/>
        </w:rPr>
        <w:t xml:space="preserve">s positive control (Ctrl+). * </w:t>
      </w:r>
      <w:r w:rsidR="004C6201">
        <w:rPr>
          <w:lang w:val="en-US"/>
        </w:rPr>
        <w:t>S</w:t>
      </w:r>
      <w:r w:rsidR="006D15F6" w:rsidRPr="007C45C4">
        <w:rPr>
          <w:lang w:val="en-US"/>
        </w:rPr>
        <w:t>ignificantly different to control (Ctrl-) (P &lt; 0.05). B) Analysis of the expression levels of proteins</w:t>
      </w:r>
      <w:r w:rsidR="00921B7E" w:rsidRPr="007C45C4">
        <w:rPr>
          <w:lang w:val="en-US"/>
        </w:rPr>
        <w:t xml:space="preserve"> </w:t>
      </w:r>
      <w:r w:rsidR="006D15F6" w:rsidRPr="007C45C4">
        <w:rPr>
          <w:lang w:val="en-US"/>
        </w:rPr>
        <w:t xml:space="preserve">using Western blot. As positive control, A549 cells exposed to </w:t>
      </w:r>
      <w:proofErr w:type="gramStart"/>
      <w:r w:rsidR="006D15F6" w:rsidRPr="007C45C4">
        <w:rPr>
          <w:lang w:val="en-US"/>
        </w:rPr>
        <w:t>0.25 µM</w:t>
      </w:r>
      <w:proofErr w:type="gramEnd"/>
      <w:r w:rsidR="006D15F6" w:rsidRPr="007C45C4">
        <w:rPr>
          <w:lang w:val="en-US"/>
        </w:rPr>
        <w:t xml:space="preserve"> doxorubicin were used. To confirm equal protein loading, membranes were </w:t>
      </w:r>
      <w:proofErr w:type="spellStart"/>
      <w:r w:rsidR="006D15F6" w:rsidRPr="007C45C4">
        <w:rPr>
          <w:lang w:val="en-US"/>
        </w:rPr>
        <w:t>reincubated</w:t>
      </w:r>
      <w:proofErr w:type="spellEnd"/>
      <w:r w:rsidR="006D15F6" w:rsidRPr="007C45C4">
        <w:rPr>
          <w:lang w:val="en-US"/>
        </w:rPr>
        <w:t xml:space="preserve"> with β-actin. Representative results of one of three independent experiments are shown. C) Ana</w:t>
      </w:r>
      <w:r w:rsidR="0095100A" w:rsidRPr="007C45C4">
        <w:rPr>
          <w:lang w:val="en-US"/>
        </w:rPr>
        <w:t xml:space="preserve">lysis of cell gene using qPCR. </w:t>
      </w:r>
      <w:r w:rsidR="006D15F6" w:rsidRPr="007C45C4">
        <w:rPr>
          <w:lang w:val="en-US"/>
        </w:rPr>
        <w:t>Representative results of one of three independent experiments are shown.</w:t>
      </w:r>
    </w:p>
    <w:p w14:paraId="0FCDCD94" w14:textId="77777777" w:rsidR="009964FB" w:rsidRDefault="00CE3E1D" w:rsidP="005C688F">
      <w:pPr>
        <w:pStyle w:val="RSCI03FigureSchemeChartUncaptioned"/>
        <w:rPr>
          <w:rStyle w:val="RSCI05CaptiontoFigureSchemeChartwithbottombarChar"/>
        </w:rPr>
      </w:pPr>
      <w:r w:rsidRPr="007C45C4">
        <w:rPr>
          <w:noProof/>
          <w:lang w:val="en-US"/>
        </w:rPr>
        <w:drawing>
          <wp:inline distT="0" distB="0" distL="0" distR="0" wp14:anchorId="3C528129" wp14:editId="26A21863">
            <wp:extent cx="2987209" cy="2134235"/>
            <wp:effectExtent l="0" t="0" r="3810" b="0"/>
            <wp:docPr id="22" name="Obráze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7.tif"/>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987209" cy="2134235"/>
                    </a:xfrm>
                    <a:prstGeom prst="rect">
                      <a:avLst/>
                    </a:prstGeom>
                  </pic:spPr>
                </pic:pic>
              </a:graphicData>
            </a:graphic>
          </wp:inline>
        </w:drawing>
      </w:r>
    </w:p>
    <w:p w14:paraId="148A287F" w14:textId="4231D0E2" w:rsidR="005D2664" w:rsidRPr="007C45C4" w:rsidRDefault="009964FB" w:rsidP="00794342">
      <w:pPr>
        <w:pStyle w:val="RSCI05CaptiontoFigureSchemeChartwithbottombar"/>
        <w:rPr>
          <w:b/>
          <w:lang w:val="en-US"/>
        </w:rPr>
      </w:pPr>
      <w:r w:rsidRPr="009964FB">
        <w:rPr>
          <w:rStyle w:val="RSCI05CaptiontoFigureSchemeChartwithbottombarChar"/>
          <w:b/>
        </w:rPr>
        <w:t>Fig.</w:t>
      </w:r>
      <w:r w:rsidR="005D2664" w:rsidRPr="009964FB">
        <w:rPr>
          <w:rStyle w:val="RSCI05CaptiontoFigureSchemeChartwithbottombarChar"/>
          <w:b/>
        </w:rPr>
        <w:t xml:space="preserve"> </w:t>
      </w:r>
      <w:r w:rsidR="00CE3E1D" w:rsidRPr="009964FB">
        <w:rPr>
          <w:rStyle w:val="RSCI05CaptiontoFigureSchemeChartwithbottombarChar"/>
          <w:b/>
        </w:rPr>
        <w:t>7</w:t>
      </w:r>
      <w:r w:rsidR="005D2664" w:rsidRPr="009964FB">
        <w:rPr>
          <w:rStyle w:val="RSCI05CaptiontoFigureSchemeChartwithbottombarChar"/>
        </w:rPr>
        <w:t xml:space="preserve"> Effect of </w:t>
      </w:r>
      <w:proofErr w:type="gramStart"/>
      <w:r w:rsidR="007C45C4" w:rsidRPr="009964FB">
        <w:rPr>
          <w:rStyle w:val="RSCI05CaptiontoFigureSchemeChartwithbottombarChar"/>
          <w:b/>
        </w:rPr>
        <w:t>6</w:t>
      </w:r>
      <w:proofErr w:type="gramEnd"/>
      <w:r w:rsidR="007C45C4" w:rsidRPr="009964FB">
        <w:rPr>
          <w:rStyle w:val="RSCI05CaptiontoFigureSchemeChartwithbottombarChar"/>
        </w:rPr>
        <w:t xml:space="preserve"> </w:t>
      </w:r>
      <w:r w:rsidR="005D2664" w:rsidRPr="009964FB">
        <w:rPr>
          <w:rStyle w:val="RSCI05CaptiontoFigureSchemeChartwithbottombarChar"/>
        </w:rPr>
        <w:t>on the programmed cell death of MRC-5 cells after 24</w:t>
      </w:r>
      <w:r w:rsidR="00621161">
        <w:rPr>
          <w:rStyle w:val="RSCI05CaptiontoFigureSchemeChartwithbottombarChar"/>
        </w:rPr>
        <w:t xml:space="preserve"> </w:t>
      </w:r>
      <w:r w:rsidR="005D2664" w:rsidRPr="009964FB">
        <w:rPr>
          <w:rStyle w:val="RSCI05CaptiontoFigureSchemeChartwithbottombarChar"/>
        </w:rPr>
        <w:t xml:space="preserve">h of incubation. A) Activity of caspase 3/7, caspase 8 and caspase 9. Results shown as mean ± SD of three independent experiments. </w:t>
      </w:r>
      <w:r w:rsidR="00794342" w:rsidRPr="007C45C4">
        <w:rPr>
          <w:lang w:val="en-US"/>
        </w:rPr>
        <w:t xml:space="preserve">0.25 µM doxorubicin used </w:t>
      </w:r>
      <w:r w:rsidR="00794342">
        <w:rPr>
          <w:lang w:val="en-US"/>
        </w:rPr>
        <w:t>a</w:t>
      </w:r>
      <w:r w:rsidR="00794342" w:rsidRPr="007C45C4">
        <w:rPr>
          <w:lang w:val="en-US"/>
        </w:rPr>
        <w:t>s positive control (Ctrl+).</w:t>
      </w:r>
      <w:r w:rsidR="005D2664" w:rsidRPr="009964FB">
        <w:rPr>
          <w:rStyle w:val="RSCI05CaptiontoFigureSchemeChartwithbottombarChar"/>
        </w:rPr>
        <w:t xml:space="preserve"> * </w:t>
      </w:r>
      <w:r w:rsidR="004C6201">
        <w:rPr>
          <w:rStyle w:val="RSCI05CaptiontoFigureSchemeChartwithbottombarChar"/>
        </w:rPr>
        <w:t>S</w:t>
      </w:r>
      <w:r w:rsidR="005D2664" w:rsidRPr="009964FB">
        <w:rPr>
          <w:rStyle w:val="RSCI05CaptiontoFigureSchemeChartwithbottombarChar"/>
        </w:rPr>
        <w:t>ignificantly different to control (Ctrl-) (P &lt; 0.05). B) Analysis of the expression levels of proteins</w:t>
      </w:r>
      <w:r w:rsidR="00794342">
        <w:rPr>
          <w:rStyle w:val="RSCI05CaptiontoFigureSchemeChartwithbottombarChar"/>
        </w:rPr>
        <w:t xml:space="preserve"> </w:t>
      </w:r>
      <w:r w:rsidR="005D2664" w:rsidRPr="009964FB">
        <w:rPr>
          <w:rStyle w:val="RSCI05CaptiontoFigureSchemeChartwithbottombarChar"/>
        </w:rPr>
        <w:t xml:space="preserve">using Western blot. As positive control, the MRC-5 cells exposed to 0.25 µM doxorubicin </w:t>
      </w:r>
      <w:proofErr w:type="gramStart"/>
      <w:r w:rsidR="005D2664" w:rsidRPr="009964FB">
        <w:rPr>
          <w:rStyle w:val="RSCI05CaptiontoFigureSchemeChartwithbottombarChar"/>
        </w:rPr>
        <w:t>were used</w:t>
      </w:r>
      <w:proofErr w:type="gramEnd"/>
      <w:r w:rsidR="005D2664" w:rsidRPr="009964FB">
        <w:rPr>
          <w:rStyle w:val="RSCI05CaptiontoFigureSchemeChartwithbottombarChar"/>
        </w:rPr>
        <w:t xml:space="preserve">. To confirm equal protein loading, membranes </w:t>
      </w:r>
      <w:proofErr w:type="gramStart"/>
      <w:r w:rsidR="005D2664" w:rsidRPr="009964FB">
        <w:rPr>
          <w:rStyle w:val="RSCI05CaptiontoFigureSchemeChartwithbottombarChar"/>
        </w:rPr>
        <w:t xml:space="preserve">were </w:t>
      </w:r>
      <w:proofErr w:type="spellStart"/>
      <w:r w:rsidR="005D2664" w:rsidRPr="009964FB">
        <w:rPr>
          <w:rStyle w:val="RSCI05CaptiontoFigureSchemeChartwithbottombarChar"/>
        </w:rPr>
        <w:t>reincubated</w:t>
      </w:r>
      <w:proofErr w:type="spellEnd"/>
      <w:proofErr w:type="gramEnd"/>
      <w:r w:rsidR="005D2664" w:rsidRPr="009964FB">
        <w:rPr>
          <w:rStyle w:val="RSCI05CaptiontoFigureSchemeChartwithbottombarChar"/>
        </w:rPr>
        <w:t xml:space="preserve"> with β-actin. Representative results of one of three independent experiments </w:t>
      </w:r>
      <w:proofErr w:type="gramStart"/>
      <w:r w:rsidR="005D2664" w:rsidRPr="009964FB">
        <w:rPr>
          <w:rStyle w:val="RSCI05CaptiontoFigureSchemeChartwithbottombarChar"/>
        </w:rPr>
        <w:t>are shown</w:t>
      </w:r>
      <w:proofErr w:type="gramEnd"/>
      <w:r w:rsidR="005D2664" w:rsidRPr="009964FB">
        <w:rPr>
          <w:rStyle w:val="RSCI05CaptiontoFigureSchemeChartwithbottombarChar"/>
        </w:rPr>
        <w:t>. C) An</w:t>
      </w:r>
      <w:r w:rsidR="0095100A" w:rsidRPr="009964FB">
        <w:rPr>
          <w:rStyle w:val="RSCI05CaptiontoFigureSchemeChartwithbottombarChar"/>
        </w:rPr>
        <w:t>alysis of cell gene using qPCR.</w:t>
      </w:r>
      <w:r w:rsidR="005D2664" w:rsidRPr="009964FB">
        <w:rPr>
          <w:rStyle w:val="RSCI05CaptiontoFigureSchemeChartwithbottombarChar"/>
        </w:rPr>
        <w:t xml:space="preserve"> Representative results of one of three independent experiments </w:t>
      </w:r>
      <w:proofErr w:type="gramStart"/>
      <w:r w:rsidR="005D2664" w:rsidRPr="009964FB">
        <w:rPr>
          <w:rStyle w:val="RSCI05CaptiontoFigureSchemeChartwithbottombarChar"/>
        </w:rPr>
        <w:t>are shown</w:t>
      </w:r>
      <w:proofErr w:type="gramEnd"/>
      <w:r w:rsidR="005D2664" w:rsidRPr="009964FB">
        <w:rPr>
          <w:rStyle w:val="RSCI05CaptiontoFigureSchemeChartwithbottombarChar"/>
        </w:rPr>
        <w:t>.</w:t>
      </w:r>
    </w:p>
    <w:p w14:paraId="7389BE30" w14:textId="77777777" w:rsidR="005C688F" w:rsidRPr="007C45C4" w:rsidRDefault="005C688F" w:rsidP="005C688F">
      <w:pPr>
        <w:pStyle w:val="RSCB02ArticleText"/>
        <w:rPr>
          <w:lang w:val="en-US"/>
        </w:rPr>
      </w:pPr>
      <w:r w:rsidRPr="007C45C4">
        <w:rPr>
          <w:lang w:val="en-US"/>
        </w:rPr>
        <w:t xml:space="preserve">In contrary to the A549 cells exposure, we can see the activation of programmed cell death in the MRC-5 cells after 24 h treatment with </w:t>
      </w:r>
      <w:proofErr w:type="gramStart"/>
      <w:r w:rsidRPr="007C45C4">
        <w:rPr>
          <w:lang w:val="en-US"/>
        </w:rPr>
        <w:t>5</w:t>
      </w:r>
      <w:proofErr w:type="gramEnd"/>
      <w:r w:rsidRPr="007C45C4">
        <w:rPr>
          <w:lang w:val="en-US"/>
        </w:rPr>
        <w:t xml:space="preserve"> µM of the complex </w:t>
      </w:r>
      <w:r w:rsidRPr="007C45C4">
        <w:rPr>
          <w:b/>
          <w:lang w:val="en-US"/>
        </w:rPr>
        <w:t>6</w:t>
      </w:r>
      <w:r w:rsidRPr="007C45C4">
        <w:rPr>
          <w:lang w:val="en-US"/>
        </w:rPr>
        <w:t>, as shown in Fig</w:t>
      </w:r>
      <w:r>
        <w:rPr>
          <w:lang w:val="en-US"/>
        </w:rPr>
        <w:t>.</w:t>
      </w:r>
      <w:r w:rsidRPr="007C45C4">
        <w:rPr>
          <w:lang w:val="en-US"/>
        </w:rPr>
        <w:t xml:space="preserve"> 7A. The apoptotic caspase cascade is induced via intrinsic pathway by activation of the caspases 9. Subsequent activation of the downstream caspase 3/7 is likely associated cellular events, ultimately leading to reduction of viability of the MRC-5 cells. To explore this, we determined the amount of the gene for the MDM2 following complex </w:t>
      </w:r>
      <w:r w:rsidRPr="007C45C4">
        <w:rPr>
          <w:b/>
          <w:lang w:val="en-US"/>
        </w:rPr>
        <w:t xml:space="preserve">6 </w:t>
      </w:r>
      <w:r w:rsidRPr="007C45C4">
        <w:rPr>
          <w:lang w:val="en-US"/>
        </w:rPr>
        <w:t>treatment and we find out significantly up-regulated expression at the concentration 2 µM and down-regulated expression at the concentration 5 µM (Fig</w:t>
      </w:r>
      <w:r>
        <w:rPr>
          <w:lang w:val="en-US"/>
        </w:rPr>
        <w:t>.</w:t>
      </w:r>
      <w:r w:rsidRPr="007C45C4">
        <w:rPr>
          <w:lang w:val="en-US"/>
        </w:rPr>
        <w:t xml:space="preserve"> 7B). This outcome corresponds well with the change of the level of the protein MDM2 determined using Western blot analysis (Fig</w:t>
      </w:r>
      <w:r>
        <w:rPr>
          <w:lang w:val="en-US"/>
        </w:rPr>
        <w:t>.</w:t>
      </w:r>
      <w:r w:rsidRPr="007C45C4">
        <w:rPr>
          <w:lang w:val="en-US"/>
        </w:rPr>
        <w:t xml:space="preserve"> 7C). The down-regulation of the MDM2 allows stabilization of the p53 protein via posttranslational modifications, transfer of the p53 into the nucleus and the raise of its transcriptional function.</w:t>
      </w:r>
      <w:r w:rsidRPr="007C45C4">
        <w:rPr>
          <w:lang w:val="en-US"/>
        </w:rPr>
        <w:fldChar w:fldCharType="begin" w:fldLock="1"/>
      </w:r>
      <w:r w:rsidRPr="007C45C4">
        <w:rPr>
          <w:lang w:val="en-US"/>
        </w:rPr>
        <w:instrText>ADDIN CSL_CITATION {"citationItems":[{"id":"ITEM-1","itemData":{"author":[{"dropping-particle":"","family":"Brooks","given":"Christopher L","non-dropping-particle":"","parse-names":false,"suffix":""},{"dropping-particle":"","family":"Gu","given":"Wei","non-dropping-particle":"","parse-names":false,"suffix":""}],"container-title":"Cell Research","id":"ITEM-1","issued":{"date-parts":[["2010","4","20"]]},"page":"614","publisher":"Shanghai Institutes for Biological Sciences, Chinese Academy of Sciences","title":"New insights into p53 activation","type":"article-journal","volume":"20"},"uris":["http://www.mendeley.com/documents/?uuid=5453c806-c4d6-4723-a91d-9e7699911767"]},{"id":"ITEM-2","itemData":{"DOI":"10.1091/mbc.e04-08-0689","ISSN":"1059-1524","abstract":"The tumor suppressor protein p53 mediates stress-induced growth arrest or apoptosis and plays a major role in safeguarding genome integrity. In response to DNA damage, p53 can be modified at multiple sites by phosphorylation and acetylation. We report on the characterization of p53 C-terminal phosphorylation by CHK1 and CHK2, two serine/threonine (Ser/Thr) protein kinases, previously implicated in the phosphorylation of the p53 N terminus. Using tryptic phosphopeptide mapping, we have identified six additional CHK1 and CHK2 sites residing in the final 100 amino acids of p53. Phosphorylation of at least three of these sites, Ser366, Ser378, and Thr387, was induced by DNA damage, and the induction at Ser366 and Thr387 was abrogated by small interfering RNA targeting chk1 and chk2. Furthermore, mutation of these phosphorylation sites has a different impact on p53 C-terminal acetylation and on the activation of p53-targeted promoters. Our results demonstrate a possible interplay between p53 C-terminal phosphorylation and acetylation, and they provide an additional mechanism for the control of the activity of p53 by CHK1 and CHK2.","author":[{"dropping-particle":"","family":"Ou","given":"Yi-Hung","non-dropping-particle":"","parse-names":false,"suffix":""},{"dropping-particle":"","family":"Chung","given":"Pei-Han","non-dropping-particle":"","parse-names":false,"suffix":""},{"dropping-particle":"","family":"Sun","given":"Te-Ping","non-dropping-particle":"","parse-names":false,"suffix":""},{"dropping-particle":"","family":"Shieh","given":"Sheau-Yann","non-dropping-particle":"","parse-names":false,"suffix":""}],"container-title":"Molecular Biology of the Cell","id":"ITEM-2","issue":"4","issued":{"date-parts":[["2005","1","19"]]},"note":"doi: 10.1091/mbc.e04-08-0689","page":"1684-1695","publisher":"American Society for Cell Biology (mboc)","title":"p53 C-Terminal Phosphorylation by CHK1 and CHK2 Participates in the Regulation of DNA-Damage-induced C-Terminal Acetylation","type":"article-journal","volume":"16"},"uris":["http://www.mendeley.com/documents/?uuid=7a0ae2b3-5b29-467c-948f-f9287c0892c9"]}],"mendeley":{"formattedCitation":"&lt;sup&gt;39,40&lt;/sup&gt;","plainTextFormattedCitation":"39,40","previouslyFormattedCitation":"&lt;sup&gt;39,40&lt;/sup&gt;"},"properties":{"noteIndex":0},"schema":"https://github.com/citation-style-language/schema/raw/master/csl-citation.json"}</w:instrText>
      </w:r>
      <w:r w:rsidRPr="007C45C4">
        <w:rPr>
          <w:lang w:val="en-US"/>
        </w:rPr>
        <w:fldChar w:fldCharType="separate"/>
      </w:r>
      <w:r w:rsidRPr="007C45C4">
        <w:rPr>
          <w:noProof/>
          <w:vertAlign w:val="superscript"/>
          <w:lang w:val="en-US"/>
        </w:rPr>
        <w:t>39,40</w:t>
      </w:r>
      <w:r w:rsidRPr="007C45C4">
        <w:rPr>
          <w:lang w:val="en-US"/>
        </w:rPr>
        <w:fldChar w:fldCharType="end"/>
      </w:r>
    </w:p>
    <w:p w14:paraId="07424199" w14:textId="1760A9E0" w:rsidR="00ED03E0" w:rsidRPr="007C45C4" w:rsidRDefault="00C75D37" w:rsidP="00C75D37">
      <w:pPr>
        <w:pStyle w:val="RSCB02ArticleText"/>
        <w:rPr>
          <w:lang w:val="en-US"/>
        </w:rPr>
      </w:pPr>
      <w:r w:rsidRPr="007C45C4">
        <w:rPr>
          <w:lang w:val="en-US"/>
        </w:rPr>
        <w:t xml:space="preserve">Since the treatment with the complex </w:t>
      </w:r>
      <w:proofErr w:type="gramStart"/>
      <w:r w:rsidRPr="007C45C4">
        <w:rPr>
          <w:b/>
          <w:lang w:val="en-US"/>
        </w:rPr>
        <w:t>6</w:t>
      </w:r>
      <w:proofErr w:type="gramEnd"/>
      <w:r w:rsidRPr="007C45C4">
        <w:rPr>
          <w:lang w:val="en-US"/>
        </w:rPr>
        <w:t xml:space="preserve"> significantly decreased the amount of the A549 and MRC-5 cells, we became curious whether this treatment also influences cell cycle progression. The effect of the complex </w:t>
      </w:r>
      <w:proofErr w:type="gramStart"/>
      <w:r w:rsidRPr="007C45C4">
        <w:rPr>
          <w:b/>
          <w:lang w:val="en-US"/>
        </w:rPr>
        <w:t>6</w:t>
      </w:r>
      <w:proofErr w:type="gramEnd"/>
      <w:r w:rsidRPr="007C45C4">
        <w:rPr>
          <w:lang w:val="en-US"/>
        </w:rPr>
        <w:t xml:space="preserve"> on cell cycle progression was evaluated by </w:t>
      </w:r>
      <w:proofErr w:type="spellStart"/>
      <w:r w:rsidR="00ED03E0" w:rsidRPr="007C45C4">
        <w:rPr>
          <w:lang w:val="en-US"/>
        </w:rPr>
        <w:t>propidium</w:t>
      </w:r>
      <w:proofErr w:type="spellEnd"/>
      <w:r w:rsidR="00ED03E0" w:rsidRPr="007C45C4">
        <w:rPr>
          <w:lang w:val="en-US"/>
        </w:rPr>
        <w:t xml:space="preserve"> iodide</w:t>
      </w:r>
      <w:r w:rsidRPr="007C45C4">
        <w:rPr>
          <w:lang w:val="en-US"/>
        </w:rPr>
        <w:t xml:space="preserve"> staining and flow cytometry analysis. As shown in the Fig</w:t>
      </w:r>
      <w:r w:rsidR="009964FB">
        <w:rPr>
          <w:lang w:val="en-US"/>
        </w:rPr>
        <w:t>.</w:t>
      </w:r>
      <w:r w:rsidRPr="007C45C4">
        <w:rPr>
          <w:lang w:val="en-US"/>
        </w:rPr>
        <w:t xml:space="preserve"> 8A, exposure of A549 cells to </w:t>
      </w:r>
      <w:proofErr w:type="gramStart"/>
      <w:r w:rsidRPr="007C45C4">
        <w:rPr>
          <w:lang w:val="en-US"/>
        </w:rPr>
        <w:t>2</w:t>
      </w:r>
      <w:proofErr w:type="gramEnd"/>
      <w:r w:rsidRPr="007C45C4">
        <w:rPr>
          <w:lang w:val="en-US"/>
        </w:rPr>
        <w:t xml:space="preserve"> µM of </w:t>
      </w:r>
      <w:r w:rsidRPr="007C45C4">
        <w:rPr>
          <w:b/>
          <w:lang w:val="en-US"/>
        </w:rPr>
        <w:t>6</w:t>
      </w:r>
      <w:r w:rsidRPr="007C45C4">
        <w:rPr>
          <w:lang w:val="en-US"/>
        </w:rPr>
        <w:t xml:space="preserve"> caused de</w:t>
      </w:r>
      <w:r w:rsidR="0095100A" w:rsidRPr="007C45C4">
        <w:rPr>
          <w:lang w:val="en-US"/>
        </w:rPr>
        <w:t>crease of S phase cells to 16.5</w:t>
      </w:r>
      <w:r w:rsidRPr="007C45C4">
        <w:rPr>
          <w:lang w:val="en-US"/>
        </w:rPr>
        <w:t>% ag</w:t>
      </w:r>
      <w:r w:rsidR="0095100A" w:rsidRPr="007C45C4">
        <w:rPr>
          <w:lang w:val="en-US"/>
        </w:rPr>
        <w:t>ainst non-treated control (23.6</w:t>
      </w:r>
      <w:r w:rsidRPr="007C45C4">
        <w:rPr>
          <w:lang w:val="en-US"/>
        </w:rPr>
        <w:t>%) and arre</w:t>
      </w:r>
      <w:r w:rsidR="0095100A" w:rsidRPr="007C45C4">
        <w:rPr>
          <w:lang w:val="en-US"/>
        </w:rPr>
        <w:t>st cell cycle in G2 phase (21.2</w:t>
      </w:r>
      <w:r w:rsidRPr="007C45C4">
        <w:rPr>
          <w:lang w:val="en-US"/>
        </w:rPr>
        <w:t xml:space="preserve">%) compared </w:t>
      </w:r>
      <w:r w:rsidR="0095100A" w:rsidRPr="007C45C4">
        <w:rPr>
          <w:lang w:val="en-US"/>
        </w:rPr>
        <w:t>to non-treated cells (13.2</w:t>
      </w:r>
      <w:r w:rsidRPr="007C45C4">
        <w:rPr>
          <w:lang w:val="en-US"/>
        </w:rPr>
        <w:t xml:space="preserve">%). For the dose effect, treatment with higher dose was determined. The complex </w:t>
      </w:r>
      <w:proofErr w:type="gramStart"/>
      <w:r w:rsidRPr="007C45C4">
        <w:rPr>
          <w:b/>
          <w:lang w:val="en-US"/>
        </w:rPr>
        <w:t>6</w:t>
      </w:r>
      <w:proofErr w:type="gramEnd"/>
      <w:r w:rsidRPr="007C45C4">
        <w:rPr>
          <w:lang w:val="en-US"/>
        </w:rPr>
        <w:t xml:space="preserve"> applied in concentration 5 µM does not have impacts on all G1, S, and G2 phase populations compared to the negative control. Only G1 phase was decreased from 63.1</w:t>
      </w:r>
      <w:r w:rsidR="0095100A" w:rsidRPr="007C45C4">
        <w:rPr>
          <w:lang w:val="en-US"/>
        </w:rPr>
        <w:t>% to 55.9</w:t>
      </w:r>
      <w:r w:rsidRPr="007C45C4">
        <w:rPr>
          <w:lang w:val="en-US"/>
        </w:rPr>
        <w:t xml:space="preserve">%. These results strongly suggest that the effect of </w:t>
      </w:r>
      <w:proofErr w:type="gramStart"/>
      <w:r w:rsidRPr="007C45C4">
        <w:rPr>
          <w:b/>
          <w:lang w:val="en-US"/>
        </w:rPr>
        <w:t>6</w:t>
      </w:r>
      <w:proofErr w:type="gramEnd"/>
      <w:r w:rsidRPr="007C45C4">
        <w:rPr>
          <w:lang w:val="en-US"/>
        </w:rPr>
        <w:t xml:space="preserve"> on cell-cycle distribution changes in A549 cells is not depended on the applied concentration. The cell cycle distribution of MRC-5 cells was not changed after application of the complex </w:t>
      </w:r>
      <w:proofErr w:type="gramStart"/>
      <w:r w:rsidRPr="007C45C4">
        <w:rPr>
          <w:b/>
          <w:lang w:val="en-US"/>
        </w:rPr>
        <w:t>6</w:t>
      </w:r>
      <w:proofErr w:type="gramEnd"/>
      <w:r w:rsidR="004D6D99" w:rsidRPr="007C45C4">
        <w:rPr>
          <w:lang w:val="en-US"/>
        </w:rPr>
        <w:t xml:space="preserve"> (Fig</w:t>
      </w:r>
      <w:r w:rsidR="009964FB">
        <w:rPr>
          <w:lang w:val="en-US"/>
        </w:rPr>
        <w:t>.</w:t>
      </w:r>
      <w:r w:rsidR="004D6D99" w:rsidRPr="007C45C4">
        <w:rPr>
          <w:lang w:val="en-US"/>
        </w:rPr>
        <w:t xml:space="preserve"> </w:t>
      </w:r>
      <w:r w:rsidRPr="007C45C4">
        <w:rPr>
          <w:lang w:val="en-US"/>
        </w:rPr>
        <w:t xml:space="preserve">8B). </w:t>
      </w:r>
    </w:p>
    <w:p w14:paraId="13DB35BE" w14:textId="77777777" w:rsidR="00C75D37" w:rsidRPr="007C45C4" w:rsidRDefault="00E8452E" w:rsidP="004C6201">
      <w:pPr>
        <w:pStyle w:val="RSCI02FigureSchemeChartwithtopbar"/>
        <w:rPr>
          <w:lang w:val="en-US"/>
        </w:rPr>
      </w:pPr>
      <w:r w:rsidRPr="007C45C4">
        <w:rPr>
          <w:noProof/>
          <w:lang w:val="en-US"/>
        </w:rPr>
        <w:drawing>
          <wp:inline distT="0" distB="0" distL="0" distR="0" wp14:anchorId="44B11089" wp14:editId="57D41F8D">
            <wp:extent cx="2987675" cy="1907540"/>
            <wp:effectExtent l="0" t="0" r="3175" b="0"/>
            <wp:docPr id="25" name="Obráze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8.tif"/>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987675" cy="1907540"/>
                    </a:xfrm>
                    <a:prstGeom prst="rect">
                      <a:avLst/>
                    </a:prstGeom>
                  </pic:spPr>
                </pic:pic>
              </a:graphicData>
            </a:graphic>
          </wp:inline>
        </w:drawing>
      </w:r>
    </w:p>
    <w:p w14:paraId="5BA9857A" w14:textId="21363BBB" w:rsidR="00C75D37" w:rsidRPr="007C45C4" w:rsidRDefault="009964FB" w:rsidP="00B80503">
      <w:pPr>
        <w:pStyle w:val="RSCI05CaptiontoFigureSchemeChartwithbottombar"/>
        <w:rPr>
          <w:lang w:val="en-US"/>
        </w:rPr>
      </w:pPr>
      <w:r>
        <w:rPr>
          <w:b/>
          <w:lang w:val="en-US"/>
        </w:rPr>
        <w:t>Fig.</w:t>
      </w:r>
      <w:r w:rsidR="00A23D38" w:rsidRPr="007C45C4">
        <w:rPr>
          <w:b/>
          <w:lang w:val="en-US"/>
        </w:rPr>
        <w:t xml:space="preserve"> 8</w:t>
      </w:r>
      <w:r w:rsidR="00CA7AD4">
        <w:rPr>
          <w:lang w:val="en-US"/>
        </w:rPr>
        <w:t xml:space="preserve"> Cell cycle analysis of</w:t>
      </w:r>
      <w:r w:rsidR="00ED03E0" w:rsidRPr="007C45C4">
        <w:rPr>
          <w:lang w:val="en-US"/>
        </w:rPr>
        <w:t xml:space="preserve"> </w:t>
      </w:r>
      <w:proofErr w:type="gramStart"/>
      <w:r w:rsidR="00A23D38" w:rsidRPr="007C45C4">
        <w:rPr>
          <w:b/>
          <w:lang w:val="en-US"/>
        </w:rPr>
        <w:t>6</w:t>
      </w:r>
      <w:proofErr w:type="gramEnd"/>
      <w:r w:rsidR="00A23D38" w:rsidRPr="007C45C4">
        <w:rPr>
          <w:lang w:val="en-US"/>
        </w:rPr>
        <w:t xml:space="preserve"> in A549 (A) and MRC-5 (B) cells after 24 h incubation period. Results are shown as mean of</w:t>
      </w:r>
      <w:r w:rsidR="00CA7AD4">
        <w:rPr>
          <w:lang w:val="en-US"/>
        </w:rPr>
        <w:t xml:space="preserve"> </w:t>
      </w:r>
      <w:r w:rsidR="00A23D38" w:rsidRPr="007C45C4">
        <w:rPr>
          <w:lang w:val="en-US"/>
        </w:rPr>
        <w:t xml:space="preserve">three independent experiments. </w:t>
      </w:r>
      <w:r w:rsidR="005C688F" w:rsidRPr="007C45C4">
        <w:rPr>
          <w:lang w:val="en-US"/>
        </w:rPr>
        <w:t>0.25 µM doxorubicin</w:t>
      </w:r>
      <w:r w:rsidR="005C688F">
        <w:rPr>
          <w:lang w:val="en-US"/>
        </w:rPr>
        <w:t xml:space="preserve"> </w:t>
      </w:r>
      <w:r w:rsidR="005C688F" w:rsidRPr="007C45C4">
        <w:rPr>
          <w:lang w:val="en-US"/>
        </w:rPr>
        <w:t xml:space="preserve">used </w:t>
      </w:r>
      <w:r w:rsidR="005C688F">
        <w:rPr>
          <w:lang w:val="en-US"/>
        </w:rPr>
        <w:t>a</w:t>
      </w:r>
      <w:r w:rsidR="00A23D38" w:rsidRPr="007C45C4">
        <w:rPr>
          <w:lang w:val="en-US"/>
        </w:rPr>
        <w:t xml:space="preserve">s positive control (Ctrl+). * </w:t>
      </w:r>
      <w:r w:rsidR="005C688F">
        <w:rPr>
          <w:lang w:val="en-US"/>
        </w:rPr>
        <w:t>S</w:t>
      </w:r>
      <w:r w:rsidR="00A23D38" w:rsidRPr="007C45C4">
        <w:rPr>
          <w:lang w:val="en-US"/>
        </w:rPr>
        <w:t>ignificantly different to control (Ctrl-) (P &lt; 0.05).</w:t>
      </w:r>
    </w:p>
    <w:p w14:paraId="11726FCA" w14:textId="1EDC1F50" w:rsidR="00C75D37" w:rsidRPr="007C45C4" w:rsidRDefault="00C75D37" w:rsidP="00973FE9">
      <w:pPr>
        <w:pStyle w:val="RSCB02ArticleText"/>
        <w:rPr>
          <w:lang w:val="en-US"/>
        </w:rPr>
      </w:pPr>
      <w:r w:rsidRPr="007C45C4">
        <w:rPr>
          <w:lang w:val="en-US"/>
        </w:rPr>
        <w:t xml:space="preserve">From the aforementioned results, it is obvious that the main mechanism of the complex </w:t>
      </w:r>
      <w:proofErr w:type="gramStart"/>
      <w:r w:rsidRPr="007C45C4">
        <w:rPr>
          <w:b/>
          <w:lang w:val="en-US"/>
        </w:rPr>
        <w:t>6</w:t>
      </w:r>
      <w:proofErr w:type="gramEnd"/>
      <w:r w:rsidRPr="007C45C4">
        <w:rPr>
          <w:lang w:val="en-US"/>
        </w:rPr>
        <w:t xml:space="preserve"> is inhibition of proliferation of A549 cells. Block of the cell proliferation is a very complicated process induced and controlled by multiple molecular changes. The gene for the cyclin B and the cyclin-dependent kinase inhibitor-interacting protein 1 (p21) was </w:t>
      </w:r>
      <w:r w:rsidR="00EB132C" w:rsidRPr="007C45C4">
        <w:rPr>
          <w:lang w:val="en-US"/>
        </w:rPr>
        <w:t>analyzed</w:t>
      </w:r>
      <w:r w:rsidRPr="007C45C4">
        <w:rPr>
          <w:lang w:val="en-US"/>
        </w:rPr>
        <w:t xml:space="preserve"> with the qPCR </w:t>
      </w:r>
      <w:r w:rsidRPr="007C45C4">
        <w:rPr>
          <w:lang w:val="en-US"/>
        </w:rPr>
        <w:lastRenderedPageBreak/>
        <w:t>(Fig</w:t>
      </w:r>
      <w:r w:rsidR="00EB3290">
        <w:rPr>
          <w:lang w:val="en-US"/>
        </w:rPr>
        <w:t>.</w:t>
      </w:r>
      <w:r w:rsidRPr="007C45C4">
        <w:rPr>
          <w:lang w:val="en-US"/>
        </w:rPr>
        <w:t xml:space="preserve"> 9A) and the alternations in protein levels was established by Western blot analysis (Fig</w:t>
      </w:r>
      <w:r w:rsidR="00EB3290">
        <w:rPr>
          <w:lang w:val="en-US"/>
        </w:rPr>
        <w:t>.</w:t>
      </w:r>
      <w:r w:rsidRPr="007C45C4">
        <w:rPr>
          <w:lang w:val="en-US"/>
        </w:rPr>
        <w:t xml:space="preserve"> 9B). Western blot analysis shows dose-dependent up-regulation </w:t>
      </w:r>
      <w:proofErr w:type="gramStart"/>
      <w:r w:rsidRPr="007C45C4">
        <w:rPr>
          <w:lang w:val="en-US"/>
        </w:rPr>
        <w:t>check point</w:t>
      </w:r>
      <w:proofErr w:type="gramEnd"/>
      <w:r w:rsidRPr="007C45C4">
        <w:rPr>
          <w:lang w:val="en-US"/>
        </w:rPr>
        <w:t xml:space="preserve"> kinases 1 (Chk1). The phosphorylation on the ser</w:t>
      </w:r>
      <w:r w:rsidR="00ED03E0" w:rsidRPr="007C45C4">
        <w:rPr>
          <w:lang w:val="en-US"/>
        </w:rPr>
        <w:t>ine (</w:t>
      </w:r>
      <w:proofErr w:type="spellStart"/>
      <w:r w:rsidR="00ED03E0" w:rsidRPr="007C45C4">
        <w:rPr>
          <w:lang w:val="en-US"/>
        </w:rPr>
        <w:t>ser</w:t>
      </w:r>
      <w:proofErr w:type="spellEnd"/>
      <w:r w:rsidR="00ED03E0" w:rsidRPr="007C45C4">
        <w:rPr>
          <w:lang w:val="en-US"/>
        </w:rPr>
        <w:t>)</w:t>
      </w:r>
      <w:r w:rsidRPr="007C45C4">
        <w:rPr>
          <w:lang w:val="en-US"/>
        </w:rPr>
        <w:t xml:space="preserve"> 345 leads to the activation of the Chk1. The amount of the Chk1_ser345 also increases with complex </w:t>
      </w:r>
      <w:proofErr w:type="gramStart"/>
      <w:r w:rsidR="008028F5" w:rsidRPr="007C45C4">
        <w:rPr>
          <w:b/>
          <w:lang w:val="en-US"/>
        </w:rPr>
        <w:t>6</w:t>
      </w:r>
      <w:proofErr w:type="gramEnd"/>
      <w:r w:rsidR="00ED03E0" w:rsidRPr="007C45C4">
        <w:rPr>
          <w:b/>
          <w:lang w:val="en-US"/>
        </w:rPr>
        <w:t xml:space="preserve"> </w:t>
      </w:r>
      <w:r w:rsidRPr="007C45C4">
        <w:rPr>
          <w:lang w:val="en-US"/>
        </w:rPr>
        <w:t>in a dose dependent fashion. The growth of the checkpoint activity is associated with the increase in the p21 transcription, of which the activity is rising with the concentration of the complex</w:t>
      </w:r>
      <w:r w:rsidR="004D6D99" w:rsidRPr="007C45C4">
        <w:rPr>
          <w:lang w:val="en-US"/>
        </w:rPr>
        <w:t xml:space="preserve"> </w:t>
      </w:r>
      <w:proofErr w:type="gramStart"/>
      <w:r w:rsidR="008028F5" w:rsidRPr="007C45C4">
        <w:rPr>
          <w:b/>
          <w:lang w:val="en-US"/>
        </w:rPr>
        <w:t>6</w:t>
      </w:r>
      <w:proofErr w:type="gramEnd"/>
      <w:r w:rsidRPr="007C45C4">
        <w:rPr>
          <w:lang w:val="en-US"/>
        </w:rPr>
        <w:t xml:space="preserve"> as proved with Western blot analysis and confirmed by qPCR analysis. Western blot analysis also proves that the amount of the protein proliferating cell nuclear antigen (PCNA) decreases with increasing concentration (from 2 to </w:t>
      </w:r>
      <w:proofErr w:type="gramStart"/>
      <w:r w:rsidRPr="007C45C4">
        <w:rPr>
          <w:lang w:val="en-US"/>
        </w:rPr>
        <w:t>5</w:t>
      </w:r>
      <w:proofErr w:type="gramEnd"/>
      <w:r w:rsidRPr="007C45C4">
        <w:rPr>
          <w:lang w:val="en-US"/>
        </w:rPr>
        <w:t xml:space="preserve"> µM) of the complex</w:t>
      </w:r>
      <w:r w:rsidR="002F50C4" w:rsidRPr="007C45C4">
        <w:rPr>
          <w:lang w:val="en-US"/>
        </w:rPr>
        <w:t xml:space="preserve"> </w:t>
      </w:r>
      <w:r w:rsidR="00A00696" w:rsidRPr="007C45C4">
        <w:rPr>
          <w:b/>
          <w:lang w:val="en-US"/>
        </w:rPr>
        <w:t>6</w:t>
      </w:r>
      <w:r w:rsidRPr="007C45C4">
        <w:rPr>
          <w:lang w:val="en-US"/>
        </w:rPr>
        <w:t xml:space="preserve">. Interaction of the Chk1 with the p21 prevents the PCNA from creating the active complex with the DNA polymerase. This </w:t>
      </w:r>
      <w:r w:rsidR="008028F5" w:rsidRPr="007C45C4">
        <w:rPr>
          <w:lang w:val="en-US"/>
        </w:rPr>
        <w:t>takes part in the inhibition of</w:t>
      </w:r>
      <w:r w:rsidRPr="007C45C4">
        <w:rPr>
          <w:lang w:val="en-US"/>
        </w:rPr>
        <w:t xml:space="preserve"> the DNA synthesis and provokes the block of the cell cycle at the G1/S checkpoint alternatively in later phases of the cycle.</w:t>
      </w:r>
      <w:r w:rsidR="00104ACB" w:rsidRPr="007C45C4">
        <w:rPr>
          <w:lang w:val="en-US"/>
        </w:rPr>
        <w:fldChar w:fldCharType="begin" w:fldLock="1"/>
      </w:r>
      <w:r w:rsidR="00357335" w:rsidRPr="007C45C4">
        <w:rPr>
          <w:lang w:val="en-US"/>
        </w:rPr>
        <w:instrText>ADDIN CSL_CITATION {"citationItems":[{"id":"ITEM-1","itemData":{"DOI":"https://doi.org/10.1016/j.mrrev.2010.01.009","ISSN":"1383-5742","abstract":"Among cell cycle regulatory proteins that are activated following DNA damage, the cyclin-dependent kinase inhibitor p21CDKN1A plays essential roles in the DNA damage response, by inducing cell cycle arrest, direct inhibition of DNA replication, as well as by regulating fundamental processes, like apoptosis and transcription. These functions are performed through the ability of p21 to interact with a number of proteins involved in these processes. Despite an initial controversy, during the last years several lines of evidence have also indicated that p21 may be directly involved in DNA repair. In particular, the participation of p21 in nucleotide excision repair (NER), base excision repair (BER), and DNA translesion synthesis (TLS), has been suggested to occur thanks to its interaction with proliferating cell nuclear antigen (PCNA), a crucial protein involved in several aspects of DNA metabolism, and cell-cycle regulation. In this review, the multiple roles of p21 in the DNA damage response, including regulation of cell cycle, apoptosis and gene transcription, are discussed together with the most recent findings supporting the direct participation of p21 protein in DNA repair processes. In particular, spatio-temporal dynamics of p21 recruitment to sites of DNA damage will be considered together with several lines of evidence indicating a regulatory role for p21. In addition, the relevance of post-translational regulation in the fate (e.g. degradation) of p21 protein after cell exposure to DNA damaging agents will be analyzed. Both sets of evidence will be discussed in terms of the overall DNA damage response.","author":[{"dropping-particle":"","family":"Cazzalini","given":"Ornella","non-dropping-particle":"","parse-names":false,"suffix":""},{"dropping-particle":"","family":"Scovassi","given":"A Ivana","non-dropping-particle":"","parse-names":false,"suffix":""},{"dropping-particle":"","family":"Savio","given":"Monica","non-dropping-particle":"","parse-names":false,"suffix":""},{"dropping-particle":"","family":"Stivala","given":"Lucia A","non-dropping-particle":"","parse-names":false,"suffix":""},{"dropping-particle":"","family":"Prosperi","given":"Ennio","non-dropping-particle":"","parse-names":false,"suffix":""}],"container-title":"Mutation Research/Reviews in Mutation Research","id":"ITEM-1","issue":"1","issued":{"date-parts":[["2010"]]},"page":"12-20","title":"Multiple roles of the cell cycle inhibitor p21CDKN1A in the DNA damage response","type":"article-journal","volume":"704"},"uris":["http://www.mendeley.com/documents/?uuid=6e995322-b22a-40e6-bd6f-14c6e58d3ad9"]}],"mendeley":{"formattedCitation":"&lt;sup&gt;41&lt;/sup&gt;","plainTextFormattedCitation":"41","previouslyFormattedCitation":"&lt;sup&gt;41&lt;/sup&gt;"},"properties":{"noteIndex":0},"schema":"https://github.com/citation-style-language/schema/raw/master/csl-citation.json"}</w:instrText>
      </w:r>
      <w:r w:rsidR="00104ACB" w:rsidRPr="007C45C4">
        <w:rPr>
          <w:lang w:val="en-US"/>
        </w:rPr>
        <w:fldChar w:fldCharType="separate"/>
      </w:r>
      <w:r w:rsidR="00104ACB" w:rsidRPr="007C45C4">
        <w:rPr>
          <w:noProof/>
          <w:vertAlign w:val="superscript"/>
          <w:lang w:val="en-US"/>
        </w:rPr>
        <w:t>41</w:t>
      </w:r>
      <w:r w:rsidR="00104ACB" w:rsidRPr="007C45C4">
        <w:rPr>
          <w:lang w:val="en-US"/>
        </w:rPr>
        <w:fldChar w:fldCharType="end"/>
      </w:r>
      <w:r w:rsidRPr="007C45C4">
        <w:rPr>
          <w:lang w:val="en-US"/>
        </w:rPr>
        <w:t xml:space="preserve"> Simultaneously, the expression of gene CCNB1 for the cyclin B is inhibited in a dose dependent manner by </w:t>
      </w:r>
      <w:r w:rsidR="004D6D99" w:rsidRPr="007C45C4">
        <w:rPr>
          <w:lang w:val="en-US"/>
        </w:rPr>
        <w:t xml:space="preserve">the complex </w:t>
      </w:r>
      <w:proofErr w:type="gramStart"/>
      <w:r w:rsidR="008028F5" w:rsidRPr="007C45C4">
        <w:rPr>
          <w:b/>
          <w:lang w:val="en-US"/>
        </w:rPr>
        <w:t>6</w:t>
      </w:r>
      <w:proofErr w:type="gramEnd"/>
      <w:r w:rsidRPr="007C45C4">
        <w:rPr>
          <w:lang w:val="en-US"/>
        </w:rPr>
        <w:t>. The combination of impact of these proteins leads to the anti</w:t>
      </w:r>
      <w:r w:rsidR="004D6D99" w:rsidRPr="007C45C4">
        <w:rPr>
          <w:lang w:val="en-US"/>
        </w:rPr>
        <w:t>-</w:t>
      </w:r>
      <w:r w:rsidRPr="007C45C4">
        <w:rPr>
          <w:lang w:val="en-US"/>
        </w:rPr>
        <w:t xml:space="preserve">proliferative effect of the complex </w:t>
      </w:r>
      <w:proofErr w:type="gramStart"/>
      <w:r w:rsidR="008028F5" w:rsidRPr="007C45C4">
        <w:rPr>
          <w:b/>
          <w:lang w:val="en-US"/>
        </w:rPr>
        <w:t>6</w:t>
      </w:r>
      <w:proofErr w:type="gramEnd"/>
      <w:r w:rsidR="000E36EB" w:rsidRPr="007C45C4">
        <w:rPr>
          <w:b/>
          <w:lang w:val="en-US"/>
        </w:rPr>
        <w:t xml:space="preserve"> </w:t>
      </w:r>
      <w:r w:rsidRPr="007C45C4">
        <w:rPr>
          <w:lang w:val="en-US"/>
        </w:rPr>
        <w:t>as was proved by the previous analysis of the viability and the proliferation.</w:t>
      </w:r>
    </w:p>
    <w:p w14:paraId="6E376362" w14:textId="77777777" w:rsidR="00C75D37" w:rsidRPr="007C45C4" w:rsidRDefault="00E8452E" w:rsidP="009964FB">
      <w:pPr>
        <w:pStyle w:val="RSCI03FigureSchemeChartUncaptioned"/>
        <w:rPr>
          <w:lang w:val="en-US"/>
        </w:rPr>
      </w:pPr>
      <w:r w:rsidRPr="007C45C4">
        <w:rPr>
          <w:noProof/>
          <w:lang w:val="en-US"/>
        </w:rPr>
        <w:drawing>
          <wp:inline distT="0" distB="0" distL="0" distR="0" wp14:anchorId="7FCB3E82" wp14:editId="05673347">
            <wp:extent cx="2987675" cy="2771698"/>
            <wp:effectExtent l="0" t="0" r="3175" b="0"/>
            <wp:docPr id="20" name="Obráze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9.tif"/>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987675" cy="2771698"/>
                    </a:xfrm>
                    <a:prstGeom prst="rect">
                      <a:avLst/>
                    </a:prstGeom>
                  </pic:spPr>
                </pic:pic>
              </a:graphicData>
            </a:graphic>
          </wp:inline>
        </w:drawing>
      </w:r>
    </w:p>
    <w:p w14:paraId="5DEC9FFC" w14:textId="64A83E60" w:rsidR="00E8544B" w:rsidRPr="007C45C4" w:rsidRDefault="009964FB" w:rsidP="00B80503">
      <w:pPr>
        <w:pStyle w:val="RSCI05CaptiontoFigureSchemeChartwithbottombar"/>
        <w:rPr>
          <w:w w:val="108"/>
          <w:lang w:val="en-US"/>
        </w:rPr>
      </w:pPr>
      <w:r>
        <w:rPr>
          <w:b/>
          <w:w w:val="108"/>
          <w:lang w:val="en-US"/>
        </w:rPr>
        <w:t>Fig.</w:t>
      </w:r>
      <w:r w:rsidR="00E8544B" w:rsidRPr="007C45C4">
        <w:rPr>
          <w:b/>
          <w:w w:val="108"/>
          <w:lang w:val="en-US"/>
        </w:rPr>
        <w:t xml:space="preserve"> 9</w:t>
      </w:r>
      <w:r w:rsidR="00E8544B" w:rsidRPr="007C45C4">
        <w:rPr>
          <w:w w:val="108"/>
          <w:lang w:val="en-US"/>
        </w:rPr>
        <w:t xml:space="preserve"> Analysis of gene expression (A) using qPCR and protein levels using Western blot (B) in A549 cells after treatment with</w:t>
      </w:r>
      <w:r w:rsidR="00E54EA9" w:rsidRPr="007C45C4">
        <w:rPr>
          <w:w w:val="108"/>
          <w:lang w:val="en-US"/>
        </w:rPr>
        <w:t xml:space="preserve"> </w:t>
      </w:r>
      <w:proofErr w:type="gramStart"/>
      <w:r w:rsidR="00E8544B" w:rsidRPr="007C45C4">
        <w:rPr>
          <w:b/>
          <w:w w:val="108"/>
          <w:lang w:val="en-US"/>
        </w:rPr>
        <w:t>6</w:t>
      </w:r>
      <w:proofErr w:type="gramEnd"/>
      <w:r w:rsidR="00E8544B" w:rsidRPr="007C45C4">
        <w:rPr>
          <w:w w:val="108"/>
          <w:lang w:val="en-US"/>
        </w:rPr>
        <w:t xml:space="preserve"> for 24 h. As positive control, A549 cells treated with 0.25 µM doxorubicin were used. To confirm equal protein loading, membranes were </w:t>
      </w:r>
      <w:proofErr w:type="spellStart"/>
      <w:r w:rsidR="00E8544B" w:rsidRPr="007C45C4">
        <w:rPr>
          <w:w w:val="108"/>
          <w:lang w:val="en-US"/>
        </w:rPr>
        <w:t>reincubated</w:t>
      </w:r>
      <w:proofErr w:type="spellEnd"/>
      <w:r w:rsidR="00E8544B" w:rsidRPr="007C45C4">
        <w:rPr>
          <w:w w:val="108"/>
          <w:lang w:val="en-US"/>
        </w:rPr>
        <w:t xml:space="preserve"> with β-actin. Representative results of one of three independent experiments are shown. </w:t>
      </w:r>
    </w:p>
    <w:p w14:paraId="1273F692" w14:textId="73476CF8" w:rsidR="001E35C3" w:rsidRPr="007C45C4" w:rsidRDefault="002C0E0B" w:rsidP="00973FE9">
      <w:pPr>
        <w:pStyle w:val="RSCB02ArticleText"/>
        <w:rPr>
          <w:lang w:val="en-US"/>
        </w:rPr>
      </w:pPr>
      <w:r w:rsidRPr="007C45C4">
        <w:rPr>
          <w:lang w:val="en-US"/>
        </w:rPr>
        <w:t>It was proved that the MRC-5 cells have a different effect mechanism compared to the A549. The qPCR analysis of the gene for the cyclin B1 and p21 was also employed in the MRC-5 cells (Fig</w:t>
      </w:r>
      <w:r w:rsidR="00EB3290">
        <w:rPr>
          <w:lang w:val="en-US"/>
        </w:rPr>
        <w:t>.</w:t>
      </w:r>
      <w:r w:rsidRPr="007C45C4">
        <w:rPr>
          <w:lang w:val="en-US"/>
        </w:rPr>
        <w:t xml:space="preserve"> 10A). The results at protein level were confirmed by Western blot analysis (Fig</w:t>
      </w:r>
      <w:r w:rsidR="00EB3290">
        <w:rPr>
          <w:lang w:val="en-US"/>
        </w:rPr>
        <w:t>.</w:t>
      </w:r>
      <w:r w:rsidRPr="007C45C4">
        <w:rPr>
          <w:lang w:val="en-US"/>
        </w:rPr>
        <w:t xml:space="preserve"> 10B). The analysis of the p21 protein showed the same result as the gene and the MDM2 protein estimation. Since a lower concentration of the complex </w:t>
      </w:r>
      <w:r w:rsidRPr="007C45C4">
        <w:rPr>
          <w:b/>
          <w:lang w:val="en-US"/>
        </w:rPr>
        <w:t>6</w:t>
      </w:r>
      <w:r w:rsidRPr="007C45C4">
        <w:rPr>
          <w:lang w:val="en-US"/>
        </w:rPr>
        <w:t xml:space="preserve"> (2 µM) causes the increase of expression of the p21, the use of the 5 µM concentration leads into decrease in the amount of gene for the p21. </w:t>
      </w:r>
      <w:proofErr w:type="gramStart"/>
      <w:r w:rsidRPr="007C45C4">
        <w:rPr>
          <w:lang w:val="en-US"/>
        </w:rPr>
        <w:t>Similarly</w:t>
      </w:r>
      <w:proofErr w:type="gramEnd"/>
      <w:r w:rsidRPr="007C45C4">
        <w:rPr>
          <w:lang w:val="en-US"/>
        </w:rPr>
        <w:t xml:space="preserve"> to the A549 cells, the expression of the gene </w:t>
      </w:r>
      <w:r w:rsidRPr="007C45C4">
        <w:rPr>
          <w:lang w:val="en-US"/>
        </w:rPr>
        <w:t xml:space="preserve">for the synthesis of the cyclin B1 is inhibited. Simultaneously, it was shown that amount of the Chk1 in the MRC-5 cells is held on a constant level by </w:t>
      </w:r>
      <w:proofErr w:type="gramStart"/>
      <w:r w:rsidRPr="007C45C4">
        <w:rPr>
          <w:lang w:val="en-US"/>
        </w:rPr>
        <w:t>2</w:t>
      </w:r>
      <w:proofErr w:type="gramEnd"/>
      <w:r w:rsidRPr="007C45C4">
        <w:rPr>
          <w:lang w:val="en-US"/>
        </w:rPr>
        <w:t xml:space="preserve"> and 5</w:t>
      </w:r>
      <w:r w:rsidR="00E34A45" w:rsidRPr="007C45C4">
        <w:rPr>
          <w:lang w:val="en-US"/>
        </w:rPr>
        <w:t> </w:t>
      </w:r>
      <w:r w:rsidRPr="007C45C4">
        <w:rPr>
          <w:lang w:val="en-US"/>
        </w:rPr>
        <w:t>µM concentrations but the rising concentration causes increase of the expression of the phosphorylated form of the Chk1 on the ser345.</w:t>
      </w:r>
    </w:p>
    <w:p w14:paraId="04EAD77C" w14:textId="77777777" w:rsidR="009964FB" w:rsidRDefault="00E8544B" w:rsidP="009964FB">
      <w:pPr>
        <w:pStyle w:val="RSCI03FigureSchemeChartUncaptioned"/>
        <w:rPr>
          <w:lang w:val="en-US"/>
        </w:rPr>
      </w:pPr>
      <w:r w:rsidRPr="007C45C4">
        <w:rPr>
          <w:noProof/>
          <w:lang w:val="en-US"/>
        </w:rPr>
        <w:drawing>
          <wp:inline distT="0" distB="0" distL="0" distR="0" wp14:anchorId="6CD092C7" wp14:editId="4CB554A2">
            <wp:extent cx="2987544" cy="2724785"/>
            <wp:effectExtent l="0" t="0" r="3810" b="0"/>
            <wp:docPr id="24" name="Obráze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10.tif"/>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987544" cy="2724785"/>
                    </a:xfrm>
                    <a:prstGeom prst="rect">
                      <a:avLst/>
                    </a:prstGeom>
                  </pic:spPr>
                </pic:pic>
              </a:graphicData>
            </a:graphic>
          </wp:inline>
        </w:drawing>
      </w:r>
    </w:p>
    <w:p w14:paraId="05C6EB2D" w14:textId="1138F58F" w:rsidR="00E8544B" w:rsidRPr="007C45C4" w:rsidRDefault="009964FB" w:rsidP="009964FB">
      <w:pPr>
        <w:pStyle w:val="RSCI05CaptiontoFigureSchemeChartwithbottombar"/>
        <w:rPr>
          <w:shd w:val="clear" w:color="auto" w:fill="00FF00"/>
          <w:lang w:val="en-US"/>
        </w:rPr>
      </w:pPr>
      <w:r w:rsidRPr="009964FB">
        <w:rPr>
          <w:b/>
          <w:lang w:val="en-US"/>
        </w:rPr>
        <w:t>Fig.</w:t>
      </w:r>
      <w:r w:rsidR="00E8544B" w:rsidRPr="009964FB">
        <w:rPr>
          <w:b/>
          <w:lang w:val="en-US"/>
        </w:rPr>
        <w:t xml:space="preserve"> 10</w:t>
      </w:r>
      <w:r w:rsidR="00E8544B" w:rsidRPr="007C45C4">
        <w:rPr>
          <w:lang w:val="en-US"/>
        </w:rPr>
        <w:t xml:space="preserve"> Analysis of gene expression (A) using qPCR and protein levels using Western blot (B) in MRC-5 cell after treatment with </w:t>
      </w:r>
      <w:proofErr w:type="gramStart"/>
      <w:r w:rsidR="00E8544B" w:rsidRPr="009964FB">
        <w:rPr>
          <w:b/>
          <w:lang w:val="en-US"/>
        </w:rPr>
        <w:t>6</w:t>
      </w:r>
      <w:proofErr w:type="gramEnd"/>
      <w:r w:rsidR="00E54EA9" w:rsidRPr="007C45C4">
        <w:rPr>
          <w:lang w:val="en-US"/>
        </w:rPr>
        <w:t xml:space="preserve"> </w:t>
      </w:r>
      <w:r w:rsidR="00E8544B" w:rsidRPr="007C45C4">
        <w:rPr>
          <w:lang w:val="en-US"/>
        </w:rPr>
        <w:t>for 24 h. As positive control,</w:t>
      </w:r>
      <w:r w:rsidR="00921B7E" w:rsidRPr="007C45C4">
        <w:rPr>
          <w:lang w:val="en-US"/>
        </w:rPr>
        <w:t xml:space="preserve"> </w:t>
      </w:r>
      <w:r w:rsidR="00E8544B" w:rsidRPr="007C45C4">
        <w:rPr>
          <w:lang w:val="en-US"/>
        </w:rPr>
        <w:t>MRC-5</w:t>
      </w:r>
      <w:r w:rsidR="00921B7E" w:rsidRPr="007C45C4">
        <w:rPr>
          <w:lang w:val="en-US"/>
        </w:rPr>
        <w:t xml:space="preserve"> </w:t>
      </w:r>
      <w:r w:rsidR="00E8544B" w:rsidRPr="007C45C4">
        <w:rPr>
          <w:lang w:val="en-US"/>
        </w:rPr>
        <w:t>cells treated with</w:t>
      </w:r>
      <w:r w:rsidR="0095100A" w:rsidRPr="007C45C4">
        <w:rPr>
          <w:lang w:val="en-US"/>
        </w:rPr>
        <w:t xml:space="preserve"> 0.25 µM doxorubicin</w:t>
      </w:r>
      <w:r w:rsidR="00BE553A">
        <w:rPr>
          <w:lang w:val="en-US"/>
        </w:rPr>
        <w:t xml:space="preserve"> </w:t>
      </w:r>
      <w:r w:rsidR="0095100A" w:rsidRPr="007C45C4">
        <w:rPr>
          <w:lang w:val="en-US"/>
        </w:rPr>
        <w:t xml:space="preserve">were used. </w:t>
      </w:r>
      <w:r w:rsidR="00E8544B" w:rsidRPr="007C45C4">
        <w:rPr>
          <w:lang w:val="en-US"/>
        </w:rPr>
        <w:t xml:space="preserve">To confirm equal protein loading, membranes were </w:t>
      </w:r>
      <w:proofErr w:type="spellStart"/>
      <w:r w:rsidR="00E8544B" w:rsidRPr="007C45C4">
        <w:rPr>
          <w:lang w:val="en-US"/>
        </w:rPr>
        <w:t>reincubated</w:t>
      </w:r>
      <w:proofErr w:type="spellEnd"/>
      <w:r w:rsidR="00E8544B" w:rsidRPr="007C45C4">
        <w:rPr>
          <w:lang w:val="en-US"/>
        </w:rPr>
        <w:t xml:space="preserve"> with β-actin. Representative results of one of three independent experiments are shown. </w:t>
      </w:r>
    </w:p>
    <w:p w14:paraId="3B38D04D" w14:textId="77777777" w:rsidR="002C0E0B" w:rsidRPr="007C45C4" w:rsidRDefault="002C0E0B" w:rsidP="002C0E0B">
      <w:pPr>
        <w:pStyle w:val="RSCB04AHeadingSection"/>
        <w:rPr>
          <w:lang w:val="en-US"/>
        </w:rPr>
      </w:pPr>
      <w:r w:rsidRPr="007C45C4">
        <w:rPr>
          <w:lang w:val="en-US"/>
        </w:rPr>
        <w:t>Conclusions</w:t>
      </w:r>
    </w:p>
    <w:p w14:paraId="0D9BE13C" w14:textId="77777777" w:rsidR="002C0E0B" w:rsidRPr="007C45C4" w:rsidRDefault="002C0E0B" w:rsidP="002C0E0B">
      <w:pPr>
        <w:pStyle w:val="RSCB02ArticleText"/>
        <w:rPr>
          <w:lang w:val="en-US"/>
        </w:rPr>
      </w:pPr>
      <w:r w:rsidRPr="007C45C4">
        <w:rPr>
          <w:rFonts w:cs="Arial"/>
          <w:bCs/>
          <w:szCs w:val="17"/>
          <w:lang w:val="en-US"/>
        </w:rPr>
        <w:t xml:space="preserve">A series of indenyl </w:t>
      </w:r>
      <w:proofErr w:type="gramStart"/>
      <w:r w:rsidRPr="007C45C4">
        <w:rPr>
          <w:rFonts w:cs="Arial"/>
          <w:bCs/>
          <w:szCs w:val="17"/>
          <w:lang w:val="en-US"/>
        </w:rPr>
        <w:t>molybdenum(</w:t>
      </w:r>
      <w:proofErr w:type="gramEnd"/>
      <w:r w:rsidRPr="007C45C4">
        <w:rPr>
          <w:rFonts w:cs="Arial"/>
          <w:bCs/>
          <w:szCs w:val="17"/>
          <w:lang w:val="en-US"/>
        </w:rPr>
        <w:t xml:space="preserve">II) </w:t>
      </w:r>
      <w:r w:rsidR="00F633EC" w:rsidRPr="007C45C4">
        <w:rPr>
          <w:lang w:val="en-US"/>
        </w:rPr>
        <w:t xml:space="preserve">bearing thiophene function </w:t>
      </w:r>
      <w:r w:rsidRPr="007C45C4">
        <w:rPr>
          <w:rFonts w:cs="Arial"/>
          <w:b/>
          <w:bCs/>
          <w:szCs w:val="17"/>
          <w:lang w:val="en-US"/>
        </w:rPr>
        <w:t>2</w:t>
      </w:r>
      <w:r w:rsidRPr="007C45C4">
        <w:rPr>
          <w:rFonts w:cs="Arial"/>
          <w:bCs/>
          <w:szCs w:val="17"/>
          <w:lang w:val="en-US"/>
        </w:rPr>
        <w:sym w:font="Symbol" w:char="F02D"/>
      </w:r>
      <w:r w:rsidRPr="007C45C4">
        <w:rPr>
          <w:rFonts w:cs="Arial"/>
          <w:b/>
          <w:bCs/>
          <w:szCs w:val="17"/>
          <w:lang w:val="en-US"/>
        </w:rPr>
        <w:t>7</w:t>
      </w:r>
      <w:r w:rsidRPr="007C45C4">
        <w:rPr>
          <w:rFonts w:cs="Arial"/>
          <w:bCs/>
          <w:szCs w:val="17"/>
          <w:lang w:val="en-US"/>
        </w:rPr>
        <w:t xml:space="preserve"> was described and characterized using multinuclear NMR and IR spectroscopy, elemental analysis and in case of </w:t>
      </w:r>
      <w:r w:rsidRPr="007C45C4">
        <w:rPr>
          <w:rFonts w:cs="Arial"/>
          <w:b/>
          <w:bCs/>
          <w:szCs w:val="17"/>
          <w:lang w:val="en-US"/>
        </w:rPr>
        <w:t>2</w:t>
      </w:r>
      <w:r w:rsidRPr="007C45C4">
        <w:rPr>
          <w:rFonts w:cs="Arial"/>
          <w:bCs/>
          <w:szCs w:val="17"/>
          <w:lang w:val="en-US"/>
        </w:rPr>
        <w:t xml:space="preserve"> and </w:t>
      </w:r>
      <w:r w:rsidRPr="007C45C4">
        <w:rPr>
          <w:rFonts w:cs="Arial"/>
          <w:b/>
          <w:bCs/>
          <w:szCs w:val="17"/>
          <w:lang w:val="en-US"/>
        </w:rPr>
        <w:t>4</w:t>
      </w:r>
      <w:r w:rsidRPr="007C45C4">
        <w:rPr>
          <w:rFonts w:cs="Arial"/>
          <w:bCs/>
          <w:szCs w:val="17"/>
          <w:lang w:val="en-US"/>
        </w:rPr>
        <w:t xml:space="preserve"> by X-ray diffraction. Despite the molybdenum in lower </w:t>
      </w:r>
      <w:proofErr w:type="gramStart"/>
      <w:r w:rsidRPr="007C45C4">
        <w:rPr>
          <w:rFonts w:cs="Arial"/>
          <w:bCs/>
          <w:szCs w:val="17"/>
          <w:lang w:val="en-US"/>
        </w:rPr>
        <w:t>oxidation</w:t>
      </w:r>
      <w:proofErr w:type="gramEnd"/>
      <w:r w:rsidRPr="007C45C4">
        <w:rPr>
          <w:rFonts w:cs="Arial"/>
          <w:bCs/>
          <w:szCs w:val="17"/>
          <w:lang w:val="en-US"/>
        </w:rPr>
        <w:t xml:space="preserve"> state may be considered as a soft Lewis acid and analogously sul</w:t>
      </w:r>
      <w:r w:rsidR="00EB132C" w:rsidRPr="007C45C4">
        <w:rPr>
          <w:rFonts w:cs="Arial"/>
          <w:bCs/>
          <w:szCs w:val="17"/>
          <w:lang w:val="en-US"/>
        </w:rPr>
        <w:t>f</w:t>
      </w:r>
      <w:r w:rsidRPr="007C45C4">
        <w:rPr>
          <w:rFonts w:cs="Arial"/>
          <w:bCs/>
          <w:szCs w:val="17"/>
          <w:lang w:val="en-US"/>
        </w:rPr>
        <w:t>ur represent soft Lewis base no compound with expected S</w:t>
      </w:r>
      <w:r w:rsidRPr="007C45C4">
        <w:rPr>
          <w:rFonts w:cs="Arial"/>
          <w:bCs/>
          <w:szCs w:val="17"/>
          <w:lang w:val="en-US"/>
        </w:rPr>
        <w:sym w:font="Symbol" w:char="F0AE"/>
      </w:r>
      <w:r w:rsidRPr="007C45C4">
        <w:rPr>
          <w:rFonts w:cs="Arial"/>
          <w:bCs/>
          <w:szCs w:val="17"/>
          <w:lang w:val="en-US"/>
        </w:rPr>
        <w:t xml:space="preserve">Mo intramolecular interaction was obtain. The acetonitrile complex </w:t>
      </w:r>
      <w:r w:rsidRPr="007C45C4">
        <w:rPr>
          <w:rFonts w:cs="Arial"/>
          <w:b/>
          <w:bCs/>
          <w:szCs w:val="17"/>
          <w:lang w:val="en-US"/>
        </w:rPr>
        <w:t>3</w:t>
      </w:r>
      <w:r w:rsidRPr="007C45C4">
        <w:rPr>
          <w:rFonts w:cs="Arial"/>
          <w:bCs/>
          <w:szCs w:val="17"/>
          <w:lang w:val="en-US"/>
        </w:rPr>
        <w:t xml:space="preserve"> thus acts as compound with unsubstituted indenyl ligand and exhibit rapid dynamic haptotropic rearrangement at acetonitrile solution. The ligand exchange reaction of </w:t>
      </w:r>
      <w:r w:rsidRPr="007C45C4">
        <w:rPr>
          <w:rFonts w:cs="Arial"/>
          <w:b/>
          <w:bCs/>
          <w:szCs w:val="17"/>
          <w:lang w:val="en-US"/>
        </w:rPr>
        <w:t>3</w:t>
      </w:r>
      <w:r w:rsidRPr="007C45C4">
        <w:rPr>
          <w:rFonts w:cs="Arial"/>
          <w:bCs/>
          <w:szCs w:val="17"/>
          <w:lang w:val="en-US"/>
        </w:rPr>
        <w:t xml:space="preserve"> using various </w:t>
      </w:r>
      <w:r w:rsidRPr="007C45C4">
        <w:rPr>
          <w:rFonts w:cs="Arial"/>
          <w:bCs/>
          <w:i/>
          <w:szCs w:val="17"/>
          <w:lang w:val="en-US"/>
        </w:rPr>
        <w:t>N</w:t>
      </w:r>
      <w:proofErr w:type="gramStart"/>
      <w:r w:rsidRPr="007C45C4">
        <w:rPr>
          <w:rFonts w:cs="Arial"/>
          <w:bCs/>
          <w:szCs w:val="17"/>
          <w:lang w:val="en-US"/>
        </w:rPr>
        <w:t>,</w:t>
      </w:r>
      <w:r w:rsidRPr="007C45C4">
        <w:rPr>
          <w:rFonts w:cs="Arial"/>
          <w:bCs/>
          <w:i/>
          <w:szCs w:val="17"/>
          <w:lang w:val="en-US"/>
        </w:rPr>
        <w:t>N</w:t>
      </w:r>
      <w:proofErr w:type="gramEnd"/>
      <w:r w:rsidRPr="007C45C4">
        <w:rPr>
          <w:rFonts w:cs="Arial"/>
          <w:bCs/>
          <w:szCs w:val="17"/>
          <w:lang w:val="en-US"/>
        </w:rPr>
        <w:t xml:space="preserve">-chelates gives compounds </w:t>
      </w:r>
      <w:r w:rsidRPr="007C45C4">
        <w:rPr>
          <w:rFonts w:cs="Arial"/>
          <w:b/>
          <w:lang w:val="en-US"/>
        </w:rPr>
        <w:t>4</w:t>
      </w:r>
      <w:r w:rsidRPr="007C45C4">
        <w:rPr>
          <w:rFonts w:cs="Arial"/>
          <w:lang w:val="en-US"/>
        </w:rPr>
        <w:sym w:font="Symbol" w:char="F02D"/>
      </w:r>
      <w:r w:rsidRPr="007C45C4">
        <w:rPr>
          <w:rFonts w:cs="Arial"/>
          <w:b/>
          <w:lang w:val="en-US"/>
        </w:rPr>
        <w:t>7</w:t>
      </w:r>
      <w:r w:rsidR="00EB132C" w:rsidRPr="007C45C4">
        <w:rPr>
          <w:rFonts w:cs="Arial"/>
          <w:lang w:val="en-US"/>
        </w:rPr>
        <w:t>,</w:t>
      </w:r>
      <w:r w:rsidRPr="007C45C4">
        <w:rPr>
          <w:rFonts w:cs="Arial"/>
          <w:bCs/>
          <w:szCs w:val="17"/>
          <w:lang w:val="en-US"/>
        </w:rPr>
        <w:t xml:space="preserve"> which represents new anticancer drugs with considerably increased cytotoxic activity compared to the complex with unsubstituted indenyl ligand.</w:t>
      </w:r>
    </w:p>
    <w:p w14:paraId="301C644F" w14:textId="4684C8AC" w:rsidR="007A2087" w:rsidRPr="007C45C4" w:rsidRDefault="002C0E0B" w:rsidP="007A2087">
      <w:pPr>
        <w:pStyle w:val="RSCB02ArticleText"/>
        <w:rPr>
          <w:lang w:val="en-US"/>
        </w:rPr>
      </w:pPr>
      <w:r w:rsidRPr="007C45C4">
        <w:rPr>
          <w:lang w:val="en-US"/>
        </w:rPr>
        <w:t xml:space="preserve">Our results </w:t>
      </w:r>
      <w:r w:rsidR="00070171" w:rsidRPr="007C45C4">
        <w:rPr>
          <w:lang w:val="en-US"/>
        </w:rPr>
        <w:t>provide</w:t>
      </w:r>
      <w:r w:rsidRPr="007C45C4">
        <w:rPr>
          <w:lang w:val="en-US"/>
        </w:rPr>
        <w:t xml:space="preserve"> unique insight into the regulation of mechanism of effect of the molybdenum complex on the tumor A549 in </w:t>
      </w:r>
      <w:proofErr w:type="gramStart"/>
      <w:r w:rsidRPr="007C45C4">
        <w:rPr>
          <w:lang w:val="en-US"/>
        </w:rPr>
        <w:t>lung carcinoma cell line</w:t>
      </w:r>
      <w:proofErr w:type="gramEnd"/>
      <w:r w:rsidRPr="007C45C4">
        <w:rPr>
          <w:lang w:val="en-US"/>
        </w:rPr>
        <w:t xml:space="preserve">. Moreover, </w:t>
      </w:r>
      <w:r w:rsidR="00070171" w:rsidRPr="007C45C4">
        <w:rPr>
          <w:lang w:val="en-US"/>
        </w:rPr>
        <w:t>a</w:t>
      </w:r>
      <w:r w:rsidRPr="007C45C4">
        <w:rPr>
          <w:lang w:val="en-US"/>
        </w:rPr>
        <w:t xml:space="preserve"> huge advantage is the </w:t>
      </w:r>
      <w:r w:rsidR="00921B7E" w:rsidRPr="007C45C4">
        <w:rPr>
          <w:lang w:val="en-US"/>
        </w:rPr>
        <w:t xml:space="preserve">observation of </w:t>
      </w:r>
      <w:r w:rsidRPr="007C45C4">
        <w:rPr>
          <w:lang w:val="en-US"/>
        </w:rPr>
        <w:t xml:space="preserve">different effect on the non-tumor MRC-5 </w:t>
      </w:r>
      <w:proofErr w:type="gramStart"/>
      <w:r w:rsidRPr="007C45C4">
        <w:rPr>
          <w:lang w:val="en-US"/>
        </w:rPr>
        <w:t>lung fibroblast cell line</w:t>
      </w:r>
      <w:proofErr w:type="gramEnd"/>
      <w:r w:rsidRPr="007C45C4">
        <w:rPr>
          <w:lang w:val="en-US"/>
        </w:rPr>
        <w:t xml:space="preserve">. The </w:t>
      </w:r>
      <w:r w:rsidR="00921B7E" w:rsidRPr="007C45C4">
        <w:rPr>
          <w:lang w:val="en-US"/>
        </w:rPr>
        <w:t>unusual</w:t>
      </w:r>
      <w:r w:rsidRPr="007C45C4">
        <w:rPr>
          <w:lang w:val="en-US"/>
        </w:rPr>
        <w:t xml:space="preserve"> properties of the synthetized complex </w:t>
      </w:r>
      <w:r w:rsidRPr="007C45C4">
        <w:rPr>
          <w:b/>
          <w:lang w:val="en-US"/>
        </w:rPr>
        <w:t>6</w:t>
      </w:r>
      <w:r w:rsidRPr="007C45C4">
        <w:rPr>
          <w:lang w:val="en-US"/>
        </w:rPr>
        <w:t xml:space="preserve"> could lead to the further tests for a selective antitumor effect of the molybdenum complexes.</w:t>
      </w:r>
    </w:p>
    <w:p w14:paraId="4C40F64D" w14:textId="77777777" w:rsidR="003942F5" w:rsidRPr="007C45C4" w:rsidRDefault="003942F5" w:rsidP="003942F5">
      <w:pPr>
        <w:pStyle w:val="RSCB04AHeadingSection"/>
        <w:rPr>
          <w:lang w:val="en-US"/>
        </w:rPr>
      </w:pPr>
      <w:r w:rsidRPr="007C45C4">
        <w:rPr>
          <w:lang w:val="en-US"/>
        </w:rPr>
        <w:t>Experimental</w:t>
      </w:r>
    </w:p>
    <w:p w14:paraId="7335CC60" w14:textId="77777777" w:rsidR="00AE37FC" w:rsidRPr="007C45C4" w:rsidRDefault="005A5FB8" w:rsidP="005A5FB8">
      <w:pPr>
        <w:pStyle w:val="RSCB06BHeadingSub-Section"/>
        <w:rPr>
          <w:lang w:val="en-US"/>
        </w:rPr>
      </w:pPr>
      <w:r w:rsidRPr="007C45C4">
        <w:rPr>
          <w:lang w:val="en-US"/>
        </w:rPr>
        <w:t>Methods and materials</w:t>
      </w:r>
    </w:p>
    <w:p w14:paraId="71EE67FF" w14:textId="729D904E" w:rsidR="005A5FB8" w:rsidRPr="007C45C4" w:rsidRDefault="00AE37FC" w:rsidP="005A5FB8">
      <w:pPr>
        <w:pStyle w:val="RSCB02ArticleText"/>
        <w:rPr>
          <w:rFonts w:cs="Arial"/>
          <w:szCs w:val="15"/>
          <w:lang w:val="en-US"/>
        </w:rPr>
      </w:pPr>
      <w:r w:rsidRPr="007C45C4">
        <w:rPr>
          <w:rFonts w:cs="Arial"/>
          <w:szCs w:val="15"/>
          <w:lang w:val="en-US"/>
        </w:rPr>
        <w:lastRenderedPageBreak/>
        <w:t>All operations were performed under argon and dried by standard methods.</w:t>
      </w:r>
      <w:r w:rsidR="000D21C1" w:rsidRPr="007C45C4">
        <w:rPr>
          <w:rFonts w:cs="Arial"/>
          <w:szCs w:val="15"/>
          <w:lang w:val="en-US"/>
        </w:rPr>
        <w:fldChar w:fldCharType="begin" w:fldLock="1"/>
      </w:r>
      <w:r w:rsidR="00357335" w:rsidRPr="007C45C4">
        <w:rPr>
          <w:rFonts w:cs="Arial"/>
          <w:szCs w:val="15"/>
          <w:lang w:val="en-US"/>
        </w:rPr>
        <w:instrText>ADDIN CSL_CITATION {"citationItems":[{"id":"ITEM-1","itemData":{"ISBN":"0750628391","author":[{"dropping-particle":"","family":"Armarego","given":"W. L. F.","non-dropping-particle":"","parse-names":false,"suffix":""},{"dropping-particle":"","family":"Perin","given":"D. D.","non-dropping-particle":"","parse-names":false,"suffix":""}],"editor":[{"dropping-particle":"","family":"Perrin 1922-","given":"D D (Douglas Dalzell)","non-dropping-particle":"","parse-names":false,"suffix":""}],"id":"ITEM-1","issued":{"date-parts":[["1996"]]},"note":"4th ed.\n\nPerrin's name appears first on earlier editions.\n\nIncludes bibliographical references and index.","publisher":"Butterworth Heinemann, Oxford","publisher-place":"Oxford ; Boston","title":"Purification of laboratory chemicals","type":"book"},"uris":["http://www.mendeley.com/documents/?uuid=2226d004-71bb-40d8-97cb-0c15e05e4985"]}],"mendeley":{"formattedCitation":"&lt;sup&gt;42&lt;/sup&gt;","plainTextFormattedCitation":"42","previouslyFormattedCitation":"&lt;sup&gt;42&lt;/sup&gt;"},"properties":{"noteIndex":0},"schema":"https://github.com/citation-style-language/schema/raw/master/csl-citation.json"}</w:instrText>
      </w:r>
      <w:r w:rsidR="000D21C1" w:rsidRPr="007C45C4">
        <w:rPr>
          <w:rFonts w:cs="Arial"/>
          <w:szCs w:val="15"/>
          <w:lang w:val="en-US"/>
        </w:rPr>
        <w:fldChar w:fldCharType="separate"/>
      </w:r>
      <w:r w:rsidR="00104ACB" w:rsidRPr="007C45C4">
        <w:rPr>
          <w:rFonts w:cs="Arial"/>
          <w:noProof/>
          <w:szCs w:val="15"/>
          <w:vertAlign w:val="superscript"/>
          <w:lang w:val="en-US"/>
        </w:rPr>
        <w:t>42</w:t>
      </w:r>
      <w:r w:rsidR="000D21C1" w:rsidRPr="007C45C4">
        <w:rPr>
          <w:rFonts w:cs="Arial"/>
          <w:szCs w:val="15"/>
          <w:lang w:val="en-US"/>
        </w:rPr>
        <w:fldChar w:fldCharType="end"/>
      </w:r>
      <w:r w:rsidRPr="007C45C4">
        <w:rPr>
          <w:rFonts w:cs="Arial"/>
          <w:szCs w:val="15"/>
          <w:lang w:val="en-US"/>
        </w:rPr>
        <w:t xml:space="preserve"> Starting materials were available commercially or prepared according to literature procedures: [(</w:t>
      </w:r>
      <w:r w:rsidRPr="007C45C4">
        <w:rPr>
          <w:rFonts w:cs="Arial"/>
          <w:i/>
          <w:iCs/>
          <w:szCs w:val="15"/>
          <w:lang w:val="en-US"/>
        </w:rPr>
        <w:t>η</w:t>
      </w:r>
      <w:r w:rsidRPr="007C45C4">
        <w:rPr>
          <w:rFonts w:cs="Arial"/>
          <w:szCs w:val="15"/>
          <w:vertAlign w:val="superscript"/>
          <w:lang w:val="en-US"/>
        </w:rPr>
        <w:t>3</w:t>
      </w:r>
      <w:r w:rsidRPr="007C45C4">
        <w:rPr>
          <w:rFonts w:cs="Arial"/>
          <w:b/>
          <w:bCs/>
          <w:szCs w:val="15"/>
          <w:lang w:val="en-US"/>
        </w:rPr>
        <w:t>-</w:t>
      </w:r>
      <w:r w:rsidRPr="007C45C4">
        <w:rPr>
          <w:rFonts w:cs="Arial"/>
          <w:szCs w:val="15"/>
          <w:lang w:val="en-US"/>
        </w:rPr>
        <w:t>C</w:t>
      </w:r>
      <w:r w:rsidRPr="007C45C4">
        <w:rPr>
          <w:rFonts w:cs="Arial"/>
          <w:szCs w:val="15"/>
          <w:vertAlign w:val="subscript"/>
          <w:lang w:val="en-US"/>
        </w:rPr>
        <w:t>3</w:t>
      </w:r>
      <w:r w:rsidRPr="007C45C4">
        <w:rPr>
          <w:rFonts w:cs="Arial"/>
          <w:szCs w:val="15"/>
          <w:lang w:val="en-US"/>
        </w:rPr>
        <w:t>H</w:t>
      </w:r>
      <w:r w:rsidRPr="007C45C4">
        <w:rPr>
          <w:rFonts w:cs="Arial"/>
          <w:szCs w:val="15"/>
          <w:vertAlign w:val="subscript"/>
          <w:lang w:val="en-US"/>
        </w:rPr>
        <w:t>5</w:t>
      </w:r>
      <w:r w:rsidRPr="007C45C4">
        <w:rPr>
          <w:rFonts w:cs="Arial"/>
          <w:szCs w:val="15"/>
          <w:lang w:val="en-US"/>
        </w:rPr>
        <w:t>)Mo(CO)</w:t>
      </w:r>
      <w:r w:rsidRPr="007C45C4">
        <w:rPr>
          <w:rFonts w:cs="Arial"/>
          <w:szCs w:val="15"/>
          <w:vertAlign w:val="subscript"/>
          <w:lang w:val="en-US"/>
        </w:rPr>
        <w:t>2</w:t>
      </w:r>
      <w:r w:rsidRPr="007C45C4">
        <w:rPr>
          <w:rFonts w:cs="Arial"/>
          <w:szCs w:val="15"/>
          <w:lang w:val="en-US"/>
        </w:rPr>
        <w:t>(</w:t>
      </w:r>
      <w:proofErr w:type="spellStart"/>
      <w:r w:rsidRPr="007C45C4">
        <w:rPr>
          <w:rFonts w:cs="Arial"/>
          <w:szCs w:val="15"/>
          <w:lang w:val="en-US"/>
        </w:rPr>
        <w:t>NCMe</w:t>
      </w:r>
      <w:proofErr w:type="spellEnd"/>
      <w:r w:rsidRPr="007C45C4">
        <w:rPr>
          <w:rFonts w:cs="Arial"/>
          <w:szCs w:val="15"/>
          <w:lang w:val="en-US"/>
        </w:rPr>
        <w:t>)</w:t>
      </w:r>
      <w:r w:rsidRPr="007C45C4">
        <w:rPr>
          <w:rFonts w:cs="Arial"/>
          <w:szCs w:val="15"/>
          <w:vertAlign w:val="subscript"/>
          <w:lang w:val="en-US"/>
        </w:rPr>
        <w:t>2</w:t>
      </w:r>
      <w:r w:rsidRPr="007C45C4">
        <w:rPr>
          <w:rFonts w:cs="Arial"/>
          <w:szCs w:val="15"/>
          <w:lang w:val="en-US"/>
        </w:rPr>
        <w:t>Cl] (</w:t>
      </w:r>
      <w:r w:rsidRPr="007C45C4">
        <w:rPr>
          <w:rFonts w:cs="Arial"/>
          <w:b/>
          <w:bCs/>
          <w:szCs w:val="15"/>
          <w:lang w:val="en-US"/>
        </w:rPr>
        <w:t>10</w:t>
      </w:r>
      <w:r w:rsidRPr="007C45C4">
        <w:rPr>
          <w:rFonts w:cs="Arial"/>
          <w:szCs w:val="15"/>
          <w:lang w:val="en-US"/>
        </w:rPr>
        <w:t>).</w:t>
      </w:r>
      <w:r w:rsidR="000D21C1" w:rsidRPr="007C45C4">
        <w:rPr>
          <w:rFonts w:cs="Arial"/>
          <w:szCs w:val="15"/>
          <w:lang w:val="en-US"/>
        </w:rPr>
        <w:fldChar w:fldCharType="begin" w:fldLock="1"/>
      </w:r>
      <w:r w:rsidRPr="007C45C4">
        <w:rPr>
          <w:rFonts w:cs="Arial"/>
          <w:szCs w:val="15"/>
          <w:lang w:val="en-US"/>
        </w:rPr>
        <w:instrText>ADDIN CSL_CITATION {"citationItems":[{"id":"ITEM-1","itemData":{"DOI":"http://dx.doi.org/10.1016/S0022-328X(00)95158-1","ISSN":"0022-328X","abstract":"Steric effects on π-allyl and π-indenyl orientation in molybdenum and tungsten complexes have been studied. Magnetic anistropies associated with indenyl derivatives have provided a definitive technique for determination of stereochemistry in these complexes. The steric factors which determine the stability of the orientations of the allyl moiety have been discussed. Generally π-cycloentadienyl or π-indenyl ligands have been considered to be essentially freely rotating. Analysis of the magnitude of the magnetic anisotropy arising from the benzene ring has suggested that there is relatively free rotation of the indenyl ligands, but there is a preferred conformation with the six-membered ring oriented over the allyl. Appropriate substitution on the allyl offers sufficient steric hindrance to make other conformations more probable.","author":[{"dropping-particle":"","family":"Faller","given":"J W","non-dropping-particle":"","parse-names":false,"suffix":""},{"dropping-particle":"","family":"Chen","given":"Chin-Chun","non-dropping-particle":"","parse-names":false,"suffix":""},{"dropping-particle":"","family":"Mattina","given":"M J","non-dropping-particle":"","parse-names":false,"suffix":""},{"dropping-particle":"","family":"Jakubowski","given":"A","non-dropping-particle":"","parse-names":false,"suffix":""}],"container-title":"Journal of Organometallic Chemistry","id":"ITEM-1","issue":"2","issued":{"date-parts":[["1973"]]},"page":"361-386","title":"Organometallic conformational equilbria","type":"article-journal","volume":"52"},"uris":["http://www.mendeley.com/documents/?uuid=800ce66b-96cc-445d-8da7-4b26c9e2d9fb"]}],"mendeley":{"formattedCitation":"&lt;sup&gt;22&lt;/sup&gt;","plainTextFormattedCitation":"22","previouslyFormattedCitation":"&lt;sup&gt;22&lt;/sup&gt;"},"properties":{"noteIndex":0},"schema":"https://github.com/citation-style-language/schema/raw/master/csl-citation.json"}</w:instrText>
      </w:r>
      <w:r w:rsidR="000D21C1" w:rsidRPr="007C45C4">
        <w:rPr>
          <w:rFonts w:cs="Arial"/>
          <w:szCs w:val="15"/>
          <w:lang w:val="en-US"/>
        </w:rPr>
        <w:fldChar w:fldCharType="separate"/>
      </w:r>
      <w:r w:rsidRPr="007C45C4">
        <w:rPr>
          <w:rFonts w:cs="Arial"/>
          <w:noProof/>
          <w:szCs w:val="15"/>
          <w:vertAlign w:val="superscript"/>
          <w:lang w:val="en-US"/>
        </w:rPr>
        <w:t>22</w:t>
      </w:r>
      <w:r w:rsidR="000D21C1" w:rsidRPr="007C45C4">
        <w:rPr>
          <w:rFonts w:cs="Arial"/>
          <w:szCs w:val="15"/>
          <w:lang w:val="en-US"/>
        </w:rPr>
        <w:fldChar w:fldCharType="end"/>
      </w:r>
    </w:p>
    <w:p w14:paraId="62189BD8" w14:textId="77777777" w:rsidR="005A5FB8" w:rsidRPr="007C45C4" w:rsidRDefault="00AE37FC" w:rsidP="005A5FB8">
      <w:pPr>
        <w:pStyle w:val="RSCB06BHeadingSub-Section"/>
        <w:rPr>
          <w:lang w:val="en-US"/>
        </w:rPr>
      </w:pPr>
      <w:r w:rsidRPr="007C45C4">
        <w:rPr>
          <w:lang w:val="en-US"/>
        </w:rPr>
        <w:t xml:space="preserve">Measurements. </w:t>
      </w:r>
    </w:p>
    <w:p w14:paraId="651F9132" w14:textId="6A7EB5AF" w:rsidR="005A5FB8" w:rsidRPr="007C45C4" w:rsidRDefault="00AE37FC" w:rsidP="005A5FB8">
      <w:pPr>
        <w:pStyle w:val="RSCB02ArticleText"/>
        <w:rPr>
          <w:rFonts w:cs="Arial"/>
          <w:bCs/>
          <w:szCs w:val="15"/>
          <w:lang w:val="en-US"/>
        </w:rPr>
      </w:pPr>
      <w:r w:rsidRPr="007C45C4">
        <w:rPr>
          <w:rFonts w:cs="Arial"/>
          <w:bCs/>
          <w:szCs w:val="15"/>
          <w:lang w:val="en-US"/>
        </w:rPr>
        <w:t>Infrared spectra were recorded in the 4000–400 cm</w:t>
      </w:r>
      <w:r w:rsidRPr="007C45C4">
        <w:rPr>
          <w:rFonts w:cs="Arial"/>
          <w:bCs/>
          <w:szCs w:val="15"/>
          <w:vertAlign w:val="superscript"/>
          <w:lang w:val="en-US"/>
        </w:rPr>
        <w:t>–1</w:t>
      </w:r>
      <w:r w:rsidRPr="007C45C4">
        <w:rPr>
          <w:rFonts w:cs="Arial"/>
          <w:bCs/>
          <w:szCs w:val="15"/>
          <w:lang w:val="en-US"/>
        </w:rPr>
        <w:t xml:space="preserve"> region with a Nicolet iS50 FTIR spectrometer using a diamond smart orbit ATR. </w:t>
      </w:r>
      <w:r w:rsidRPr="007C45C4">
        <w:rPr>
          <w:rFonts w:cs="Arial"/>
          <w:bCs/>
          <w:szCs w:val="15"/>
          <w:vertAlign w:val="superscript"/>
          <w:lang w:val="en-US"/>
        </w:rPr>
        <w:t>1</w:t>
      </w:r>
      <w:r w:rsidRPr="007C45C4">
        <w:rPr>
          <w:rFonts w:cs="Arial"/>
          <w:bCs/>
          <w:szCs w:val="15"/>
          <w:lang w:val="en-US"/>
        </w:rPr>
        <w:t xml:space="preserve">H and </w:t>
      </w:r>
      <w:proofErr w:type="gramStart"/>
      <w:r w:rsidRPr="007C45C4">
        <w:rPr>
          <w:rFonts w:cs="Arial"/>
          <w:bCs/>
          <w:szCs w:val="15"/>
          <w:vertAlign w:val="superscript"/>
          <w:lang w:val="en-US"/>
        </w:rPr>
        <w:t>13</w:t>
      </w:r>
      <w:r w:rsidRPr="007C45C4">
        <w:rPr>
          <w:rFonts w:cs="Arial"/>
          <w:bCs/>
          <w:szCs w:val="15"/>
          <w:lang w:val="en-US"/>
        </w:rPr>
        <w:t>C{</w:t>
      </w:r>
      <w:proofErr w:type="gramEnd"/>
      <w:r w:rsidRPr="007C45C4">
        <w:rPr>
          <w:rFonts w:cs="Arial"/>
          <w:bCs/>
          <w:szCs w:val="15"/>
          <w:vertAlign w:val="superscript"/>
          <w:lang w:val="en-US"/>
        </w:rPr>
        <w:t>1</w:t>
      </w:r>
      <w:r w:rsidRPr="007C45C4">
        <w:rPr>
          <w:rFonts w:cs="Arial"/>
          <w:bCs/>
          <w:szCs w:val="15"/>
          <w:lang w:val="en-US"/>
        </w:rPr>
        <w:t xml:space="preserve">H} NMR spectra were measured at 300 K on a Bruker 400 </w:t>
      </w:r>
      <w:proofErr w:type="spellStart"/>
      <w:r w:rsidRPr="007C45C4">
        <w:rPr>
          <w:rFonts w:cs="Arial"/>
          <w:bCs/>
          <w:szCs w:val="15"/>
          <w:lang w:val="en-US"/>
        </w:rPr>
        <w:t>Avance</w:t>
      </w:r>
      <w:proofErr w:type="spellEnd"/>
      <w:r w:rsidRPr="007C45C4">
        <w:rPr>
          <w:rFonts w:cs="Arial"/>
          <w:bCs/>
          <w:szCs w:val="15"/>
          <w:lang w:val="en-US"/>
        </w:rPr>
        <w:t xml:space="preserve"> and a Bruker 500 </w:t>
      </w:r>
      <w:proofErr w:type="spellStart"/>
      <w:r w:rsidRPr="007C45C4">
        <w:rPr>
          <w:rFonts w:cs="Arial"/>
          <w:bCs/>
          <w:szCs w:val="15"/>
          <w:lang w:val="en-US"/>
        </w:rPr>
        <w:t>Avance</w:t>
      </w:r>
      <w:proofErr w:type="spellEnd"/>
      <w:r w:rsidRPr="007C45C4">
        <w:rPr>
          <w:rFonts w:cs="Arial"/>
          <w:bCs/>
          <w:szCs w:val="15"/>
          <w:lang w:val="en-US"/>
        </w:rPr>
        <w:t xml:space="preserve"> spectrometer. The </w:t>
      </w:r>
      <w:r w:rsidRPr="007C45C4">
        <w:rPr>
          <w:rFonts w:cs="Arial"/>
          <w:bCs/>
          <w:szCs w:val="15"/>
          <w:vertAlign w:val="superscript"/>
          <w:lang w:val="en-US"/>
        </w:rPr>
        <w:t>1</w:t>
      </w:r>
      <w:r w:rsidRPr="007C45C4">
        <w:rPr>
          <w:rFonts w:cs="Arial"/>
          <w:bCs/>
          <w:szCs w:val="15"/>
          <w:lang w:val="en-US"/>
        </w:rPr>
        <w:t xml:space="preserve">H and </w:t>
      </w:r>
      <w:r w:rsidRPr="007C45C4">
        <w:rPr>
          <w:rFonts w:cs="Arial"/>
          <w:bCs/>
          <w:szCs w:val="15"/>
          <w:vertAlign w:val="superscript"/>
          <w:lang w:val="en-US"/>
        </w:rPr>
        <w:t>13</w:t>
      </w:r>
      <w:r w:rsidRPr="007C45C4">
        <w:rPr>
          <w:rFonts w:cs="Arial"/>
          <w:bCs/>
          <w:szCs w:val="15"/>
          <w:lang w:val="en-US"/>
        </w:rPr>
        <w:t xml:space="preserve">C resonances were assign using 2D techniques including </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COSY, </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13</w:t>
      </w:r>
      <w:r w:rsidRPr="007C45C4">
        <w:rPr>
          <w:rFonts w:cs="Arial"/>
          <w:bCs/>
          <w:szCs w:val="15"/>
          <w:lang w:val="en-US"/>
        </w:rPr>
        <w:t xml:space="preserve">C HSQC or </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13</w:t>
      </w:r>
      <w:r w:rsidRPr="007C45C4">
        <w:rPr>
          <w:rFonts w:cs="Arial"/>
          <w:bCs/>
          <w:szCs w:val="15"/>
          <w:lang w:val="en-US"/>
        </w:rPr>
        <w:t xml:space="preserve">C HMBC. Chemical shifts are given in ppm relative to the external standard (TMS). Deuterated solvents were purchased from </w:t>
      </w:r>
      <w:proofErr w:type="spellStart"/>
      <w:r w:rsidRPr="007C45C4">
        <w:rPr>
          <w:rFonts w:cs="Arial"/>
          <w:bCs/>
          <w:szCs w:val="15"/>
          <w:lang w:val="en-US"/>
        </w:rPr>
        <w:t>Acros</w:t>
      </w:r>
      <w:proofErr w:type="spellEnd"/>
      <w:r w:rsidRPr="007C45C4">
        <w:rPr>
          <w:rFonts w:cs="Arial"/>
          <w:bCs/>
          <w:szCs w:val="15"/>
          <w:lang w:val="en-US"/>
        </w:rPr>
        <w:t xml:space="preserve"> Organics and purified by standard methods.</w:t>
      </w:r>
      <w:r w:rsidR="000D21C1" w:rsidRPr="007C45C4">
        <w:rPr>
          <w:rFonts w:cs="Arial"/>
          <w:bCs/>
          <w:szCs w:val="15"/>
          <w:lang w:val="en-US"/>
        </w:rPr>
        <w:fldChar w:fldCharType="begin" w:fldLock="1"/>
      </w:r>
      <w:r w:rsidR="00357335" w:rsidRPr="007C45C4">
        <w:rPr>
          <w:rFonts w:cs="Arial"/>
          <w:bCs/>
          <w:szCs w:val="15"/>
          <w:lang w:val="en-US"/>
        </w:rPr>
        <w:instrText>ADDIN CSL_CITATION {"citationItems":[{"id":"ITEM-1","itemData":{"ISBN":"0750628391","author":[{"dropping-particle":"","family":"Armarego","given":"W. L. F.","non-dropping-particle":"","parse-names":false,"suffix":""},{"dropping-particle":"","family":"Perin","given":"D. D.","non-dropping-particle":"","parse-names":false,"suffix":""}],"editor":[{"dropping-particle":"","family":"Perrin 1922-","given":"D D (Douglas Dalzell)","non-dropping-particle":"","parse-names":false,"suffix":""}],"id":"ITEM-1","issued":{"date-parts":[["1996"]]},"note":"4th ed.\n\nPerrin's name appears first on earlier editions.\n\nIncludes bibliographical references and index.","publisher":"Butterworth Heinemann, Oxford","publisher-place":"Oxford ; Boston","title":"Purification of laboratory chemicals","type":"book"},"uris":["http://www.mendeley.com/documents/?uuid=2226d004-71bb-40d8-97cb-0c15e05e4985"]}],"mendeley":{"formattedCitation":"&lt;sup&gt;42&lt;/sup&gt;","plainTextFormattedCitation":"42","previouslyFormattedCitation":"&lt;sup&gt;42&lt;/sup&gt;"},"properties":{"noteIndex":0},"schema":"https://github.com/citation-style-language/schema/raw/master/csl-citation.json"}</w:instrText>
      </w:r>
      <w:r w:rsidR="000D21C1" w:rsidRPr="007C45C4">
        <w:rPr>
          <w:rFonts w:cs="Arial"/>
          <w:bCs/>
          <w:szCs w:val="15"/>
          <w:lang w:val="en-US"/>
        </w:rPr>
        <w:fldChar w:fldCharType="separate"/>
      </w:r>
      <w:r w:rsidR="00104ACB" w:rsidRPr="007C45C4">
        <w:rPr>
          <w:rFonts w:cs="Arial"/>
          <w:bCs/>
          <w:noProof/>
          <w:szCs w:val="15"/>
          <w:vertAlign w:val="superscript"/>
          <w:lang w:val="en-US"/>
        </w:rPr>
        <w:t>42</w:t>
      </w:r>
      <w:r w:rsidR="000D21C1" w:rsidRPr="007C45C4">
        <w:rPr>
          <w:rFonts w:cs="Arial"/>
          <w:bCs/>
          <w:szCs w:val="15"/>
          <w:lang w:val="en-US"/>
        </w:rPr>
        <w:fldChar w:fldCharType="end"/>
      </w:r>
      <w:r w:rsidRPr="007C45C4">
        <w:rPr>
          <w:rFonts w:cs="Arial"/>
          <w:bCs/>
          <w:szCs w:val="15"/>
          <w:lang w:val="en-US"/>
        </w:rPr>
        <w:t xml:space="preserve"> Mass spectrometry was performed with a quadruple mass spectrometer (LCMS 2010, Shimadzu, Japan). The sample was injected into the mass spectrometer with infusion mode at a constant flow rate of 10 </w:t>
      </w:r>
      <w:proofErr w:type="spellStart"/>
      <w:r w:rsidRPr="007C45C4">
        <w:rPr>
          <w:rFonts w:cs="Arial"/>
          <w:bCs/>
          <w:szCs w:val="15"/>
          <w:lang w:val="en-US"/>
        </w:rPr>
        <w:t>μl</w:t>
      </w:r>
      <w:proofErr w:type="spellEnd"/>
      <w:r w:rsidRPr="007C45C4">
        <w:rPr>
          <w:rFonts w:cs="Arial"/>
          <w:bCs/>
          <w:szCs w:val="15"/>
          <w:lang w:val="en-US"/>
        </w:rPr>
        <w:t>/min. Electrospray ionization-mass spectrometry (ESI-MS) was used for the identification of analyzed samples.</w:t>
      </w:r>
    </w:p>
    <w:p w14:paraId="0712224E" w14:textId="77777777" w:rsidR="005A5FB8" w:rsidRPr="007C45C4" w:rsidRDefault="00AE37FC" w:rsidP="005A5FB8">
      <w:pPr>
        <w:pStyle w:val="RSCB06BHeadingSub-Section"/>
        <w:rPr>
          <w:color w:val="0000FF"/>
          <w:lang w:val="en-US"/>
        </w:rPr>
      </w:pPr>
      <w:r w:rsidRPr="007C45C4">
        <w:rPr>
          <w:bCs/>
          <w:lang w:val="en-US"/>
        </w:rPr>
        <w:t xml:space="preserve">Synthesis of </w:t>
      </w:r>
      <w:r w:rsidRPr="007C45C4">
        <w:rPr>
          <w:lang w:val="en-US"/>
        </w:rPr>
        <w:t>C</w:t>
      </w:r>
      <w:r w:rsidRPr="007C45C4">
        <w:rPr>
          <w:vertAlign w:val="subscript"/>
          <w:lang w:val="en-US"/>
        </w:rPr>
        <w:t>9</w:t>
      </w:r>
      <w:r w:rsidRPr="007C45C4">
        <w:rPr>
          <w:lang w:val="en-US"/>
        </w:rPr>
        <w:t>H</w:t>
      </w:r>
      <w:r w:rsidRPr="007C45C4">
        <w:rPr>
          <w:vertAlign w:val="subscript"/>
          <w:lang w:val="en-US"/>
        </w:rPr>
        <w:t>7</w:t>
      </w:r>
      <w:r w:rsidRPr="007C45C4">
        <w:rPr>
          <w:lang w:val="en-US"/>
        </w:rPr>
        <w:t>CH</w:t>
      </w:r>
      <w:r w:rsidRPr="007C45C4">
        <w:rPr>
          <w:vertAlign w:val="subscript"/>
          <w:lang w:val="en-US"/>
        </w:rPr>
        <w:t>2</w:t>
      </w:r>
      <w:r w:rsidRPr="007C45C4">
        <w:rPr>
          <w:lang w:val="en-US"/>
        </w:rPr>
        <w:t>C</w:t>
      </w:r>
      <w:r w:rsidRPr="007C45C4">
        <w:rPr>
          <w:vertAlign w:val="subscript"/>
          <w:lang w:val="en-US"/>
        </w:rPr>
        <w:t>4</w:t>
      </w:r>
      <w:r w:rsidRPr="007C45C4">
        <w:rPr>
          <w:lang w:val="en-US"/>
        </w:rPr>
        <w:t>H</w:t>
      </w:r>
      <w:r w:rsidRPr="007C45C4">
        <w:rPr>
          <w:vertAlign w:val="subscript"/>
          <w:lang w:val="en-US"/>
        </w:rPr>
        <w:t>3</w:t>
      </w:r>
      <w:r w:rsidRPr="007C45C4">
        <w:rPr>
          <w:lang w:val="en-US"/>
        </w:rPr>
        <w:t>S (1)</w:t>
      </w:r>
    </w:p>
    <w:p w14:paraId="5DBAB678" w14:textId="77777777" w:rsidR="005A5FB8" w:rsidRPr="007C45C4" w:rsidRDefault="00AE37FC" w:rsidP="005A5FB8">
      <w:pPr>
        <w:pStyle w:val="RSCB02ArticleText"/>
        <w:rPr>
          <w:rFonts w:cs="Arial"/>
          <w:bCs/>
          <w:szCs w:val="15"/>
          <w:lang w:val="en-US"/>
        </w:rPr>
      </w:pPr>
      <w:r w:rsidRPr="007C45C4">
        <w:rPr>
          <w:rFonts w:cs="Arial"/>
          <w:bCs/>
          <w:szCs w:val="15"/>
          <w:lang w:val="en-US"/>
        </w:rPr>
        <w:t xml:space="preserve">150 mL of concentrated </w:t>
      </w:r>
      <w:proofErr w:type="spellStart"/>
      <w:r w:rsidRPr="007C45C4">
        <w:rPr>
          <w:rFonts w:cs="Arial"/>
          <w:bCs/>
          <w:szCs w:val="15"/>
          <w:lang w:val="en-US"/>
        </w:rPr>
        <w:t>HCl</w:t>
      </w:r>
      <w:proofErr w:type="spellEnd"/>
      <w:r w:rsidRPr="007C45C4">
        <w:rPr>
          <w:rFonts w:cs="Arial"/>
          <w:bCs/>
          <w:szCs w:val="15"/>
          <w:lang w:val="en-US"/>
        </w:rPr>
        <w:t xml:space="preserve"> was pre</w:t>
      </w:r>
      <w:r w:rsidRPr="007C45C4">
        <w:rPr>
          <w:rFonts w:cs="Arial"/>
          <w:bCs/>
          <w:szCs w:val="15"/>
          <w:lang w:val="en-US"/>
        </w:rPr>
        <w:noBreakHyphen/>
        <w:t>cooled to 0</w:t>
      </w:r>
      <w:r w:rsidR="00D6524A" w:rsidRPr="007C45C4">
        <w:rPr>
          <w:rFonts w:cs="Arial"/>
          <w:bCs/>
          <w:szCs w:val="15"/>
          <w:lang w:val="en-US"/>
        </w:rPr>
        <w:t>°</w:t>
      </w:r>
      <w:r w:rsidRPr="007C45C4">
        <w:rPr>
          <w:rFonts w:cs="Arial"/>
          <w:bCs/>
          <w:szCs w:val="15"/>
          <w:lang w:val="en-US"/>
        </w:rPr>
        <w:t xml:space="preserve">C in Erlenmeyer flask and 50 mL of thiophene was added. The </w:t>
      </w:r>
      <w:proofErr w:type="spellStart"/>
      <w:r w:rsidRPr="007C45C4">
        <w:rPr>
          <w:rFonts w:cs="Arial"/>
          <w:bCs/>
          <w:szCs w:val="15"/>
          <w:lang w:val="en-US"/>
        </w:rPr>
        <w:t>HCl</w:t>
      </w:r>
      <w:proofErr w:type="spellEnd"/>
      <w:r w:rsidRPr="007C45C4">
        <w:rPr>
          <w:rFonts w:cs="Arial"/>
          <w:bCs/>
          <w:szCs w:val="15"/>
          <w:lang w:val="en-US"/>
        </w:rPr>
        <w:t xml:space="preserve"> gas was bubble through the mixture for 5 minutes. After that, 50 mL of 38% formaldehyde was added and the solution was bubbled with gaseous </w:t>
      </w:r>
      <w:proofErr w:type="spellStart"/>
      <w:r w:rsidRPr="007C45C4">
        <w:rPr>
          <w:rFonts w:cs="Arial"/>
          <w:bCs/>
          <w:szCs w:val="15"/>
          <w:lang w:val="en-US"/>
        </w:rPr>
        <w:t>HCl</w:t>
      </w:r>
      <w:proofErr w:type="spellEnd"/>
      <w:r w:rsidRPr="007C45C4">
        <w:rPr>
          <w:rFonts w:cs="Arial"/>
          <w:bCs/>
          <w:szCs w:val="15"/>
          <w:lang w:val="en-US"/>
        </w:rPr>
        <w:t xml:space="preserve"> for further 20 minutes. Then, mixture was diluted with 200 mL of distillated water and extracted three times with 50 mL of ether. Combined organic phases were dried over anhydrous MgSO</w:t>
      </w:r>
      <w:r w:rsidRPr="007C45C4">
        <w:rPr>
          <w:rFonts w:cs="Arial"/>
          <w:bCs/>
          <w:szCs w:val="15"/>
          <w:vertAlign w:val="subscript"/>
          <w:lang w:val="en-US"/>
        </w:rPr>
        <w:t>4</w:t>
      </w:r>
      <w:r w:rsidRPr="007C45C4">
        <w:rPr>
          <w:rFonts w:cs="Arial"/>
          <w:bCs/>
          <w:szCs w:val="15"/>
          <w:lang w:val="en-US"/>
        </w:rPr>
        <w:t xml:space="preserve"> and the solvents were vacuum evaporated. Finally, the crude pro</w:t>
      </w:r>
      <w:r w:rsidR="00D6524A" w:rsidRPr="007C45C4">
        <w:rPr>
          <w:rFonts w:cs="Arial"/>
          <w:bCs/>
          <w:szCs w:val="15"/>
          <w:lang w:val="en-US"/>
        </w:rPr>
        <w:t>duct was vacuum distillated (65°</w:t>
      </w:r>
      <w:r w:rsidRPr="007C45C4">
        <w:rPr>
          <w:rFonts w:cs="Arial"/>
          <w:bCs/>
          <w:szCs w:val="15"/>
          <w:lang w:val="en-US"/>
        </w:rPr>
        <w:t xml:space="preserve">C, 22 mmHg) to afford </w:t>
      </w:r>
      <w:proofErr w:type="gramStart"/>
      <w:r w:rsidRPr="007C45C4">
        <w:rPr>
          <w:lang w:val="en-US"/>
        </w:rPr>
        <w:t>2</w:t>
      </w:r>
      <w:proofErr w:type="gramEnd"/>
      <w:r w:rsidRPr="007C45C4">
        <w:rPr>
          <w:lang w:val="en-US"/>
        </w:rPr>
        <w:t xml:space="preserve">-(chloromethyl) thiophene. </w:t>
      </w:r>
      <w:r w:rsidRPr="007C45C4">
        <w:rPr>
          <w:rFonts w:cs="Arial"/>
          <w:bCs/>
          <w:szCs w:val="15"/>
          <w:vertAlign w:val="superscript"/>
          <w:lang w:val="en-US"/>
        </w:rPr>
        <w:t>1</w:t>
      </w:r>
      <w:r w:rsidRPr="007C45C4">
        <w:rPr>
          <w:rFonts w:cs="Arial"/>
          <w:bCs/>
          <w:szCs w:val="15"/>
          <w:lang w:val="en-US"/>
        </w:rPr>
        <w:t>H NMR (CDCl</w:t>
      </w:r>
      <w:r w:rsidRPr="007C45C4">
        <w:rPr>
          <w:rFonts w:cs="Arial"/>
          <w:bCs/>
          <w:szCs w:val="15"/>
          <w:vertAlign w:val="subscript"/>
          <w:lang w:val="en-US"/>
        </w:rPr>
        <w:t>3</w:t>
      </w:r>
      <w:r w:rsidRPr="007C45C4">
        <w:rPr>
          <w:rFonts w:cs="Arial"/>
          <w:bCs/>
          <w:szCs w:val="15"/>
          <w:lang w:val="en-US"/>
        </w:rPr>
        <w:t>; 400 MHz; δ): 4.84 (s, 2H,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6.98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5.3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3.5 Hz, H</w:t>
      </w:r>
      <w:r w:rsidRPr="007C45C4">
        <w:rPr>
          <w:rFonts w:cs="Arial"/>
          <w:bCs/>
          <w:szCs w:val="15"/>
          <w:vertAlign w:val="superscript"/>
          <w:lang w:val="en-US"/>
        </w:rPr>
        <w:t>4</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S), 7.11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3.5 Hz, </w:t>
      </w:r>
      <w:r w:rsidRPr="007C45C4">
        <w:rPr>
          <w:rFonts w:cs="Arial"/>
          <w:bCs/>
          <w:szCs w:val="15"/>
          <w:vertAlign w:val="superscript"/>
          <w:lang w:val="en-US"/>
        </w:rPr>
        <w:t>4</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1.2 Hz,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S), 7.33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5.3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1.2 Hz, H</w:t>
      </w:r>
      <w:r w:rsidRPr="007C45C4">
        <w:rPr>
          <w:rFonts w:cs="Arial"/>
          <w:bCs/>
          <w:szCs w:val="15"/>
          <w:vertAlign w:val="superscript"/>
          <w:lang w:val="en-US"/>
        </w:rPr>
        <w:t>5</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The solution of 5.9 g of indenide sodium (45 </w:t>
      </w:r>
      <w:proofErr w:type="spellStart"/>
      <w:r w:rsidRPr="007C45C4">
        <w:rPr>
          <w:rFonts w:cs="Arial"/>
          <w:bCs/>
          <w:szCs w:val="15"/>
          <w:lang w:val="en-US"/>
        </w:rPr>
        <w:t>mmol</w:t>
      </w:r>
      <w:proofErr w:type="spellEnd"/>
      <w:r w:rsidRPr="007C45C4">
        <w:rPr>
          <w:rFonts w:cs="Arial"/>
          <w:bCs/>
          <w:szCs w:val="15"/>
          <w:lang w:val="en-US"/>
        </w:rPr>
        <w:t xml:space="preserve">) in 15 mL THF pre-cooled to </w:t>
      </w:r>
      <w:r w:rsidRPr="007C45C4">
        <w:rPr>
          <w:rFonts w:cs="Arial"/>
          <w:bCs/>
          <w:szCs w:val="15"/>
          <w:lang w:val="en-US"/>
        </w:rPr>
        <w:sym w:font="Symbol" w:char="F02D"/>
      </w:r>
      <w:r w:rsidRPr="007C45C4">
        <w:rPr>
          <w:rFonts w:cs="Arial"/>
          <w:bCs/>
          <w:szCs w:val="15"/>
          <w:lang w:val="en-US"/>
        </w:rPr>
        <w:t>70</w:t>
      </w:r>
      <w:r w:rsidR="00D6524A" w:rsidRPr="007C45C4">
        <w:rPr>
          <w:rFonts w:cs="Arial"/>
          <w:bCs/>
          <w:szCs w:val="15"/>
          <w:lang w:val="en-US"/>
        </w:rPr>
        <w:t>°</w:t>
      </w:r>
      <w:r w:rsidRPr="007C45C4">
        <w:rPr>
          <w:rFonts w:cs="Arial"/>
          <w:bCs/>
          <w:szCs w:val="15"/>
          <w:lang w:val="en-US"/>
        </w:rPr>
        <w:t xml:space="preserve">C was added dropwise into solution of </w:t>
      </w:r>
      <w:r w:rsidRPr="007C45C4">
        <w:rPr>
          <w:lang w:val="en-US"/>
        </w:rPr>
        <w:t xml:space="preserve">2-(chloromethyl) thiophene in 10 mL of THF also cooled to </w:t>
      </w:r>
      <w:r w:rsidRPr="007C45C4">
        <w:rPr>
          <w:rFonts w:cs="Arial"/>
          <w:bCs/>
          <w:szCs w:val="15"/>
          <w:lang w:val="en-US"/>
        </w:rPr>
        <w:sym w:font="Symbol" w:char="F02D"/>
      </w:r>
      <w:r w:rsidR="00D6524A" w:rsidRPr="007C45C4">
        <w:rPr>
          <w:rFonts w:cs="Arial"/>
          <w:bCs/>
          <w:szCs w:val="15"/>
          <w:lang w:val="en-US"/>
        </w:rPr>
        <w:t>70°</w:t>
      </w:r>
      <w:r w:rsidRPr="007C45C4">
        <w:rPr>
          <w:rFonts w:cs="Arial"/>
          <w:bCs/>
          <w:szCs w:val="15"/>
          <w:lang w:val="en-US"/>
        </w:rPr>
        <w:t>C. Then, the mixture was slowly allowed to warm to room temperature and stirred overnight. After that, the solution was poured into ice-cooled distillated water and extracted with ether (</w:t>
      </w:r>
      <w:proofErr w:type="gramStart"/>
      <w:r w:rsidRPr="007C45C4">
        <w:rPr>
          <w:rFonts w:cs="Arial"/>
          <w:bCs/>
          <w:szCs w:val="15"/>
          <w:lang w:val="en-US"/>
        </w:rPr>
        <w:t>3</w:t>
      </w:r>
      <w:proofErr w:type="gramEnd"/>
      <w:r w:rsidRPr="007C45C4">
        <w:rPr>
          <w:rFonts w:cs="Arial"/>
          <w:bCs/>
          <w:szCs w:val="15"/>
          <w:lang w:val="en-US"/>
        </w:rPr>
        <w:t xml:space="preserve"> </w:t>
      </w:r>
      <w:r w:rsidRPr="007C45C4">
        <w:rPr>
          <w:rFonts w:cs="Arial"/>
          <w:bCs/>
          <w:szCs w:val="15"/>
          <w:lang w:val="en-US"/>
        </w:rPr>
        <w:sym w:font="Symbol" w:char="F0B4"/>
      </w:r>
      <w:r w:rsidRPr="007C45C4">
        <w:rPr>
          <w:rFonts w:cs="Arial"/>
          <w:bCs/>
          <w:szCs w:val="15"/>
          <w:lang w:val="en-US"/>
        </w:rPr>
        <w:t xml:space="preserve"> 50 mL). Combined organic phases were dried over anhydrous MgSO</w:t>
      </w:r>
      <w:r w:rsidRPr="007C45C4">
        <w:rPr>
          <w:rFonts w:cs="Arial"/>
          <w:bCs/>
          <w:szCs w:val="15"/>
          <w:vertAlign w:val="subscript"/>
          <w:lang w:val="en-US"/>
        </w:rPr>
        <w:t>4</w:t>
      </w:r>
      <w:r w:rsidRPr="007C45C4">
        <w:rPr>
          <w:rFonts w:cs="Arial"/>
          <w:bCs/>
          <w:szCs w:val="15"/>
          <w:lang w:val="en-US"/>
        </w:rPr>
        <w:t xml:space="preserve"> and the solvents were vacuum evaporated. </w:t>
      </w:r>
      <w:proofErr w:type="gramStart"/>
      <w:r w:rsidRPr="007C45C4">
        <w:rPr>
          <w:rFonts w:cs="Arial"/>
          <w:bCs/>
          <w:szCs w:val="15"/>
          <w:lang w:val="en-US"/>
        </w:rPr>
        <w:t>The crude prod</w:t>
      </w:r>
      <w:r w:rsidR="00D6524A" w:rsidRPr="007C45C4">
        <w:rPr>
          <w:rFonts w:cs="Arial"/>
          <w:bCs/>
          <w:szCs w:val="15"/>
          <w:lang w:val="en-US"/>
        </w:rPr>
        <w:t>uct was vacuum distillated (105°</w:t>
      </w:r>
      <w:r w:rsidRPr="007C45C4">
        <w:rPr>
          <w:rFonts w:cs="Arial"/>
          <w:bCs/>
          <w:szCs w:val="15"/>
          <w:lang w:val="en-US"/>
        </w:rPr>
        <w:t xml:space="preserve">C, 10 Pa) to afford yellow oily compound </w:t>
      </w:r>
      <w:r w:rsidRPr="007C45C4">
        <w:rPr>
          <w:rFonts w:cs="Arial"/>
          <w:b/>
          <w:bCs/>
          <w:szCs w:val="15"/>
          <w:lang w:val="en-US"/>
        </w:rPr>
        <w:t>1</w:t>
      </w:r>
      <w:r w:rsidRPr="007C45C4">
        <w:rPr>
          <w:rFonts w:cs="Arial"/>
          <w:bCs/>
          <w:szCs w:val="15"/>
          <w:lang w:val="en-US"/>
        </w:rPr>
        <w:t xml:space="preserve"> (7.5 g, 35 </w:t>
      </w:r>
      <w:proofErr w:type="spellStart"/>
      <w:r w:rsidRPr="007C45C4">
        <w:rPr>
          <w:rFonts w:cs="Arial"/>
          <w:bCs/>
          <w:szCs w:val="15"/>
          <w:lang w:val="en-US"/>
        </w:rPr>
        <w:t>mmol</w:t>
      </w:r>
      <w:proofErr w:type="spellEnd"/>
      <w:r w:rsidRPr="007C45C4">
        <w:rPr>
          <w:rFonts w:cs="Arial"/>
          <w:bCs/>
          <w:szCs w:val="15"/>
          <w:lang w:val="en-US"/>
        </w:rPr>
        <w:t xml:space="preserve">, 79%). </w:t>
      </w:r>
      <w:r w:rsidRPr="007C45C4">
        <w:rPr>
          <w:rFonts w:cs="Arial"/>
          <w:bCs/>
          <w:szCs w:val="15"/>
          <w:vertAlign w:val="superscript"/>
          <w:lang w:val="en-US"/>
        </w:rPr>
        <w:t>1</w:t>
      </w:r>
      <w:r w:rsidRPr="007C45C4">
        <w:rPr>
          <w:rFonts w:cs="Arial"/>
          <w:bCs/>
          <w:szCs w:val="15"/>
          <w:lang w:val="en-US"/>
        </w:rPr>
        <w:t>H NMR (CDCl</w:t>
      </w:r>
      <w:r w:rsidRPr="007C45C4">
        <w:rPr>
          <w:rFonts w:cs="Arial"/>
          <w:bCs/>
          <w:szCs w:val="15"/>
          <w:vertAlign w:val="subscript"/>
          <w:lang w:val="en-US"/>
        </w:rPr>
        <w:t>3</w:t>
      </w:r>
      <w:r w:rsidRPr="007C45C4">
        <w:rPr>
          <w:rFonts w:cs="Arial"/>
          <w:bCs/>
          <w:szCs w:val="15"/>
          <w:lang w:val="en-US"/>
        </w:rPr>
        <w:t xml:space="preserve">; 400 MHz; δ): 3.48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2.0 Hz, 2H,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7</w:t>
      </w:r>
      <w:r w:rsidRPr="007C45C4">
        <w:rPr>
          <w:rFonts w:cs="Arial"/>
          <w:bCs/>
          <w:szCs w:val="15"/>
          <w:lang w:val="en-US"/>
        </w:rPr>
        <w:t>), 4.22 (s, 2H,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6.40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2.0 Hz, 1H,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7</w:t>
      </w:r>
      <w:r w:rsidRPr="007C45C4">
        <w:rPr>
          <w:rFonts w:cs="Arial"/>
          <w:bCs/>
          <w:szCs w:val="15"/>
          <w:lang w:val="en-US"/>
        </w:rPr>
        <w:t>), 7.00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3.5 Hz, </w:t>
      </w:r>
      <w:r w:rsidRPr="007C45C4">
        <w:rPr>
          <w:rFonts w:cs="Arial"/>
          <w:bCs/>
          <w:szCs w:val="15"/>
          <w:vertAlign w:val="superscript"/>
          <w:lang w:val="en-US"/>
        </w:rPr>
        <w:t>4</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1.2 Hz,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S), 7.04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5.3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3.5 Hz, H</w:t>
      </w:r>
      <w:r w:rsidRPr="007C45C4">
        <w:rPr>
          <w:rFonts w:cs="Arial"/>
          <w:bCs/>
          <w:szCs w:val="15"/>
          <w:vertAlign w:val="superscript"/>
          <w:lang w:val="en-US"/>
        </w:rPr>
        <w:t>4</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S), 7.25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5.3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1.2 Hz, H</w:t>
      </w:r>
      <w:r w:rsidRPr="007C45C4">
        <w:rPr>
          <w:rFonts w:cs="Arial"/>
          <w:bCs/>
          <w:szCs w:val="15"/>
          <w:vertAlign w:val="superscript"/>
          <w:lang w:val="en-US"/>
        </w:rPr>
        <w:t>5</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7.32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7.3 Hz, 1H, H</w:t>
      </w:r>
      <w:r w:rsidRPr="007C45C4">
        <w:rPr>
          <w:rFonts w:cs="Arial"/>
          <w:bCs/>
          <w:szCs w:val="15"/>
          <w:vertAlign w:val="superscript"/>
          <w:lang w:val="en-US"/>
        </w:rPr>
        <w:t>5/6</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7</w:t>
      </w:r>
      <w:r w:rsidRPr="007C45C4">
        <w:rPr>
          <w:rFonts w:cs="Arial"/>
          <w:bCs/>
          <w:szCs w:val="15"/>
          <w:lang w:val="en-US"/>
        </w:rPr>
        <w:t xml:space="preserve">), 7.38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7.3 Hz, 1H, H</w:t>
      </w:r>
      <w:r w:rsidRPr="007C45C4">
        <w:rPr>
          <w:rFonts w:cs="Arial"/>
          <w:bCs/>
          <w:szCs w:val="15"/>
          <w:vertAlign w:val="superscript"/>
          <w:lang w:val="en-US"/>
        </w:rPr>
        <w:t>5/6</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7</w:t>
      </w:r>
      <w:r w:rsidRPr="007C45C4">
        <w:rPr>
          <w:rFonts w:cs="Arial"/>
          <w:bCs/>
          <w:szCs w:val="15"/>
          <w:lang w:val="en-US"/>
        </w:rPr>
        <w:t xml:space="preserve">), 7.45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7.3 Hz, 1H,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7</w:t>
      </w:r>
      <w:r w:rsidRPr="007C45C4">
        <w:rPr>
          <w:rFonts w:cs="Arial"/>
          <w:bCs/>
          <w:szCs w:val="15"/>
          <w:lang w:val="en-US"/>
        </w:rPr>
        <w:t xml:space="preserve">), 7.58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7.3 Hz, 1H,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7</w:t>
      </w:r>
      <w:r w:rsidRPr="007C45C4">
        <w:rPr>
          <w:rFonts w:cs="Arial"/>
          <w:bCs/>
          <w:szCs w:val="15"/>
          <w:lang w:val="en-US"/>
        </w:rPr>
        <w:t>).</w:t>
      </w:r>
      <w:proofErr w:type="gramEnd"/>
    </w:p>
    <w:p w14:paraId="5EF6F2E8" w14:textId="77777777" w:rsidR="005A5FB8" w:rsidRPr="007C45C4" w:rsidRDefault="00AE37FC" w:rsidP="005A5FB8">
      <w:pPr>
        <w:pStyle w:val="RSCB06BHeadingSub-Section"/>
        <w:rPr>
          <w:lang w:val="en-US"/>
        </w:rPr>
      </w:pPr>
      <w:r w:rsidRPr="007C45C4">
        <w:rPr>
          <w:lang w:val="en-US"/>
        </w:rPr>
        <w:t>Synthesis of [(</w:t>
      </w:r>
      <w:r w:rsidRPr="007C45C4">
        <w:rPr>
          <w:i/>
          <w:lang w:val="en-US"/>
        </w:rPr>
        <w:t>η</w:t>
      </w:r>
      <w:r w:rsidRPr="007C45C4">
        <w:rPr>
          <w:vertAlign w:val="superscript"/>
          <w:lang w:val="en-US"/>
        </w:rPr>
        <w:t>3</w:t>
      </w:r>
      <w:r w:rsidRPr="007C45C4">
        <w:rPr>
          <w:lang w:val="en-US"/>
        </w:rPr>
        <w:t>-C</w:t>
      </w:r>
      <w:r w:rsidRPr="007C45C4">
        <w:rPr>
          <w:vertAlign w:val="subscript"/>
          <w:lang w:val="en-US"/>
        </w:rPr>
        <w:t>3</w:t>
      </w:r>
      <w:r w:rsidRPr="007C45C4">
        <w:rPr>
          <w:lang w:val="en-US"/>
        </w:rPr>
        <w:t>H</w:t>
      </w:r>
      <w:r w:rsidRPr="007C45C4">
        <w:rPr>
          <w:vertAlign w:val="subscript"/>
          <w:lang w:val="en-US"/>
        </w:rPr>
        <w:t>5</w:t>
      </w:r>
      <w:proofErr w:type="gramStart"/>
      <w:r w:rsidRPr="007C45C4">
        <w:rPr>
          <w:lang w:val="en-US"/>
        </w:rPr>
        <w:t>)(</w:t>
      </w:r>
      <w:proofErr w:type="gramEnd"/>
      <w:r w:rsidRPr="007C45C4">
        <w:rPr>
          <w:i/>
          <w:lang w:val="en-US"/>
        </w:rPr>
        <w:t>η</w:t>
      </w:r>
      <w:r w:rsidRPr="007C45C4">
        <w:rPr>
          <w:vertAlign w:val="superscript"/>
          <w:lang w:val="en-US"/>
        </w:rPr>
        <w:t>5</w:t>
      </w:r>
      <w:r w:rsidRPr="007C45C4">
        <w:rPr>
          <w:lang w:val="en-US"/>
        </w:rPr>
        <w:t>-C</w:t>
      </w:r>
      <w:r w:rsidRPr="007C45C4">
        <w:rPr>
          <w:vertAlign w:val="subscript"/>
          <w:lang w:val="en-US"/>
        </w:rPr>
        <w:t>9</w:t>
      </w:r>
      <w:r w:rsidRPr="007C45C4">
        <w:rPr>
          <w:lang w:val="en-US"/>
        </w:rPr>
        <w:t>H</w:t>
      </w:r>
      <w:r w:rsidRPr="007C45C4">
        <w:rPr>
          <w:vertAlign w:val="subscript"/>
          <w:lang w:val="en-US"/>
        </w:rPr>
        <w:t>6</w:t>
      </w:r>
      <w:r w:rsidRPr="007C45C4">
        <w:rPr>
          <w:lang w:val="en-US"/>
        </w:rPr>
        <w:t>CH</w:t>
      </w:r>
      <w:r w:rsidRPr="007C45C4">
        <w:rPr>
          <w:vertAlign w:val="subscript"/>
          <w:lang w:val="en-US"/>
        </w:rPr>
        <w:t>2</w:t>
      </w:r>
      <w:r w:rsidRPr="007C45C4">
        <w:rPr>
          <w:lang w:val="en-US"/>
        </w:rPr>
        <w:t>C</w:t>
      </w:r>
      <w:r w:rsidRPr="007C45C4">
        <w:rPr>
          <w:vertAlign w:val="subscript"/>
          <w:lang w:val="en-US"/>
        </w:rPr>
        <w:t>4</w:t>
      </w:r>
      <w:r w:rsidRPr="007C45C4">
        <w:rPr>
          <w:lang w:val="en-US"/>
        </w:rPr>
        <w:t>H</w:t>
      </w:r>
      <w:r w:rsidRPr="007C45C4">
        <w:rPr>
          <w:vertAlign w:val="subscript"/>
          <w:lang w:val="en-US"/>
        </w:rPr>
        <w:t>3</w:t>
      </w:r>
      <w:r w:rsidRPr="007C45C4">
        <w:rPr>
          <w:lang w:val="en-US"/>
        </w:rPr>
        <w:t>S)Mo(CO)</w:t>
      </w:r>
      <w:r w:rsidRPr="007C45C4">
        <w:rPr>
          <w:vertAlign w:val="subscript"/>
          <w:lang w:val="en-US"/>
        </w:rPr>
        <w:t>2</w:t>
      </w:r>
      <w:r w:rsidRPr="007C45C4">
        <w:rPr>
          <w:lang w:val="en-US"/>
        </w:rPr>
        <w:t>] (2)</w:t>
      </w:r>
    </w:p>
    <w:p w14:paraId="42D19BE7" w14:textId="77777777" w:rsidR="005A5FB8" w:rsidRPr="007C45C4" w:rsidRDefault="00AE37FC" w:rsidP="005A5FB8">
      <w:pPr>
        <w:pStyle w:val="RSCB02ArticleText"/>
        <w:rPr>
          <w:rFonts w:cs="Arial"/>
          <w:bCs/>
          <w:szCs w:val="15"/>
          <w:lang w:val="en-US"/>
        </w:rPr>
      </w:pPr>
      <w:r w:rsidRPr="007C45C4">
        <w:rPr>
          <w:rFonts w:cs="Arial"/>
          <w:bCs/>
          <w:szCs w:val="15"/>
          <w:lang w:val="en-US"/>
        </w:rPr>
        <w:t xml:space="preserve">Solution of </w:t>
      </w:r>
      <w:r w:rsidRPr="007C45C4">
        <w:rPr>
          <w:rFonts w:cs="Arial"/>
          <w:szCs w:val="15"/>
          <w:lang w:val="en-US"/>
        </w:rPr>
        <w:t>C</w:t>
      </w:r>
      <w:r w:rsidRPr="007C45C4">
        <w:rPr>
          <w:rFonts w:cs="Arial"/>
          <w:szCs w:val="15"/>
          <w:vertAlign w:val="subscript"/>
          <w:lang w:val="en-US"/>
        </w:rPr>
        <w:t>9</w:t>
      </w:r>
      <w:r w:rsidRPr="007C45C4">
        <w:rPr>
          <w:rFonts w:cs="Arial"/>
          <w:szCs w:val="15"/>
          <w:lang w:val="en-US"/>
        </w:rPr>
        <w:t>H</w:t>
      </w:r>
      <w:r w:rsidRPr="007C45C4">
        <w:rPr>
          <w:rFonts w:cs="Arial"/>
          <w:szCs w:val="15"/>
          <w:vertAlign w:val="subscript"/>
          <w:lang w:val="en-US"/>
        </w:rPr>
        <w:t>7</w:t>
      </w:r>
      <w:r w:rsidRPr="007C45C4">
        <w:rPr>
          <w:rFonts w:cs="Arial"/>
          <w:szCs w:val="15"/>
          <w:lang w:val="en-US"/>
        </w:rPr>
        <w:t>CH</w:t>
      </w:r>
      <w:r w:rsidRPr="007C45C4">
        <w:rPr>
          <w:rFonts w:cs="Arial"/>
          <w:szCs w:val="15"/>
          <w:vertAlign w:val="subscript"/>
          <w:lang w:val="en-US"/>
        </w:rPr>
        <w:t>2</w:t>
      </w:r>
      <w:r w:rsidRPr="007C45C4">
        <w:rPr>
          <w:rFonts w:cs="Arial"/>
          <w:szCs w:val="15"/>
          <w:lang w:val="en-US"/>
        </w:rPr>
        <w:t>C</w:t>
      </w:r>
      <w:r w:rsidRPr="007C45C4">
        <w:rPr>
          <w:rFonts w:cs="Arial"/>
          <w:szCs w:val="15"/>
          <w:vertAlign w:val="subscript"/>
          <w:lang w:val="en-US"/>
        </w:rPr>
        <w:t>4</w:t>
      </w:r>
      <w:r w:rsidRPr="007C45C4">
        <w:rPr>
          <w:rFonts w:cs="Arial"/>
          <w:szCs w:val="15"/>
          <w:lang w:val="en-US"/>
        </w:rPr>
        <w:t>H</w:t>
      </w:r>
      <w:r w:rsidRPr="007C45C4">
        <w:rPr>
          <w:rFonts w:cs="Arial"/>
          <w:szCs w:val="15"/>
          <w:vertAlign w:val="subscript"/>
          <w:lang w:val="en-US"/>
        </w:rPr>
        <w:t>3</w:t>
      </w:r>
      <w:r w:rsidRPr="007C45C4">
        <w:rPr>
          <w:rFonts w:cs="Arial"/>
          <w:szCs w:val="15"/>
          <w:lang w:val="en-US"/>
        </w:rPr>
        <w:t>S (</w:t>
      </w:r>
      <w:r w:rsidRPr="007C45C4">
        <w:rPr>
          <w:rFonts w:cs="Arial"/>
          <w:b/>
          <w:szCs w:val="15"/>
          <w:lang w:val="en-US"/>
        </w:rPr>
        <w:t>1</w:t>
      </w:r>
      <w:r w:rsidRPr="007C45C4">
        <w:rPr>
          <w:rFonts w:cs="Arial"/>
          <w:szCs w:val="15"/>
          <w:lang w:val="en-US"/>
        </w:rPr>
        <w:t xml:space="preserve">; 1.06 g, 5 </w:t>
      </w:r>
      <w:proofErr w:type="spellStart"/>
      <w:r w:rsidRPr="007C45C4">
        <w:rPr>
          <w:rFonts w:cs="Arial"/>
          <w:szCs w:val="15"/>
          <w:lang w:val="en-US"/>
        </w:rPr>
        <w:t>mmol</w:t>
      </w:r>
      <w:proofErr w:type="spellEnd"/>
      <w:r w:rsidRPr="007C45C4">
        <w:rPr>
          <w:rFonts w:cs="Arial"/>
          <w:szCs w:val="15"/>
          <w:lang w:val="en-US"/>
        </w:rPr>
        <w:t xml:space="preserve">) in 20 ml of THF was cooled to </w:t>
      </w:r>
      <w:r w:rsidRPr="007C45C4">
        <w:rPr>
          <w:rFonts w:cs="Arial"/>
          <w:szCs w:val="15"/>
          <w:lang w:val="en-US"/>
        </w:rPr>
        <w:sym w:font="Symbol" w:char="F02D"/>
      </w:r>
      <w:r w:rsidRPr="007C45C4">
        <w:rPr>
          <w:rFonts w:cs="Arial"/>
          <w:szCs w:val="15"/>
          <w:lang w:val="en-US"/>
        </w:rPr>
        <w:t xml:space="preserve">70°C and 3.1 mL of </w:t>
      </w:r>
      <w:proofErr w:type="spellStart"/>
      <w:r w:rsidRPr="007C45C4">
        <w:rPr>
          <w:rFonts w:cs="Arial"/>
          <w:i/>
          <w:szCs w:val="15"/>
          <w:lang w:val="en-US"/>
        </w:rPr>
        <w:t>n</w:t>
      </w:r>
      <w:r w:rsidRPr="007C45C4">
        <w:rPr>
          <w:rFonts w:cs="Arial"/>
          <w:szCs w:val="15"/>
          <w:lang w:val="en-US"/>
        </w:rPr>
        <w:t>BuLi</w:t>
      </w:r>
      <w:proofErr w:type="spellEnd"/>
      <w:r w:rsidRPr="007C45C4">
        <w:rPr>
          <w:rFonts w:cs="Arial"/>
          <w:szCs w:val="15"/>
          <w:lang w:val="en-US"/>
        </w:rPr>
        <w:t xml:space="preserve"> was added dropwise (1.6 </w:t>
      </w:r>
      <w:proofErr w:type="spellStart"/>
      <w:r w:rsidRPr="007C45C4">
        <w:rPr>
          <w:rFonts w:cs="Arial"/>
          <w:szCs w:val="15"/>
          <w:lang w:val="en-US"/>
        </w:rPr>
        <w:t>mol</w:t>
      </w:r>
      <w:proofErr w:type="spellEnd"/>
      <w:r w:rsidRPr="007C45C4">
        <w:rPr>
          <w:rFonts w:cs="Arial"/>
          <w:szCs w:val="15"/>
          <w:lang w:val="en-US"/>
        </w:rPr>
        <w:t xml:space="preserve">/l solution in hexane, 5 </w:t>
      </w:r>
      <w:proofErr w:type="spellStart"/>
      <w:r w:rsidRPr="007C45C4">
        <w:rPr>
          <w:rFonts w:cs="Arial"/>
          <w:szCs w:val="15"/>
          <w:lang w:val="en-US"/>
        </w:rPr>
        <w:t>mmol</w:t>
      </w:r>
      <w:proofErr w:type="spellEnd"/>
      <w:r w:rsidRPr="007C45C4">
        <w:rPr>
          <w:rFonts w:cs="Arial"/>
          <w:szCs w:val="15"/>
          <w:lang w:val="en-US"/>
        </w:rPr>
        <w:t xml:space="preserve">). The mixture was slowly allowed to warm to room temperature within two hours. After </w:t>
      </w:r>
      <w:r w:rsidRPr="007C45C4">
        <w:rPr>
          <w:rFonts w:cs="Arial"/>
          <w:szCs w:val="15"/>
          <w:lang w:val="en-US"/>
        </w:rPr>
        <w:t>that the mixture was added dropwise via cannula into a solution of [(</w:t>
      </w:r>
      <w:r w:rsidRPr="007C45C4">
        <w:rPr>
          <w:rFonts w:cs="Arial"/>
          <w:i/>
          <w:iCs/>
          <w:szCs w:val="15"/>
          <w:lang w:val="en-US"/>
        </w:rPr>
        <w:t>η</w:t>
      </w:r>
      <w:r w:rsidRPr="007C45C4">
        <w:rPr>
          <w:rFonts w:cs="Arial"/>
          <w:szCs w:val="15"/>
          <w:vertAlign w:val="superscript"/>
          <w:lang w:val="en-US"/>
        </w:rPr>
        <w:t>3</w:t>
      </w:r>
      <w:r w:rsidRPr="007C45C4">
        <w:rPr>
          <w:rFonts w:cs="Arial"/>
          <w:b/>
          <w:bCs/>
          <w:szCs w:val="15"/>
          <w:lang w:val="en-US"/>
        </w:rPr>
        <w:t>-</w:t>
      </w:r>
      <w:r w:rsidRPr="007C45C4">
        <w:rPr>
          <w:rFonts w:cs="Arial"/>
          <w:szCs w:val="15"/>
          <w:lang w:val="en-US"/>
        </w:rPr>
        <w:t>C</w:t>
      </w:r>
      <w:r w:rsidRPr="007C45C4">
        <w:rPr>
          <w:rFonts w:cs="Arial"/>
          <w:szCs w:val="15"/>
          <w:vertAlign w:val="subscript"/>
          <w:lang w:val="en-US"/>
        </w:rPr>
        <w:t>3</w:t>
      </w:r>
      <w:r w:rsidRPr="007C45C4">
        <w:rPr>
          <w:rFonts w:cs="Arial"/>
          <w:szCs w:val="15"/>
          <w:lang w:val="en-US"/>
        </w:rPr>
        <w:t>H</w:t>
      </w:r>
      <w:r w:rsidRPr="007C45C4">
        <w:rPr>
          <w:rFonts w:cs="Arial"/>
          <w:szCs w:val="15"/>
          <w:vertAlign w:val="subscript"/>
          <w:lang w:val="en-US"/>
        </w:rPr>
        <w:t>5</w:t>
      </w:r>
      <w:proofErr w:type="gramStart"/>
      <w:r w:rsidRPr="007C45C4">
        <w:rPr>
          <w:rFonts w:cs="Arial"/>
          <w:szCs w:val="15"/>
          <w:lang w:val="en-US"/>
        </w:rPr>
        <w:t>)Mo</w:t>
      </w:r>
      <w:proofErr w:type="gramEnd"/>
      <w:r w:rsidRPr="007C45C4">
        <w:rPr>
          <w:rFonts w:cs="Arial"/>
          <w:szCs w:val="15"/>
          <w:lang w:val="en-US"/>
        </w:rPr>
        <w:t>(CO)</w:t>
      </w:r>
      <w:r w:rsidRPr="007C45C4">
        <w:rPr>
          <w:rFonts w:cs="Arial"/>
          <w:szCs w:val="15"/>
          <w:vertAlign w:val="subscript"/>
          <w:lang w:val="en-US"/>
        </w:rPr>
        <w:t>2</w:t>
      </w:r>
      <w:r w:rsidRPr="007C45C4">
        <w:rPr>
          <w:rFonts w:cs="Arial"/>
          <w:szCs w:val="15"/>
          <w:lang w:val="en-US"/>
        </w:rPr>
        <w:t>(</w:t>
      </w:r>
      <w:proofErr w:type="spellStart"/>
      <w:r w:rsidRPr="007C45C4">
        <w:rPr>
          <w:rFonts w:cs="Arial"/>
          <w:szCs w:val="15"/>
          <w:lang w:val="en-US"/>
        </w:rPr>
        <w:t>NCMe</w:t>
      </w:r>
      <w:proofErr w:type="spellEnd"/>
      <w:r w:rsidRPr="007C45C4">
        <w:rPr>
          <w:rFonts w:cs="Arial"/>
          <w:szCs w:val="15"/>
          <w:lang w:val="en-US"/>
        </w:rPr>
        <w:t>)</w:t>
      </w:r>
      <w:r w:rsidRPr="007C45C4">
        <w:rPr>
          <w:rFonts w:cs="Arial"/>
          <w:szCs w:val="15"/>
          <w:vertAlign w:val="subscript"/>
          <w:lang w:val="en-US"/>
        </w:rPr>
        <w:t>2</w:t>
      </w:r>
      <w:r w:rsidRPr="007C45C4">
        <w:rPr>
          <w:rFonts w:cs="Arial"/>
          <w:szCs w:val="15"/>
          <w:lang w:val="en-US"/>
        </w:rPr>
        <w:t xml:space="preserve">Cl] (1.55 g, 5 </w:t>
      </w:r>
      <w:proofErr w:type="spellStart"/>
      <w:r w:rsidRPr="007C45C4">
        <w:rPr>
          <w:rFonts w:cs="Arial"/>
          <w:szCs w:val="15"/>
          <w:lang w:val="en-US"/>
        </w:rPr>
        <w:t>mmol</w:t>
      </w:r>
      <w:proofErr w:type="spellEnd"/>
      <w:r w:rsidRPr="007C45C4">
        <w:rPr>
          <w:rFonts w:cs="Arial"/>
          <w:szCs w:val="15"/>
          <w:lang w:val="en-US"/>
        </w:rPr>
        <w:t xml:space="preserve">) in 10 mL THF, pre-cooled to </w:t>
      </w:r>
      <w:r w:rsidRPr="007C45C4">
        <w:rPr>
          <w:rFonts w:cs="Arial"/>
          <w:szCs w:val="15"/>
          <w:lang w:val="en-US"/>
        </w:rPr>
        <w:sym w:font="Symbol" w:char="F02D"/>
      </w:r>
      <w:r w:rsidRPr="007C45C4">
        <w:rPr>
          <w:rFonts w:cs="Arial"/>
          <w:szCs w:val="15"/>
          <w:lang w:val="en-US"/>
        </w:rPr>
        <w:t>70</w:t>
      </w:r>
      <w:r w:rsidR="00D6524A" w:rsidRPr="007C45C4">
        <w:rPr>
          <w:rFonts w:cs="Arial"/>
          <w:szCs w:val="15"/>
          <w:lang w:val="en-US"/>
        </w:rPr>
        <w:t>°</w:t>
      </w:r>
      <w:r w:rsidRPr="007C45C4">
        <w:rPr>
          <w:rFonts w:cs="Arial"/>
          <w:szCs w:val="15"/>
          <w:lang w:val="en-US"/>
        </w:rPr>
        <w:t>C. The reaction mixture was stirred at room temperature overnight and then vacuum evaporated to dryness. The solid residue was extracted with hexane (</w:t>
      </w:r>
      <w:proofErr w:type="gramStart"/>
      <w:r w:rsidRPr="007C45C4">
        <w:rPr>
          <w:rFonts w:cs="Arial"/>
          <w:szCs w:val="15"/>
          <w:lang w:val="en-US"/>
        </w:rPr>
        <w:t>3</w:t>
      </w:r>
      <w:proofErr w:type="gramEnd"/>
      <w:r w:rsidRPr="007C45C4">
        <w:rPr>
          <w:rFonts w:cs="Arial"/>
          <w:szCs w:val="15"/>
          <w:lang w:val="en-US"/>
        </w:rPr>
        <w:sym w:font="Symbol" w:char="F020"/>
      </w:r>
      <w:r w:rsidRPr="007C45C4">
        <w:rPr>
          <w:rFonts w:cs="Arial"/>
          <w:szCs w:val="15"/>
          <w:lang w:val="en-US"/>
        </w:rPr>
        <w:sym w:font="Symbol" w:char="F0B4"/>
      </w:r>
      <w:r w:rsidRPr="007C45C4">
        <w:rPr>
          <w:rFonts w:cs="Arial"/>
          <w:szCs w:val="15"/>
          <w:lang w:val="en-US"/>
        </w:rPr>
        <w:t xml:space="preserve"> 20 mL). The vacuum evaporation gives yellow viscous liquid. The product was purified by recrystallization from mixture hexane-ether at </w:t>
      </w:r>
      <w:proofErr w:type="gramStart"/>
      <w:r w:rsidRPr="007C45C4">
        <w:rPr>
          <w:rFonts w:cs="Arial"/>
          <w:szCs w:val="15"/>
          <w:lang w:val="en-US"/>
        </w:rPr>
        <w:t>–80°C</w:t>
      </w:r>
      <w:proofErr w:type="gramEnd"/>
      <w:r w:rsidRPr="007C45C4">
        <w:rPr>
          <w:rFonts w:cs="Arial"/>
          <w:szCs w:val="15"/>
          <w:lang w:val="en-US"/>
        </w:rPr>
        <w:t xml:space="preserve"> and then vacuum dried. Yield: 1.36 g (3.35 </w:t>
      </w:r>
      <w:proofErr w:type="spellStart"/>
      <w:r w:rsidRPr="007C45C4">
        <w:rPr>
          <w:rFonts w:cs="Arial"/>
          <w:szCs w:val="15"/>
          <w:lang w:val="en-US"/>
        </w:rPr>
        <w:t>mmol</w:t>
      </w:r>
      <w:proofErr w:type="spellEnd"/>
      <w:r w:rsidRPr="007C45C4">
        <w:rPr>
          <w:rFonts w:cs="Arial"/>
          <w:szCs w:val="15"/>
          <w:lang w:val="en-US"/>
        </w:rPr>
        <w:t>, 67%) to afford yellow powder of</w:t>
      </w:r>
      <w:r w:rsidRPr="007C45C4">
        <w:rPr>
          <w:rFonts w:cs="Arial"/>
          <w:b/>
          <w:szCs w:val="15"/>
          <w:lang w:val="en-US"/>
        </w:rPr>
        <w:t xml:space="preserve"> </w:t>
      </w:r>
      <w:proofErr w:type="gramStart"/>
      <w:r w:rsidRPr="007C45C4">
        <w:rPr>
          <w:rFonts w:cs="Arial"/>
          <w:b/>
          <w:szCs w:val="15"/>
          <w:lang w:val="en-US"/>
        </w:rPr>
        <w:t>2</w:t>
      </w:r>
      <w:proofErr w:type="gramEnd"/>
      <w:r w:rsidRPr="007C45C4">
        <w:rPr>
          <w:rFonts w:cs="Arial"/>
          <w:szCs w:val="15"/>
          <w:lang w:val="en-US"/>
        </w:rPr>
        <w:t xml:space="preserve">. </w:t>
      </w:r>
      <w:proofErr w:type="spellStart"/>
      <w:r w:rsidRPr="007C45C4">
        <w:rPr>
          <w:rFonts w:cs="Arial"/>
          <w:szCs w:val="15"/>
          <w:lang w:val="en-US"/>
        </w:rPr>
        <w:t>Calcd</w:t>
      </w:r>
      <w:proofErr w:type="spellEnd"/>
      <w:r w:rsidRPr="007C45C4">
        <w:rPr>
          <w:rFonts w:cs="Arial"/>
          <w:szCs w:val="15"/>
          <w:lang w:val="en-US"/>
        </w:rPr>
        <w:t xml:space="preserve"> forC</w:t>
      </w:r>
      <w:r w:rsidRPr="007C45C4">
        <w:rPr>
          <w:rFonts w:cs="Arial"/>
          <w:szCs w:val="15"/>
          <w:vertAlign w:val="subscript"/>
          <w:lang w:val="en-US"/>
        </w:rPr>
        <w:t>19</w:t>
      </w:r>
      <w:r w:rsidRPr="007C45C4">
        <w:rPr>
          <w:rFonts w:cs="Arial"/>
          <w:szCs w:val="15"/>
          <w:lang w:val="en-US"/>
        </w:rPr>
        <w:t>H</w:t>
      </w:r>
      <w:r w:rsidRPr="007C45C4">
        <w:rPr>
          <w:rFonts w:cs="Arial"/>
          <w:szCs w:val="15"/>
          <w:vertAlign w:val="subscript"/>
          <w:lang w:val="en-US"/>
        </w:rPr>
        <w:t>16</w:t>
      </w:r>
      <w:r w:rsidRPr="007C45C4">
        <w:rPr>
          <w:rFonts w:cs="Arial"/>
          <w:szCs w:val="15"/>
          <w:lang w:val="en-US"/>
        </w:rPr>
        <w:t>O</w:t>
      </w:r>
      <w:r w:rsidRPr="007C45C4">
        <w:rPr>
          <w:rFonts w:cs="Arial"/>
          <w:szCs w:val="15"/>
          <w:vertAlign w:val="subscript"/>
          <w:lang w:val="en-US"/>
        </w:rPr>
        <w:t>2</w:t>
      </w:r>
      <w:r w:rsidRPr="007C45C4">
        <w:rPr>
          <w:rFonts w:cs="Arial"/>
          <w:szCs w:val="15"/>
          <w:lang w:val="en-US"/>
        </w:rPr>
        <w:t xml:space="preserve">SMo: C, 56.16; H, 3.97; S, 7.87. </w:t>
      </w:r>
      <w:proofErr w:type="gramStart"/>
      <w:r w:rsidRPr="007C45C4">
        <w:rPr>
          <w:rFonts w:cs="Arial"/>
          <w:szCs w:val="15"/>
          <w:lang w:val="en-US"/>
        </w:rPr>
        <w:t>Found:</w:t>
      </w:r>
      <w:proofErr w:type="gramEnd"/>
      <w:r w:rsidRPr="007C45C4">
        <w:rPr>
          <w:rFonts w:cs="Arial"/>
          <w:szCs w:val="15"/>
          <w:lang w:val="en-US"/>
        </w:rPr>
        <w:t xml:space="preserve"> C, 56.41; H, 4.01; S 7.81. </w:t>
      </w:r>
      <w:proofErr w:type="gramStart"/>
      <w:r w:rsidRPr="007C45C4">
        <w:rPr>
          <w:rFonts w:cs="Arial"/>
          <w:bCs/>
          <w:szCs w:val="15"/>
          <w:vertAlign w:val="superscript"/>
          <w:lang w:val="en-US"/>
        </w:rPr>
        <w:t>1</w:t>
      </w:r>
      <w:r w:rsidRPr="007C45C4">
        <w:rPr>
          <w:rFonts w:cs="Arial"/>
          <w:bCs/>
          <w:szCs w:val="15"/>
          <w:lang w:val="en-US"/>
        </w:rPr>
        <w:t>H NMR [C</w:t>
      </w:r>
      <w:r w:rsidRPr="007C45C4">
        <w:rPr>
          <w:rFonts w:cs="Arial"/>
          <w:bCs/>
          <w:szCs w:val="15"/>
          <w:vertAlign w:val="subscript"/>
          <w:lang w:val="en-US"/>
        </w:rPr>
        <w:t>6</w:t>
      </w:r>
      <w:r w:rsidRPr="007C45C4">
        <w:rPr>
          <w:rFonts w:cs="Arial"/>
          <w:bCs/>
          <w:szCs w:val="15"/>
          <w:lang w:val="en-US"/>
        </w:rPr>
        <w:t>D</w:t>
      </w:r>
      <w:r w:rsidRPr="007C45C4">
        <w:rPr>
          <w:rFonts w:cs="Arial"/>
          <w:bCs/>
          <w:szCs w:val="15"/>
          <w:vertAlign w:val="subscript"/>
          <w:lang w:val="en-US"/>
        </w:rPr>
        <w:t>6</w:t>
      </w:r>
      <w:r w:rsidRPr="007C45C4">
        <w:rPr>
          <w:rFonts w:cs="Arial"/>
          <w:bCs/>
          <w:szCs w:val="15"/>
          <w:lang w:val="en-US"/>
        </w:rPr>
        <w:t xml:space="preserve">; 500 MHz; δ ppm; 4:1 mixture of </w:t>
      </w:r>
      <w:r w:rsidRPr="007C45C4">
        <w:rPr>
          <w:rFonts w:cs="Arial"/>
          <w:b/>
          <w:bCs/>
          <w:szCs w:val="15"/>
          <w:lang w:val="en-US"/>
        </w:rPr>
        <w:t>2</w:t>
      </w:r>
      <w:r w:rsidRPr="007C45C4">
        <w:rPr>
          <w:rFonts w:cs="Arial"/>
          <w:bCs/>
          <w:szCs w:val="15"/>
          <w:lang w:val="en-US"/>
        </w:rPr>
        <w:t>-exo (</w:t>
      </w:r>
      <w:r w:rsidRPr="007C45C4">
        <w:rPr>
          <w:rFonts w:cs="Arial"/>
          <w:b/>
          <w:bCs/>
          <w:szCs w:val="15"/>
          <w:lang w:val="en-US"/>
        </w:rPr>
        <w:t>a</w:t>
      </w:r>
      <w:r w:rsidRPr="007C45C4">
        <w:rPr>
          <w:rFonts w:cs="Arial"/>
          <w:bCs/>
          <w:szCs w:val="15"/>
          <w:lang w:val="en-US"/>
        </w:rPr>
        <w:t xml:space="preserve">) and </w:t>
      </w:r>
      <w:r w:rsidRPr="007C45C4">
        <w:rPr>
          <w:rFonts w:cs="Arial"/>
          <w:b/>
          <w:bCs/>
          <w:szCs w:val="15"/>
          <w:lang w:val="en-US"/>
        </w:rPr>
        <w:t>2</w:t>
      </w:r>
      <w:r w:rsidRPr="007C45C4">
        <w:rPr>
          <w:rFonts w:cs="Arial"/>
          <w:bCs/>
          <w:szCs w:val="15"/>
          <w:lang w:val="en-US"/>
        </w:rPr>
        <w:t>-endo (</w:t>
      </w:r>
      <w:r w:rsidRPr="007C45C4">
        <w:rPr>
          <w:rFonts w:cs="Arial"/>
          <w:b/>
          <w:bCs/>
          <w:szCs w:val="15"/>
          <w:lang w:val="en-US"/>
        </w:rPr>
        <w:t>b</w:t>
      </w:r>
      <w:r w:rsidRPr="007C45C4">
        <w:rPr>
          <w:rFonts w:cs="Arial"/>
          <w:bCs/>
          <w:szCs w:val="15"/>
          <w:lang w:val="en-US"/>
        </w:rPr>
        <w:t xml:space="preserve">)]: </w:t>
      </w:r>
      <w:r w:rsidRPr="007C45C4">
        <w:rPr>
          <w:rFonts w:cs="Arial"/>
          <w:bCs/>
          <w:szCs w:val="15"/>
          <w:lang w:val="en-US"/>
        </w:rPr>
        <w:sym w:font="Symbol" w:char="F02D"/>
      </w:r>
      <w:r w:rsidRPr="007C45C4">
        <w:rPr>
          <w:rFonts w:cs="Arial"/>
          <w:bCs/>
          <w:szCs w:val="15"/>
          <w:lang w:val="en-US"/>
        </w:rPr>
        <w:t xml:space="preserve">0.91 and </w:t>
      </w:r>
      <w:r w:rsidRPr="007C45C4">
        <w:rPr>
          <w:rFonts w:cs="Arial"/>
          <w:bCs/>
          <w:szCs w:val="15"/>
          <w:lang w:val="en-US"/>
        </w:rPr>
        <w:sym w:font="Symbol" w:char="F02D"/>
      </w:r>
      <w:r w:rsidRPr="007C45C4">
        <w:rPr>
          <w:rFonts w:cs="Arial"/>
          <w:bCs/>
          <w:szCs w:val="15"/>
          <w:lang w:val="en-US"/>
        </w:rPr>
        <w:t xml:space="preserve">0.80 [2 </w:t>
      </w:r>
      <w:r w:rsidRPr="007C45C4">
        <w:rPr>
          <w:rFonts w:cs="Arial"/>
          <w:bCs/>
          <w:szCs w:val="15"/>
          <w:lang w:val="en-US"/>
        </w:rPr>
        <w:sym w:font="Symbol" w:char="F0B4"/>
      </w:r>
      <w:r w:rsidRPr="007C45C4">
        <w:rPr>
          <w:rFonts w:cs="Arial"/>
          <w:bCs/>
          <w:szCs w:val="15"/>
          <w:lang w:val="en-US"/>
        </w:rPr>
        <w:t xml:space="preserve">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11.0 Hz, 1H of </w:t>
      </w:r>
      <w:r w:rsidRPr="007C45C4">
        <w:rPr>
          <w:rFonts w:cs="Arial"/>
          <w:b/>
          <w:bCs/>
          <w:szCs w:val="15"/>
          <w:lang w:val="en-US"/>
        </w:rPr>
        <w:t>b</w:t>
      </w:r>
      <w:r w:rsidRPr="007C45C4">
        <w:rPr>
          <w:rFonts w:cs="Arial"/>
          <w:bCs/>
          <w:szCs w:val="15"/>
          <w:lang w:val="en-US"/>
        </w:rPr>
        <w:t xml:space="preserve">, </w:t>
      </w:r>
      <w:proofErr w:type="spellStart"/>
      <w:r w:rsidRPr="007C45C4">
        <w:rPr>
          <w:rFonts w:cs="Arial"/>
          <w:bCs/>
          <w:szCs w:val="15"/>
          <w:lang w:val="en-US"/>
        </w:rPr>
        <w:t>H</w:t>
      </w:r>
      <w:r w:rsidRPr="007C45C4">
        <w:rPr>
          <w:rFonts w:cs="Arial"/>
          <w:bCs/>
          <w:i/>
          <w:szCs w:val="15"/>
          <w:vertAlign w:val="superscript"/>
          <w:lang w:val="en-US"/>
        </w:rPr>
        <w:t>anti</w:t>
      </w:r>
      <w:proofErr w:type="spellEnd"/>
      <w:r w:rsidRPr="007C45C4">
        <w:rPr>
          <w:rFonts w:cs="Arial"/>
          <w:bCs/>
          <w:szCs w:val="15"/>
          <w:lang w:val="en-US"/>
        </w:rPr>
        <w:t>, C</w:t>
      </w:r>
      <w:r w:rsidRPr="007C45C4">
        <w:rPr>
          <w:rFonts w:cs="Arial"/>
          <w:bCs/>
          <w:szCs w:val="15"/>
          <w:vertAlign w:val="subscript"/>
          <w:lang w:val="en-US"/>
        </w:rPr>
        <w:t>3</w:t>
      </w:r>
      <w:r w:rsidRPr="007C45C4">
        <w:rPr>
          <w:rFonts w:cs="Arial"/>
          <w:bCs/>
          <w:i/>
          <w:szCs w:val="15"/>
          <w:lang w:val="en-US"/>
        </w:rPr>
        <w:t>H</w:t>
      </w:r>
      <w:r w:rsidRPr="007C45C4">
        <w:rPr>
          <w:rFonts w:cs="Arial"/>
          <w:bCs/>
          <w:szCs w:val="15"/>
          <w:vertAlign w:val="subscript"/>
          <w:lang w:val="en-US"/>
        </w:rPr>
        <w:t>5</w:t>
      </w:r>
      <w:r w:rsidRPr="007C45C4">
        <w:rPr>
          <w:rFonts w:cs="Arial"/>
          <w:bCs/>
          <w:szCs w:val="15"/>
          <w:lang w:val="en-US"/>
        </w:rPr>
        <w:t>)], 0.00 (</w:t>
      </w:r>
      <w:proofErr w:type="spellStart"/>
      <w:r w:rsidRPr="007C45C4">
        <w:rPr>
          <w:rFonts w:cs="Arial"/>
          <w:bCs/>
          <w:szCs w:val="15"/>
          <w:lang w:val="en-US"/>
        </w:rPr>
        <w:t>tt</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11.0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7.4 Hz, 1H of </w:t>
      </w:r>
      <w:r w:rsidRPr="007C45C4">
        <w:rPr>
          <w:rFonts w:cs="Arial"/>
          <w:b/>
          <w:bCs/>
          <w:szCs w:val="15"/>
          <w:lang w:val="en-US"/>
        </w:rPr>
        <w:t>a</w:t>
      </w:r>
      <w:r w:rsidRPr="007C45C4">
        <w:rPr>
          <w:rFonts w:cs="Arial"/>
          <w:bCs/>
          <w:szCs w:val="15"/>
          <w:lang w:val="en-US"/>
        </w:rPr>
        <w:t xml:space="preserve">, </w:t>
      </w:r>
      <w:proofErr w:type="spellStart"/>
      <w:r w:rsidRPr="007C45C4">
        <w:rPr>
          <w:rFonts w:cs="Arial"/>
          <w:bCs/>
          <w:szCs w:val="15"/>
          <w:lang w:val="en-US"/>
        </w:rPr>
        <w:t>H</w:t>
      </w:r>
      <w:r w:rsidRPr="007C45C4">
        <w:rPr>
          <w:rFonts w:cs="Arial"/>
          <w:bCs/>
          <w:i/>
          <w:szCs w:val="15"/>
          <w:vertAlign w:val="superscript"/>
          <w:lang w:val="en-US"/>
        </w:rPr>
        <w:t>meso</w:t>
      </w:r>
      <w:proofErr w:type="spellEnd"/>
      <w:r w:rsidRPr="007C45C4">
        <w:rPr>
          <w:rFonts w:cs="Arial"/>
          <w:bCs/>
          <w:szCs w:val="15"/>
          <w:lang w:val="en-US"/>
        </w:rPr>
        <w:t>, C</w:t>
      </w:r>
      <w:r w:rsidRPr="007C45C4">
        <w:rPr>
          <w:rFonts w:cs="Arial"/>
          <w:bCs/>
          <w:szCs w:val="15"/>
          <w:vertAlign w:val="subscript"/>
          <w:lang w:val="en-US"/>
        </w:rPr>
        <w:t>3</w:t>
      </w:r>
      <w:r w:rsidRPr="007C45C4">
        <w:rPr>
          <w:rFonts w:cs="Arial"/>
          <w:bCs/>
          <w:i/>
          <w:szCs w:val="15"/>
          <w:lang w:val="en-US"/>
        </w:rPr>
        <w:t>H</w:t>
      </w:r>
      <w:r w:rsidRPr="007C45C4">
        <w:rPr>
          <w:rFonts w:cs="Arial"/>
          <w:bCs/>
          <w:szCs w:val="15"/>
          <w:vertAlign w:val="subscript"/>
          <w:lang w:val="en-US"/>
        </w:rPr>
        <w:t>5</w:t>
      </w:r>
      <w:r w:rsidRPr="007C45C4">
        <w:rPr>
          <w:rFonts w:cs="Arial"/>
          <w:bCs/>
          <w:szCs w:val="15"/>
          <w:lang w:val="en-US"/>
        </w:rPr>
        <w:t xml:space="preserve">)), 0.90 and </w:t>
      </w:r>
      <w:r w:rsidRPr="007C45C4">
        <w:rPr>
          <w:rFonts w:cs="Arial"/>
          <w:bCs/>
          <w:szCs w:val="15"/>
          <w:lang w:val="en-US"/>
        </w:rPr>
        <w:sym w:font="Symbol" w:char="F02D"/>
      </w:r>
      <w:r w:rsidRPr="007C45C4">
        <w:rPr>
          <w:rFonts w:cs="Arial"/>
          <w:bCs/>
          <w:szCs w:val="15"/>
          <w:lang w:val="en-US"/>
        </w:rPr>
        <w:t xml:space="preserve">0.97 [2 </w:t>
      </w:r>
      <w:r w:rsidRPr="007C45C4">
        <w:rPr>
          <w:rFonts w:cs="Arial"/>
          <w:bCs/>
          <w:szCs w:val="15"/>
          <w:lang w:val="en-US"/>
        </w:rPr>
        <w:sym w:font="Symbol" w:char="F0B4"/>
      </w:r>
      <w:r w:rsidRPr="007C45C4">
        <w:rPr>
          <w:rFonts w:cs="Arial"/>
          <w:bCs/>
          <w:szCs w:val="15"/>
          <w:lang w:val="en-US"/>
        </w:rPr>
        <w:t xml:space="preserve">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11.0 Hz, 1H of </w:t>
      </w:r>
      <w:r w:rsidRPr="007C45C4">
        <w:rPr>
          <w:rFonts w:cs="Arial"/>
          <w:b/>
          <w:bCs/>
          <w:szCs w:val="15"/>
          <w:lang w:val="en-US"/>
        </w:rPr>
        <w:t>a</w:t>
      </w:r>
      <w:r w:rsidRPr="007C45C4">
        <w:rPr>
          <w:rFonts w:cs="Arial"/>
          <w:bCs/>
          <w:szCs w:val="15"/>
          <w:lang w:val="en-US"/>
        </w:rPr>
        <w:t xml:space="preserve">, </w:t>
      </w:r>
      <w:proofErr w:type="spellStart"/>
      <w:r w:rsidRPr="007C45C4">
        <w:rPr>
          <w:rFonts w:cs="Arial"/>
          <w:bCs/>
          <w:szCs w:val="15"/>
          <w:lang w:val="en-US"/>
        </w:rPr>
        <w:t>H</w:t>
      </w:r>
      <w:r w:rsidRPr="007C45C4">
        <w:rPr>
          <w:rFonts w:cs="Arial"/>
          <w:bCs/>
          <w:i/>
          <w:szCs w:val="15"/>
          <w:vertAlign w:val="superscript"/>
          <w:lang w:val="en-US"/>
        </w:rPr>
        <w:t>anti</w:t>
      </w:r>
      <w:proofErr w:type="spellEnd"/>
      <w:r w:rsidRPr="007C45C4">
        <w:rPr>
          <w:rFonts w:cs="Arial"/>
          <w:bCs/>
          <w:szCs w:val="15"/>
          <w:lang w:val="en-US"/>
        </w:rPr>
        <w:t>, C</w:t>
      </w:r>
      <w:r w:rsidRPr="007C45C4">
        <w:rPr>
          <w:rFonts w:cs="Arial"/>
          <w:bCs/>
          <w:szCs w:val="15"/>
          <w:vertAlign w:val="subscript"/>
          <w:lang w:val="en-US"/>
        </w:rPr>
        <w:t>3</w:t>
      </w:r>
      <w:r w:rsidRPr="007C45C4">
        <w:rPr>
          <w:rFonts w:cs="Arial"/>
          <w:bCs/>
          <w:i/>
          <w:szCs w:val="15"/>
          <w:lang w:val="en-US"/>
        </w:rPr>
        <w:t>H</w:t>
      </w:r>
      <w:r w:rsidRPr="007C45C4">
        <w:rPr>
          <w:rFonts w:cs="Arial"/>
          <w:bCs/>
          <w:szCs w:val="15"/>
          <w:vertAlign w:val="subscript"/>
          <w:lang w:val="en-US"/>
        </w:rPr>
        <w:t>5</w:t>
      </w:r>
      <w:r w:rsidRPr="007C45C4">
        <w:rPr>
          <w:rFonts w:cs="Arial"/>
          <w:bCs/>
          <w:szCs w:val="15"/>
          <w:lang w:val="en-US"/>
        </w:rPr>
        <w:t xml:space="preserve">)], 2.13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7.4 Hz, 2H of </w:t>
      </w:r>
      <w:r w:rsidRPr="007C45C4">
        <w:rPr>
          <w:rFonts w:cs="Arial"/>
          <w:b/>
          <w:bCs/>
          <w:szCs w:val="15"/>
          <w:lang w:val="en-US"/>
        </w:rPr>
        <w:t>a</w:t>
      </w:r>
      <w:r w:rsidRPr="007C45C4">
        <w:rPr>
          <w:rFonts w:cs="Arial"/>
          <w:bCs/>
          <w:szCs w:val="15"/>
          <w:lang w:val="en-US"/>
        </w:rPr>
        <w:t xml:space="preserve">, </w:t>
      </w:r>
      <w:proofErr w:type="spellStart"/>
      <w:r w:rsidRPr="007C45C4">
        <w:rPr>
          <w:rFonts w:cs="Arial"/>
          <w:bCs/>
          <w:szCs w:val="15"/>
          <w:lang w:val="en-US"/>
        </w:rPr>
        <w:t>H</w:t>
      </w:r>
      <w:r w:rsidRPr="007C45C4">
        <w:rPr>
          <w:rFonts w:cs="Arial"/>
          <w:bCs/>
          <w:i/>
          <w:szCs w:val="15"/>
          <w:vertAlign w:val="superscript"/>
          <w:lang w:val="en-US"/>
        </w:rPr>
        <w:t>syn</w:t>
      </w:r>
      <w:proofErr w:type="spellEnd"/>
      <w:r w:rsidRPr="007C45C4">
        <w:rPr>
          <w:rFonts w:cs="Arial"/>
          <w:bCs/>
          <w:szCs w:val="15"/>
          <w:lang w:val="en-US"/>
        </w:rPr>
        <w:t>, C</w:t>
      </w:r>
      <w:r w:rsidRPr="007C45C4">
        <w:rPr>
          <w:rFonts w:cs="Arial"/>
          <w:bCs/>
          <w:szCs w:val="15"/>
          <w:vertAlign w:val="subscript"/>
          <w:lang w:val="en-US"/>
        </w:rPr>
        <w:t>3</w:t>
      </w:r>
      <w:r w:rsidRPr="007C45C4">
        <w:rPr>
          <w:rFonts w:cs="Arial"/>
          <w:bCs/>
          <w:i/>
          <w:szCs w:val="15"/>
          <w:lang w:val="en-US"/>
        </w:rPr>
        <w:t>H</w:t>
      </w:r>
      <w:r w:rsidRPr="007C45C4">
        <w:rPr>
          <w:rFonts w:cs="Arial"/>
          <w:bCs/>
          <w:szCs w:val="15"/>
          <w:vertAlign w:val="subscript"/>
          <w:lang w:val="en-US"/>
        </w:rPr>
        <w:t>5</w:t>
      </w:r>
      <w:r w:rsidRPr="007C45C4">
        <w:rPr>
          <w:rFonts w:cs="Arial"/>
          <w:bCs/>
          <w:szCs w:val="15"/>
          <w:lang w:val="en-US"/>
        </w:rPr>
        <w:t xml:space="preserve">), </w:t>
      </w:r>
      <w:r w:rsidRPr="007C45C4">
        <w:rPr>
          <w:rFonts w:cs="Arial"/>
          <w:bCs/>
          <w:szCs w:val="15"/>
          <w:lang w:val="en-US"/>
        </w:rPr>
        <w:sym w:font="Symbol" w:char="F02D"/>
      </w:r>
      <w:r w:rsidRPr="007C45C4">
        <w:rPr>
          <w:rFonts w:cs="Arial"/>
          <w:bCs/>
          <w:szCs w:val="15"/>
          <w:lang w:val="en-US"/>
        </w:rPr>
        <w:t>3.17 (</w:t>
      </w:r>
      <w:proofErr w:type="spellStart"/>
      <w:r w:rsidRPr="007C45C4">
        <w:rPr>
          <w:rFonts w:cs="Arial"/>
          <w:bCs/>
          <w:szCs w:val="15"/>
          <w:lang w:val="en-US"/>
        </w:rPr>
        <w:t>tt</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11.0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6.4 Hz, 1H of </w:t>
      </w:r>
      <w:r w:rsidRPr="007C45C4">
        <w:rPr>
          <w:rFonts w:cs="Arial"/>
          <w:b/>
          <w:bCs/>
          <w:szCs w:val="15"/>
          <w:lang w:val="en-US"/>
        </w:rPr>
        <w:t>a</w:t>
      </w:r>
      <w:r w:rsidRPr="007C45C4">
        <w:rPr>
          <w:rFonts w:cs="Arial"/>
          <w:bCs/>
          <w:szCs w:val="15"/>
          <w:lang w:val="en-US"/>
        </w:rPr>
        <w:t xml:space="preserve">, </w:t>
      </w:r>
      <w:proofErr w:type="spellStart"/>
      <w:r w:rsidRPr="007C45C4">
        <w:rPr>
          <w:rFonts w:cs="Arial"/>
          <w:bCs/>
          <w:szCs w:val="15"/>
          <w:lang w:val="en-US"/>
        </w:rPr>
        <w:t>H</w:t>
      </w:r>
      <w:r w:rsidRPr="007C45C4">
        <w:rPr>
          <w:rFonts w:cs="Arial"/>
          <w:bCs/>
          <w:i/>
          <w:szCs w:val="15"/>
          <w:vertAlign w:val="superscript"/>
          <w:lang w:val="en-US"/>
        </w:rPr>
        <w:t>meso</w:t>
      </w:r>
      <w:proofErr w:type="spellEnd"/>
      <w:r w:rsidRPr="007C45C4">
        <w:rPr>
          <w:rFonts w:cs="Arial"/>
          <w:bCs/>
          <w:szCs w:val="15"/>
          <w:lang w:val="en-US"/>
        </w:rPr>
        <w:t>, C</w:t>
      </w:r>
      <w:r w:rsidRPr="007C45C4">
        <w:rPr>
          <w:rFonts w:cs="Arial"/>
          <w:bCs/>
          <w:szCs w:val="15"/>
          <w:vertAlign w:val="subscript"/>
          <w:lang w:val="en-US"/>
        </w:rPr>
        <w:t>3</w:t>
      </w:r>
      <w:r w:rsidRPr="007C45C4">
        <w:rPr>
          <w:rFonts w:cs="Arial"/>
          <w:bCs/>
          <w:i/>
          <w:szCs w:val="15"/>
          <w:lang w:val="en-US"/>
        </w:rPr>
        <w:t>H</w:t>
      </w:r>
      <w:r w:rsidRPr="007C45C4">
        <w:rPr>
          <w:rFonts w:cs="Arial"/>
          <w:bCs/>
          <w:szCs w:val="15"/>
          <w:vertAlign w:val="subscript"/>
          <w:lang w:val="en-US"/>
        </w:rPr>
        <w:t>5</w:t>
      </w:r>
      <w:r w:rsidRPr="007C45C4">
        <w:rPr>
          <w:rFonts w:cs="Arial"/>
          <w:bCs/>
          <w:szCs w:val="15"/>
          <w:lang w:val="en-US"/>
        </w:rPr>
        <w:t xml:space="preserve">)), 3.35 (m, 2H of </w:t>
      </w:r>
      <w:proofErr w:type="spellStart"/>
      <w:r w:rsidRPr="007C45C4">
        <w:rPr>
          <w:rFonts w:cs="Arial"/>
          <w:b/>
          <w:bCs/>
          <w:szCs w:val="15"/>
          <w:lang w:val="en-US"/>
        </w:rPr>
        <w:t>b,</w:t>
      </w:r>
      <w:r w:rsidRPr="007C45C4">
        <w:rPr>
          <w:rFonts w:cs="Arial"/>
          <w:bCs/>
          <w:szCs w:val="15"/>
          <w:lang w:val="en-US"/>
        </w:rPr>
        <w:t>H</w:t>
      </w:r>
      <w:r w:rsidRPr="007C45C4">
        <w:rPr>
          <w:rFonts w:cs="Arial"/>
          <w:bCs/>
          <w:i/>
          <w:szCs w:val="15"/>
          <w:vertAlign w:val="superscript"/>
          <w:lang w:val="en-US"/>
        </w:rPr>
        <w:t>syn</w:t>
      </w:r>
      <w:proofErr w:type="spellEnd"/>
      <w:r w:rsidRPr="007C45C4">
        <w:rPr>
          <w:rFonts w:cs="Arial"/>
          <w:bCs/>
          <w:szCs w:val="15"/>
          <w:lang w:val="en-US"/>
        </w:rPr>
        <w:t>, C</w:t>
      </w:r>
      <w:r w:rsidRPr="007C45C4">
        <w:rPr>
          <w:rFonts w:cs="Arial"/>
          <w:bCs/>
          <w:szCs w:val="15"/>
          <w:vertAlign w:val="subscript"/>
          <w:lang w:val="en-US"/>
        </w:rPr>
        <w:t>3</w:t>
      </w:r>
      <w:r w:rsidRPr="007C45C4">
        <w:rPr>
          <w:rFonts w:cs="Arial"/>
          <w:bCs/>
          <w:i/>
          <w:szCs w:val="15"/>
          <w:lang w:val="en-US"/>
        </w:rPr>
        <w:t>H</w:t>
      </w:r>
      <w:r w:rsidRPr="007C45C4">
        <w:rPr>
          <w:rFonts w:cs="Arial"/>
          <w:bCs/>
          <w:szCs w:val="15"/>
          <w:vertAlign w:val="subscript"/>
          <w:lang w:val="en-US"/>
        </w:rPr>
        <w:t>5</w:t>
      </w:r>
      <w:r w:rsidRPr="007C45C4">
        <w:rPr>
          <w:rFonts w:cs="Arial"/>
          <w:bCs/>
          <w:szCs w:val="15"/>
          <w:lang w:val="en-US"/>
        </w:rPr>
        <w:t xml:space="preserve">), 4.06 (m, 2H of </w:t>
      </w:r>
      <w:r w:rsidRPr="007C45C4">
        <w:rPr>
          <w:rFonts w:cs="Arial"/>
          <w:b/>
          <w:bCs/>
          <w:szCs w:val="15"/>
          <w:lang w:val="en-US"/>
        </w:rPr>
        <w:t>a</w:t>
      </w:r>
      <w:r w:rsidRPr="007C45C4">
        <w:rPr>
          <w:rFonts w:cs="Arial"/>
          <w:bCs/>
          <w:szCs w:val="15"/>
          <w:lang w:val="en-US"/>
        </w:rPr>
        <w:t>,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4.14 (</w:t>
      </w:r>
      <w:proofErr w:type="spellStart"/>
      <w:r w:rsidRPr="007C45C4">
        <w:rPr>
          <w:rFonts w:cs="Arial"/>
          <w:bCs/>
          <w:szCs w:val="15"/>
          <w:lang w:val="en-US"/>
        </w:rPr>
        <w:t>ABq</w:t>
      </w:r>
      <w:proofErr w:type="spellEnd"/>
      <w:r w:rsidRPr="007C45C4">
        <w:rPr>
          <w:rFonts w:cs="Arial"/>
          <w:bCs/>
          <w:szCs w:val="15"/>
          <w:lang w:val="en-US"/>
        </w:rPr>
        <w:t xml:space="preserve">, </w:t>
      </w:r>
      <w:r w:rsidRPr="007C45C4">
        <w:rPr>
          <w:rFonts w:cs="Arial"/>
          <w:bCs/>
          <w:szCs w:val="15"/>
          <w:vertAlign w:val="superscript"/>
          <w:lang w:val="en-US"/>
        </w:rPr>
        <w:t>2</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16.2 Hz, </w:t>
      </w:r>
      <w:r w:rsidRPr="007C45C4">
        <w:rPr>
          <w:rFonts w:cs="Arial"/>
          <w:bCs/>
          <w:szCs w:val="15"/>
          <w:lang w:val="en-US"/>
        </w:rPr>
        <w:sym w:font="Symbol" w:char="F044"/>
      </w:r>
      <w:r w:rsidRPr="007C45C4">
        <w:rPr>
          <w:rFonts w:cs="Arial"/>
          <w:bCs/>
          <w:szCs w:val="15"/>
          <w:lang w:val="en-US"/>
        </w:rPr>
        <w:sym w:font="Symbol" w:char="F064"/>
      </w:r>
      <w:r w:rsidRPr="007C45C4">
        <w:rPr>
          <w:rFonts w:cs="Arial"/>
          <w:bCs/>
          <w:szCs w:val="15"/>
          <w:lang w:val="en-US"/>
        </w:rPr>
        <w:t xml:space="preserve"> = 0.12 ppm, 2H of </w:t>
      </w:r>
      <w:r w:rsidRPr="007C45C4">
        <w:rPr>
          <w:rFonts w:cs="Arial"/>
          <w:b/>
          <w:bCs/>
          <w:szCs w:val="15"/>
          <w:lang w:val="en-US"/>
        </w:rPr>
        <w:t>b</w:t>
      </w:r>
      <w:r w:rsidRPr="007C45C4">
        <w:rPr>
          <w:rFonts w:cs="Arial"/>
          <w:bCs/>
          <w:szCs w:val="15"/>
          <w:lang w:val="en-US"/>
        </w:rPr>
        <w:t>,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5.18 (m, 1H of </w:t>
      </w:r>
      <w:r w:rsidRPr="007C45C4">
        <w:rPr>
          <w:rFonts w:cs="Arial"/>
          <w:b/>
          <w:bCs/>
          <w:szCs w:val="15"/>
          <w:lang w:val="en-US"/>
        </w:rPr>
        <w:t>a</w:t>
      </w:r>
      <w:r w:rsidRPr="007C45C4">
        <w:rPr>
          <w:rFonts w:cs="Arial"/>
          <w:bCs/>
          <w:szCs w:val="15"/>
          <w:lang w:val="en-US"/>
        </w:rPr>
        <w:t>,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5</w:t>
      </w:r>
      <w:r w:rsidRPr="007C45C4">
        <w:rPr>
          <w:rFonts w:cs="Arial"/>
          <w:bCs/>
          <w:i/>
          <w:szCs w:val="15"/>
          <w:lang w:val="en-US"/>
        </w:rPr>
        <w:t>H</w:t>
      </w:r>
      <w:r w:rsidRPr="007C45C4">
        <w:rPr>
          <w:rFonts w:cs="Arial"/>
          <w:bCs/>
          <w:szCs w:val="15"/>
          <w:vertAlign w:val="subscript"/>
          <w:lang w:val="en-US"/>
        </w:rPr>
        <w:t>4</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5</w:t>
      </w:r>
      <w:r w:rsidRPr="007C45C4">
        <w:rPr>
          <w:rFonts w:cs="Arial"/>
          <w:bCs/>
          <w:i/>
          <w:szCs w:val="15"/>
          <w:lang w:val="en-US"/>
        </w:rPr>
        <w:t>H</w:t>
      </w:r>
      <w:r w:rsidRPr="007C45C4">
        <w:rPr>
          <w:rFonts w:cs="Arial"/>
          <w:bCs/>
          <w:szCs w:val="15"/>
          <w:vertAlign w:val="subscript"/>
          <w:lang w:val="en-US"/>
        </w:rPr>
        <w:t>4</w:t>
      </w:r>
      <w:r w:rsidRPr="007C45C4">
        <w:rPr>
          <w:rFonts w:cs="Arial"/>
          <w:bCs/>
          <w:szCs w:val="15"/>
          <w:lang w:val="en-US"/>
        </w:rPr>
        <w:t xml:space="preserve">), 5.31 (m, 1H of </w:t>
      </w:r>
      <w:r w:rsidRPr="007C45C4">
        <w:rPr>
          <w:rFonts w:cs="Arial"/>
          <w:b/>
          <w:bCs/>
          <w:szCs w:val="15"/>
          <w:lang w:val="en-US"/>
        </w:rPr>
        <w:t>a</w:t>
      </w:r>
      <w:r w:rsidRPr="007C45C4">
        <w:rPr>
          <w:rFonts w:cs="Arial"/>
          <w:bCs/>
          <w:szCs w:val="15"/>
          <w:lang w:val="en-US"/>
        </w:rPr>
        <w:t>,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5</w:t>
      </w:r>
      <w:r w:rsidRPr="007C45C4">
        <w:rPr>
          <w:rFonts w:cs="Arial"/>
          <w:bCs/>
          <w:i/>
          <w:szCs w:val="15"/>
          <w:lang w:val="en-US"/>
        </w:rPr>
        <w:t>H</w:t>
      </w:r>
      <w:r w:rsidRPr="007C45C4">
        <w:rPr>
          <w:rFonts w:cs="Arial"/>
          <w:bCs/>
          <w:szCs w:val="15"/>
          <w:vertAlign w:val="subscript"/>
          <w:lang w:val="en-US"/>
        </w:rPr>
        <w:t>4</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5</w:t>
      </w:r>
      <w:r w:rsidRPr="007C45C4">
        <w:rPr>
          <w:rFonts w:cs="Arial"/>
          <w:bCs/>
          <w:i/>
          <w:szCs w:val="15"/>
          <w:lang w:val="en-US"/>
        </w:rPr>
        <w:t>H</w:t>
      </w:r>
      <w:r w:rsidRPr="007C45C4">
        <w:rPr>
          <w:rFonts w:cs="Arial"/>
          <w:bCs/>
          <w:szCs w:val="15"/>
          <w:vertAlign w:val="subscript"/>
          <w:lang w:val="en-US"/>
        </w:rPr>
        <w:t>4</w:t>
      </w:r>
      <w:r w:rsidRPr="007C45C4">
        <w:rPr>
          <w:rFonts w:cs="Arial"/>
          <w:bCs/>
          <w:szCs w:val="15"/>
          <w:lang w:val="en-US"/>
        </w:rPr>
        <w:t>), 6.38</w:t>
      </w:r>
      <w:r w:rsidRPr="007C45C4">
        <w:rPr>
          <w:rFonts w:cs="Arial"/>
          <w:bCs/>
          <w:szCs w:val="15"/>
          <w:lang w:val="en-US"/>
        </w:rPr>
        <w:sym w:font="Symbol" w:char="F02D"/>
      </w:r>
      <w:r w:rsidRPr="007C45C4">
        <w:rPr>
          <w:rFonts w:cs="Arial"/>
          <w:bCs/>
          <w:szCs w:val="15"/>
          <w:lang w:val="en-US"/>
        </w:rPr>
        <w:t xml:space="preserve">6.74 (m, 7H of </w:t>
      </w:r>
      <w:r w:rsidRPr="007C45C4">
        <w:rPr>
          <w:rFonts w:cs="Arial"/>
          <w:b/>
          <w:bCs/>
          <w:szCs w:val="15"/>
          <w:lang w:val="en-US"/>
        </w:rPr>
        <w:t>a</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CH</w:t>
      </w:r>
      <w:r w:rsidRPr="007C45C4">
        <w:rPr>
          <w:rFonts w:cs="Arial"/>
          <w:bCs/>
          <w:szCs w:val="15"/>
          <w:vertAlign w:val="subscript"/>
          <w:lang w:val="en-US"/>
        </w:rPr>
        <w:t>2</w:t>
      </w:r>
      <w:r w:rsidRPr="007C45C4">
        <w:rPr>
          <w:rFonts w:cs="Arial"/>
          <w:bCs/>
          <w:szCs w:val="15"/>
          <w:lang w:val="en-US"/>
        </w:rPr>
        <w:t>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7H of </w:t>
      </w:r>
      <w:r w:rsidRPr="007C45C4">
        <w:rPr>
          <w:rFonts w:cs="Arial"/>
          <w:b/>
          <w:bCs/>
          <w:szCs w:val="15"/>
          <w:lang w:val="en-US"/>
        </w:rPr>
        <w:t>b</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CH</w:t>
      </w:r>
      <w:r w:rsidRPr="007C45C4">
        <w:rPr>
          <w:rFonts w:cs="Arial"/>
          <w:bCs/>
          <w:szCs w:val="15"/>
          <w:vertAlign w:val="subscript"/>
          <w:lang w:val="en-US"/>
        </w:rPr>
        <w:t>2</w:t>
      </w:r>
      <w:r w:rsidRPr="007C45C4">
        <w:rPr>
          <w:rFonts w:cs="Arial"/>
          <w:bCs/>
          <w:szCs w:val="15"/>
          <w:lang w:val="en-US"/>
        </w:rPr>
        <w:t>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S).</w:t>
      </w:r>
      <w:proofErr w:type="gramEnd"/>
      <w:r w:rsidRPr="007C45C4">
        <w:rPr>
          <w:rFonts w:cs="Arial"/>
          <w:bCs/>
          <w:szCs w:val="15"/>
          <w:lang w:val="en-US"/>
        </w:rPr>
        <w:t xml:space="preserve"> </w:t>
      </w:r>
      <w:proofErr w:type="gramStart"/>
      <w:r w:rsidRPr="007C45C4">
        <w:rPr>
          <w:rFonts w:cs="Arial"/>
          <w:bCs/>
          <w:szCs w:val="15"/>
          <w:vertAlign w:val="superscript"/>
          <w:lang w:val="en-US"/>
        </w:rPr>
        <w:t>13</w:t>
      </w:r>
      <w:r w:rsidRPr="007C45C4">
        <w:rPr>
          <w:rFonts w:cs="Arial"/>
          <w:bCs/>
          <w:szCs w:val="15"/>
          <w:lang w:val="en-US"/>
        </w:rPr>
        <w:t>C NMR (C</w:t>
      </w:r>
      <w:r w:rsidRPr="007C45C4">
        <w:rPr>
          <w:rFonts w:cs="Arial"/>
          <w:bCs/>
          <w:szCs w:val="15"/>
          <w:vertAlign w:val="subscript"/>
          <w:lang w:val="en-US"/>
        </w:rPr>
        <w:t>6</w:t>
      </w:r>
      <w:r w:rsidRPr="007C45C4">
        <w:rPr>
          <w:rFonts w:cs="Arial"/>
          <w:bCs/>
          <w:szCs w:val="15"/>
          <w:lang w:val="en-US"/>
        </w:rPr>
        <w:t>D</w:t>
      </w:r>
      <w:r w:rsidRPr="007C45C4">
        <w:rPr>
          <w:rFonts w:cs="Arial"/>
          <w:bCs/>
          <w:szCs w:val="15"/>
          <w:vertAlign w:val="subscript"/>
          <w:lang w:val="en-US"/>
        </w:rPr>
        <w:t>6</w:t>
      </w:r>
      <w:r w:rsidRPr="007C45C4">
        <w:rPr>
          <w:rFonts w:cs="Arial"/>
          <w:bCs/>
          <w:szCs w:val="15"/>
          <w:lang w:val="en-US"/>
        </w:rPr>
        <w:t xml:space="preserve">; 125.77 MHz; δ ppm; </w:t>
      </w:r>
      <w:r w:rsidRPr="007C45C4">
        <w:rPr>
          <w:rFonts w:cs="Arial"/>
          <w:b/>
          <w:bCs/>
          <w:szCs w:val="15"/>
          <w:lang w:val="en-US"/>
        </w:rPr>
        <w:t>2</w:t>
      </w:r>
      <w:r w:rsidRPr="007C45C4">
        <w:rPr>
          <w:rFonts w:cs="Arial"/>
          <w:bCs/>
          <w:szCs w:val="15"/>
          <w:lang w:val="en-US"/>
        </w:rPr>
        <w:t>-exo (</w:t>
      </w:r>
      <w:r w:rsidRPr="007C45C4">
        <w:rPr>
          <w:rFonts w:cs="Arial"/>
          <w:b/>
          <w:bCs/>
          <w:szCs w:val="15"/>
          <w:lang w:val="en-US"/>
        </w:rPr>
        <w:t>a</w:t>
      </w:r>
      <w:r w:rsidRPr="007C45C4">
        <w:rPr>
          <w:rFonts w:cs="Arial"/>
          <w:bCs/>
          <w:szCs w:val="15"/>
          <w:lang w:val="en-US"/>
        </w:rPr>
        <w:t xml:space="preserve">) and </w:t>
      </w:r>
      <w:r w:rsidRPr="007C45C4">
        <w:rPr>
          <w:rFonts w:cs="Arial"/>
          <w:b/>
          <w:bCs/>
          <w:szCs w:val="15"/>
          <w:lang w:val="en-US"/>
        </w:rPr>
        <w:t>2</w:t>
      </w:r>
      <w:r w:rsidRPr="007C45C4">
        <w:rPr>
          <w:rFonts w:cs="Arial"/>
          <w:bCs/>
          <w:szCs w:val="15"/>
          <w:lang w:val="en-US"/>
        </w:rPr>
        <w:t>-endo (</w:t>
      </w:r>
      <w:r w:rsidRPr="007C45C4">
        <w:rPr>
          <w:rFonts w:cs="Arial"/>
          <w:b/>
          <w:bCs/>
          <w:szCs w:val="15"/>
          <w:lang w:val="en-US"/>
        </w:rPr>
        <w:t>b</w:t>
      </w:r>
      <w:r w:rsidRPr="007C45C4">
        <w:rPr>
          <w:rFonts w:cs="Arial"/>
          <w:bCs/>
          <w:szCs w:val="15"/>
          <w:lang w:val="en-US"/>
        </w:rPr>
        <w:t xml:space="preserve">)): 28.9 (1C of </w:t>
      </w:r>
      <w:r w:rsidRPr="007C45C4">
        <w:rPr>
          <w:rFonts w:cs="Arial"/>
          <w:b/>
          <w:bCs/>
          <w:szCs w:val="15"/>
          <w:lang w:val="en-US"/>
        </w:rPr>
        <w:t>a</w:t>
      </w:r>
      <w:r w:rsidRPr="007C45C4">
        <w:rPr>
          <w:rFonts w:cs="Arial"/>
          <w:bCs/>
          <w:szCs w:val="15"/>
          <w:lang w:val="en-US"/>
        </w:rPr>
        <w:t xml:space="preserve">, </w:t>
      </w:r>
      <w:r w:rsidRPr="007C45C4">
        <w:rPr>
          <w:rFonts w:cs="Arial"/>
          <w:bCs/>
          <w:i/>
          <w:szCs w:val="15"/>
          <w:lang w:val="en-US"/>
        </w:rPr>
        <w:t>C</w:t>
      </w:r>
      <w:r w:rsidRPr="007C45C4">
        <w:rPr>
          <w:rFonts w:cs="Arial"/>
          <w:bCs/>
          <w:szCs w:val="15"/>
          <w:lang w:val="en-US"/>
        </w:rPr>
        <w:t>H</w:t>
      </w:r>
      <w:r w:rsidRPr="007C45C4">
        <w:rPr>
          <w:rFonts w:cs="Arial"/>
          <w:bCs/>
          <w:szCs w:val="15"/>
          <w:vertAlign w:val="subscript"/>
          <w:lang w:val="en-US"/>
        </w:rPr>
        <w:t>2</w:t>
      </w:r>
      <w:r w:rsidRPr="007C45C4">
        <w:rPr>
          <w:rFonts w:cs="Arial"/>
          <w:bCs/>
          <w:szCs w:val="15"/>
          <w:lang w:val="en-US"/>
        </w:rPr>
        <w:t xml:space="preserve">), 29.5 (1C of </w:t>
      </w:r>
      <w:r w:rsidRPr="007C45C4">
        <w:rPr>
          <w:rFonts w:cs="Arial"/>
          <w:b/>
          <w:bCs/>
          <w:szCs w:val="15"/>
          <w:lang w:val="en-US"/>
        </w:rPr>
        <w:t>b</w:t>
      </w:r>
      <w:r w:rsidRPr="007C45C4">
        <w:rPr>
          <w:rFonts w:cs="Arial"/>
          <w:bCs/>
          <w:szCs w:val="15"/>
          <w:lang w:val="en-US"/>
        </w:rPr>
        <w:t xml:space="preserve">, </w:t>
      </w:r>
      <w:r w:rsidRPr="007C45C4">
        <w:rPr>
          <w:rFonts w:cs="Arial"/>
          <w:bCs/>
          <w:i/>
          <w:szCs w:val="15"/>
          <w:lang w:val="en-US"/>
        </w:rPr>
        <w:t>C</w:t>
      </w:r>
      <w:r w:rsidRPr="007C45C4">
        <w:rPr>
          <w:rFonts w:cs="Arial"/>
          <w:bCs/>
          <w:szCs w:val="15"/>
          <w:lang w:val="en-US"/>
        </w:rPr>
        <w:t>H</w:t>
      </w:r>
      <w:r w:rsidRPr="007C45C4">
        <w:rPr>
          <w:rFonts w:cs="Arial"/>
          <w:bCs/>
          <w:szCs w:val="15"/>
          <w:vertAlign w:val="subscript"/>
          <w:lang w:val="en-US"/>
        </w:rPr>
        <w:t>2</w:t>
      </w:r>
      <w:r w:rsidRPr="007C45C4">
        <w:rPr>
          <w:rFonts w:cs="Arial"/>
          <w:bCs/>
          <w:szCs w:val="15"/>
          <w:lang w:val="en-US"/>
        </w:rPr>
        <w:t xml:space="preserve">), 48.7 (1C of </w:t>
      </w:r>
      <w:r w:rsidRPr="007C45C4">
        <w:rPr>
          <w:rFonts w:cs="Arial"/>
          <w:b/>
          <w:bCs/>
          <w:szCs w:val="15"/>
          <w:lang w:val="en-US"/>
        </w:rPr>
        <w:t>a</w:t>
      </w:r>
      <w:r w:rsidRPr="007C45C4">
        <w:rPr>
          <w:rFonts w:cs="Arial"/>
          <w:bCs/>
          <w:szCs w:val="15"/>
          <w:lang w:val="en-US"/>
        </w:rPr>
        <w:t>, C</w:t>
      </w:r>
      <w:r w:rsidRPr="007C45C4">
        <w:rPr>
          <w:rFonts w:cs="Arial"/>
          <w:bCs/>
          <w:szCs w:val="15"/>
          <w:vertAlign w:val="superscript"/>
          <w:lang w:val="en-US"/>
        </w:rPr>
        <w:t>1/3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3</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 xml:space="preserve">), 49.6 (1C of </w:t>
      </w:r>
      <w:r w:rsidRPr="007C45C4">
        <w:rPr>
          <w:rFonts w:cs="Arial"/>
          <w:b/>
          <w:bCs/>
          <w:szCs w:val="15"/>
          <w:lang w:val="en-US"/>
        </w:rPr>
        <w:t>a</w:t>
      </w:r>
      <w:r w:rsidRPr="007C45C4">
        <w:rPr>
          <w:rFonts w:cs="Arial"/>
          <w:bCs/>
          <w:szCs w:val="15"/>
          <w:lang w:val="en-US"/>
        </w:rPr>
        <w:t>, C</w:t>
      </w:r>
      <w:r w:rsidRPr="007C45C4">
        <w:rPr>
          <w:rFonts w:cs="Arial"/>
          <w:bCs/>
          <w:szCs w:val="15"/>
          <w:vertAlign w:val="superscript"/>
          <w:lang w:val="en-US"/>
        </w:rPr>
        <w:t>1/3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3</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 xml:space="preserve">), 55.2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1/3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3</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 xml:space="preserve">), 55.5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1/3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3</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 xml:space="preserve">), 75.9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78.5 (1C of </w:t>
      </w:r>
      <w:r w:rsidRPr="007C45C4">
        <w:rPr>
          <w:rFonts w:cs="Arial"/>
          <w:b/>
          <w:bCs/>
          <w:szCs w:val="15"/>
          <w:lang w:val="en-US"/>
        </w:rPr>
        <w:t>a</w:t>
      </w:r>
      <w:r w:rsidRPr="007C45C4">
        <w:rPr>
          <w:rFonts w:cs="Arial"/>
          <w:bCs/>
          <w:szCs w:val="15"/>
          <w:lang w:val="en-US"/>
        </w:rPr>
        <w:t>,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84.6 (1C of </w:t>
      </w:r>
      <w:r w:rsidRPr="007C45C4">
        <w:rPr>
          <w:rFonts w:cs="Arial"/>
          <w:b/>
          <w:bCs/>
          <w:szCs w:val="15"/>
          <w:lang w:val="en-US"/>
        </w:rPr>
        <w:t>a</w:t>
      </w:r>
      <w:r w:rsidRPr="007C45C4">
        <w:rPr>
          <w:rFonts w:cs="Arial"/>
          <w:bCs/>
          <w:szCs w:val="15"/>
          <w:lang w:val="en-US"/>
        </w:rPr>
        <w:t>,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3</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 xml:space="preserve">), 90.0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90.07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3</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 xml:space="preserve">), 90.08 (1C of </w:t>
      </w:r>
      <w:r w:rsidRPr="007C45C4">
        <w:rPr>
          <w:rFonts w:cs="Arial"/>
          <w:b/>
          <w:bCs/>
          <w:szCs w:val="15"/>
          <w:lang w:val="en-US"/>
        </w:rPr>
        <w:t>a</w:t>
      </w:r>
      <w:r w:rsidRPr="007C45C4">
        <w:rPr>
          <w:rFonts w:cs="Arial"/>
          <w:bCs/>
          <w:szCs w:val="15"/>
          <w:lang w:val="en-US"/>
        </w:rPr>
        <w:t>,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98.2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100.8 (1C of </w:t>
      </w:r>
      <w:r w:rsidRPr="007C45C4">
        <w:rPr>
          <w:rFonts w:cs="Arial"/>
          <w:b/>
          <w:bCs/>
          <w:szCs w:val="15"/>
          <w:lang w:val="en-US"/>
        </w:rPr>
        <w:t>a</w:t>
      </w:r>
      <w:r w:rsidRPr="007C45C4">
        <w:rPr>
          <w:rFonts w:cs="Arial"/>
          <w:bCs/>
          <w:szCs w:val="15"/>
          <w:lang w:val="en-US"/>
        </w:rPr>
        <w:t>,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111.5 (1C of </w:t>
      </w:r>
      <w:r w:rsidRPr="007C45C4">
        <w:rPr>
          <w:rFonts w:cs="Arial"/>
          <w:b/>
          <w:bCs/>
          <w:szCs w:val="15"/>
          <w:lang w:val="en-US"/>
        </w:rPr>
        <w:t>a</w:t>
      </w:r>
      <w:r w:rsidRPr="007C45C4">
        <w:rPr>
          <w:rFonts w:cs="Arial"/>
          <w:bCs/>
          <w:szCs w:val="15"/>
          <w:lang w:val="en-US"/>
        </w:rPr>
        <w:t>,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00F633EC" w:rsidRPr="007C45C4">
        <w:rPr>
          <w:rFonts w:cs="Arial"/>
          <w:bCs/>
          <w:szCs w:val="15"/>
          <w:lang w:val="en-US"/>
        </w:rPr>
        <w:t>), 111.7</w:t>
      </w:r>
      <w:r w:rsidRPr="007C45C4">
        <w:rPr>
          <w:rFonts w:cs="Arial"/>
          <w:bCs/>
          <w:szCs w:val="15"/>
          <w:lang w:val="en-US"/>
        </w:rPr>
        <w:t xml:space="preserve"> (1C of </w:t>
      </w:r>
      <w:r w:rsidRPr="007C45C4">
        <w:rPr>
          <w:rFonts w:cs="Arial"/>
          <w:b/>
          <w:bCs/>
          <w:szCs w:val="15"/>
          <w:lang w:val="en-US"/>
        </w:rPr>
        <w:t>a</w:t>
      </w:r>
      <w:r w:rsidRPr="007C45C4">
        <w:rPr>
          <w:rFonts w:cs="Arial"/>
          <w:bCs/>
          <w:szCs w:val="15"/>
          <w:lang w:val="en-US"/>
        </w:rPr>
        <w:t>,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00F633EC" w:rsidRPr="007C45C4">
        <w:rPr>
          <w:rFonts w:cs="Arial"/>
          <w:bCs/>
          <w:szCs w:val="15"/>
          <w:lang w:val="en-US"/>
        </w:rPr>
        <w:t>), 112.0</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112.2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122.3, 123.7, 124.2, 124.3, 124.4, 124.6, 124.68, 124.73, 124.8, 125.3, 125.4, 125.8, 127.3, 128.7 (7C of </w:t>
      </w:r>
      <w:r w:rsidRPr="007C45C4">
        <w:rPr>
          <w:rFonts w:cs="Arial"/>
          <w:b/>
          <w:bCs/>
          <w:szCs w:val="15"/>
          <w:lang w:val="en-US"/>
        </w:rPr>
        <w:t>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CH</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7C of </w:t>
      </w:r>
      <w:r w:rsidRPr="007C45C4">
        <w:rPr>
          <w:rFonts w:cs="Arial"/>
          <w:b/>
          <w:bCs/>
          <w:szCs w:val="15"/>
          <w:lang w:val="en-US"/>
        </w:rPr>
        <w:t>b</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CH</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144.2 (1C of </w:t>
      </w:r>
      <w:r w:rsidRPr="007C45C4">
        <w:rPr>
          <w:rFonts w:cs="Arial"/>
          <w:b/>
          <w:bCs/>
          <w:szCs w:val="15"/>
          <w:lang w:val="en-US"/>
        </w:rPr>
        <w:t>a</w:t>
      </w:r>
      <w:r w:rsidRPr="007C45C4">
        <w:rPr>
          <w:rFonts w:cs="Arial"/>
          <w:bCs/>
          <w:szCs w:val="15"/>
          <w:lang w:val="en-US"/>
        </w:rPr>
        <w:t>, C</w:t>
      </w:r>
      <w:r w:rsidRPr="007C45C4">
        <w:rPr>
          <w:rFonts w:cs="Arial"/>
          <w:bCs/>
          <w:szCs w:val="15"/>
          <w:vertAlign w:val="superscript"/>
          <w:lang w:val="en-US"/>
        </w:rPr>
        <w:t>1</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 xml:space="preserve">S), 144.5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1</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 xml:space="preserve">S), 237.9 (1C of </w:t>
      </w:r>
      <w:r w:rsidRPr="007C45C4">
        <w:rPr>
          <w:rFonts w:cs="Arial"/>
          <w:b/>
          <w:bCs/>
          <w:szCs w:val="15"/>
          <w:lang w:val="en-US"/>
        </w:rPr>
        <w:t>a</w:t>
      </w:r>
      <w:r w:rsidRPr="007C45C4">
        <w:rPr>
          <w:rFonts w:cs="Arial"/>
          <w:bCs/>
          <w:szCs w:val="15"/>
          <w:lang w:val="en-US"/>
        </w:rPr>
        <w:t xml:space="preserve">, </w:t>
      </w:r>
      <w:r w:rsidRPr="007C45C4">
        <w:rPr>
          <w:rFonts w:cs="Arial"/>
          <w:bCs/>
          <w:i/>
          <w:szCs w:val="15"/>
          <w:lang w:val="en-US"/>
        </w:rPr>
        <w:t>C</w:t>
      </w:r>
      <w:r w:rsidRPr="007C45C4">
        <w:rPr>
          <w:rFonts w:cs="Arial"/>
          <w:bCs/>
          <w:szCs w:val="15"/>
          <w:lang w:val="en-US"/>
        </w:rPr>
        <w:t xml:space="preserve">O), 238.5 (1C of </w:t>
      </w:r>
      <w:r w:rsidRPr="007C45C4">
        <w:rPr>
          <w:rFonts w:cs="Arial"/>
          <w:b/>
          <w:bCs/>
          <w:szCs w:val="15"/>
          <w:lang w:val="en-US"/>
        </w:rPr>
        <w:t>a</w:t>
      </w:r>
      <w:r w:rsidRPr="007C45C4">
        <w:rPr>
          <w:rFonts w:cs="Arial"/>
          <w:bCs/>
          <w:szCs w:val="15"/>
          <w:lang w:val="en-US"/>
        </w:rPr>
        <w:t xml:space="preserve">, </w:t>
      </w:r>
      <w:r w:rsidRPr="007C45C4">
        <w:rPr>
          <w:rFonts w:cs="Arial"/>
          <w:bCs/>
          <w:i/>
          <w:szCs w:val="15"/>
          <w:lang w:val="en-US"/>
        </w:rPr>
        <w:t>C</w:t>
      </w:r>
      <w:r w:rsidRPr="007C45C4">
        <w:rPr>
          <w:rFonts w:cs="Arial"/>
          <w:bCs/>
          <w:szCs w:val="15"/>
          <w:lang w:val="en-US"/>
        </w:rPr>
        <w:t xml:space="preserve">O), 240,8 (1C of </w:t>
      </w:r>
      <w:r w:rsidRPr="007C45C4">
        <w:rPr>
          <w:rFonts w:cs="Arial"/>
          <w:b/>
          <w:bCs/>
          <w:szCs w:val="15"/>
          <w:lang w:val="en-US"/>
        </w:rPr>
        <w:t>b</w:t>
      </w:r>
      <w:r w:rsidRPr="007C45C4">
        <w:rPr>
          <w:rFonts w:cs="Arial"/>
          <w:bCs/>
          <w:szCs w:val="15"/>
          <w:lang w:val="en-US"/>
        </w:rPr>
        <w:t xml:space="preserve">, </w:t>
      </w:r>
      <w:r w:rsidRPr="007C45C4">
        <w:rPr>
          <w:rFonts w:cs="Arial"/>
          <w:bCs/>
          <w:i/>
          <w:szCs w:val="15"/>
          <w:lang w:val="en-US"/>
        </w:rPr>
        <w:t>C</w:t>
      </w:r>
      <w:r w:rsidRPr="007C45C4">
        <w:rPr>
          <w:rFonts w:cs="Arial"/>
          <w:bCs/>
          <w:szCs w:val="15"/>
          <w:lang w:val="en-US"/>
        </w:rPr>
        <w:t xml:space="preserve">O), 241.5 (1C of </w:t>
      </w:r>
      <w:r w:rsidRPr="007C45C4">
        <w:rPr>
          <w:rFonts w:cs="Arial"/>
          <w:b/>
          <w:bCs/>
          <w:szCs w:val="15"/>
          <w:lang w:val="en-US"/>
        </w:rPr>
        <w:t>b</w:t>
      </w:r>
      <w:r w:rsidRPr="007C45C4">
        <w:rPr>
          <w:rFonts w:cs="Arial"/>
          <w:bCs/>
          <w:szCs w:val="15"/>
          <w:lang w:val="en-US"/>
        </w:rPr>
        <w:t xml:space="preserve">, </w:t>
      </w:r>
      <w:r w:rsidRPr="007C45C4">
        <w:rPr>
          <w:rFonts w:cs="Arial"/>
          <w:bCs/>
          <w:i/>
          <w:szCs w:val="15"/>
          <w:lang w:val="en-US"/>
        </w:rPr>
        <w:t>C</w:t>
      </w:r>
      <w:r w:rsidRPr="007C45C4">
        <w:rPr>
          <w:rFonts w:cs="Arial"/>
          <w:bCs/>
          <w:szCs w:val="15"/>
          <w:lang w:val="en-US"/>
        </w:rPr>
        <w:t>O).</w:t>
      </w:r>
      <w:proofErr w:type="gramEnd"/>
      <w:r w:rsidRPr="007C45C4">
        <w:rPr>
          <w:rFonts w:cs="Arial"/>
          <w:bCs/>
          <w:szCs w:val="15"/>
          <w:lang w:val="en-US"/>
        </w:rPr>
        <w:t xml:space="preserve"> </w:t>
      </w:r>
      <w:proofErr w:type="gramStart"/>
      <w:r w:rsidRPr="007C45C4">
        <w:rPr>
          <w:rFonts w:cs="Arial"/>
          <w:szCs w:val="15"/>
          <w:lang w:val="en-US"/>
        </w:rPr>
        <w:t>IR(</w:t>
      </w:r>
      <w:proofErr w:type="gramEnd"/>
      <w:r w:rsidRPr="007C45C4">
        <w:rPr>
          <w:rFonts w:cs="Arial"/>
          <w:szCs w:val="15"/>
          <w:lang w:val="en-US"/>
        </w:rPr>
        <w:t>ATR; cm</w:t>
      </w:r>
      <w:r w:rsidRPr="007C45C4">
        <w:rPr>
          <w:rFonts w:cs="Arial"/>
          <w:szCs w:val="15"/>
          <w:vertAlign w:val="superscript"/>
          <w:lang w:val="en-US"/>
        </w:rPr>
        <w:t>–1</w:t>
      </w:r>
      <w:r w:rsidRPr="007C45C4">
        <w:rPr>
          <w:rFonts w:cs="Arial"/>
          <w:szCs w:val="15"/>
          <w:lang w:val="en-US"/>
        </w:rPr>
        <w:t>):</w:t>
      </w:r>
      <w:r w:rsidRPr="007C45C4">
        <w:rPr>
          <w:rFonts w:cs="Arial"/>
          <w:bCs/>
          <w:szCs w:val="15"/>
          <w:lang w:val="en-US"/>
        </w:rPr>
        <w:t xml:space="preserve"> 1938 vs [</w:t>
      </w:r>
      <w:proofErr w:type="spellStart"/>
      <w:r w:rsidRPr="007C45C4">
        <w:rPr>
          <w:rFonts w:cs="Arial"/>
          <w:bCs/>
          <w:szCs w:val="15"/>
          <w:lang w:val="en-US"/>
        </w:rPr>
        <w:t>ν</w:t>
      </w:r>
      <w:r w:rsidRPr="007C45C4">
        <w:rPr>
          <w:rFonts w:cs="Arial"/>
          <w:bCs/>
          <w:szCs w:val="15"/>
          <w:vertAlign w:val="subscript"/>
          <w:lang w:val="en-US"/>
        </w:rPr>
        <w:t>a</w:t>
      </w:r>
      <w:proofErr w:type="spellEnd"/>
      <w:r w:rsidRPr="007C45C4">
        <w:rPr>
          <w:rFonts w:cs="Arial"/>
          <w:bCs/>
          <w:szCs w:val="15"/>
          <w:lang w:val="en-US"/>
        </w:rPr>
        <w:t>(CO)], 1860 vs [</w:t>
      </w:r>
      <w:proofErr w:type="spellStart"/>
      <w:r w:rsidRPr="007C45C4">
        <w:rPr>
          <w:rFonts w:cs="Arial"/>
          <w:bCs/>
          <w:szCs w:val="15"/>
          <w:lang w:val="en-US"/>
        </w:rPr>
        <w:t>ν</w:t>
      </w:r>
      <w:r w:rsidRPr="007C45C4">
        <w:rPr>
          <w:rFonts w:cs="Arial"/>
          <w:bCs/>
          <w:szCs w:val="15"/>
          <w:vertAlign w:val="subscript"/>
          <w:lang w:val="en-US"/>
        </w:rPr>
        <w:t>s</w:t>
      </w:r>
      <w:proofErr w:type="spellEnd"/>
      <w:r w:rsidRPr="007C45C4">
        <w:rPr>
          <w:rFonts w:cs="Arial"/>
          <w:bCs/>
          <w:szCs w:val="15"/>
          <w:lang w:val="en-US"/>
        </w:rPr>
        <w:t>(CO)].</w:t>
      </w:r>
    </w:p>
    <w:p w14:paraId="7E56BCCA" w14:textId="77777777" w:rsidR="005A5FB8" w:rsidRPr="007C45C4" w:rsidRDefault="00AE37FC" w:rsidP="005A5FB8">
      <w:pPr>
        <w:pStyle w:val="RSCB06BHeadingSub-Section"/>
        <w:rPr>
          <w:lang w:val="en-US"/>
        </w:rPr>
      </w:pPr>
      <w:r w:rsidRPr="007C45C4">
        <w:rPr>
          <w:lang w:val="en-US"/>
        </w:rPr>
        <w:t>Synthesis of [(</w:t>
      </w:r>
      <w:r w:rsidRPr="007C45C4">
        <w:rPr>
          <w:i/>
          <w:lang w:val="en-US"/>
        </w:rPr>
        <w:t>η</w:t>
      </w:r>
      <w:r w:rsidRPr="007C45C4">
        <w:rPr>
          <w:vertAlign w:val="superscript"/>
          <w:lang w:val="en-US"/>
        </w:rPr>
        <w:t>5</w:t>
      </w:r>
      <w:r w:rsidRPr="007C45C4">
        <w:rPr>
          <w:lang w:val="en-US"/>
        </w:rPr>
        <w:t>-C</w:t>
      </w:r>
      <w:r w:rsidRPr="007C45C4">
        <w:rPr>
          <w:vertAlign w:val="subscript"/>
          <w:lang w:val="en-US"/>
        </w:rPr>
        <w:t>5</w:t>
      </w:r>
      <w:r w:rsidRPr="007C45C4">
        <w:rPr>
          <w:lang w:val="en-US"/>
        </w:rPr>
        <w:t>H</w:t>
      </w:r>
      <w:r w:rsidRPr="007C45C4">
        <w:rPr>
          <w:vertAlign w:val="subscript"/>
          <w:lang w:val="en-US"/>
        </w:rPr>
        <w:t>4</w:t>
      </w:r>
      <w:r w:rsidRPr="007C45C4">
        <w:rPr>
          <w:lang w:val="en-US"/>
        </w:rPr>
        <w:t>CH</w:t>
      </w:r>
      <w:r w:rsidRPr="007C45C4">
        <w:rPr>
          <w:vertAlign w:val="subscript"/>
          <w:lang w:val="en-US"/>
        </w:rPr>
        <w:t>2</w:t>
      </w:r>
      <w:r w:rsidRPr="007C45C4">
        <w:rPr>
          <w:lang w:val="en-US"/>
        </w:rPr>
        <w:t>C</w:t>
      </w:r>
      <w:r w:rsidRPr="007C45C4">
        <w:rPr>
          <w:vertAlign w:val="subscript"/>
          <w:lang w:val="en-US"/>
        </w:rPr>
        <w:t>4</w:t>
      </w:r>
      <w:r w:rsidRPr="007C45C4">
        <w:rPr>
          <w:lang w:val="en-US"/>
        </w:rPr>
        <w:t>H</w:t>
      </w:r>
      <w:r w:rsidRPr="007C45C4">
        <w:rPr>
          <w:vertAlign w:val="subscript"/>
          <w:lang w:val="en-US"/>
        </w:rPr>
        <w:t>3</w:t>
      </w:r>
      <w:r w:rsidRPr="007C45C4">
        <w:rPr>
          <w:lang w:val="en-US"/>
        </w:rPr>
        <w:t>S</w:t>
      </w:r>
      <w:proofErr w:type="gramStart"/>
      <w:r w:rsidRPr="007C45C4">
        <w:rPr>
          <w:lang w:val="en-US"/>
        </w:rPr>
        <w:t>)Mo</w:t>
      </w:r>
      <w:proofErr w:type="gramEnd"/>
      <w:r w:rsidRPr="007C45C4">
        <w:rPr>
          <w:lang w:val="en-US"/>
        </w:rPr>
        <w:t>(</w:t>
      </w:r>
      <w:proofErr w:type="spellStart"/>
      <w:r w:rsidRPr="007C45C4">
        <w:rPr>
          <w:lang w:val="en-US"/>
        </w:rPr>
        <w:t>NCMe</w:t>
      </w:r>
      <w:proofErr w:type="spellEnd"/>
      <w:r w:rsidRPr="007C45C4">
        <w:rPr>
          <w:lang w:val="en-US"/>
        </w:rPr>
        <w:t>)</w:t>
      </w:r>
      <w:r w:rsidRPr="007C45C4">
        <w:rPr>
          <w:vertAlign w:val="subscript"/>
          <w:lang w:val="en-US"/>
        </w:rPr>
        <w:t>2</w:t>
      </w:r>
      <w:r w:rsidRPr="007C45C4">
        <w:rPr>
          <w:lang w:val="en-US"/>
        </w:rPr>
        <w:t>(CO)</w:t>
      </w:r>
      <w:r w:rsidRPr="007C45C4">
        <w:rPr>
          <w:vertAlign w:val="subscript"/>
          <w:lang w:val="en-US"/>
        </w:rPr>
        <w:t>2</w:t>
      </w:r>
      <w:r w:rsidRPr="007C45C4">
        <w:rPr>
          <w:lang w:val="en-US"/>
        </w:rPr>
        <w:t>][BF</w:t>
      </w:r>
      <w:r w:rsidRPr="007C45C4">
        <w:rPr>
          <w:vertAlign w:val="subscript"/>
          <w:lang w:val="en-US"/>
        </w:rPr>
        <w:t>4</w:t>
      </w:r>
      <w:r w:rsidRPr="007C45C4">
        <w:rPr>
          <w:lang w:val="en-US"/>
        </w:rPr>
        <w:t>] (3)</w:t>
      </w:r>
    </w:p>
    <w:p w14:paraId="60958359" w14:textId="77777777" w:rsidR="005A5FB8" w:rsidRPr="007C45C4" w:rsidRDefault="00AE37FC" w:rsidP="005A5FB8">
      <w:pPr>
        <w:pStyle w:val="RSCB02ArticleText"/>
        <w:rPr>
          <w:rFonts w:cs="Arial"/>
          <w:bCs/>
          <w:szCs w:val="15"/>
          <w:lang w:val="en-US"/>
        </w:rPr>
      </w:pPr>
      <w:r w:rsidRPr="007C45C4">
        <w:rPr>
          <w:rFonts w:cs="Arial"/>
          <w:bCs/>
          <w:szCs w:val="15"/>
          <w:lang w:val="en-US"/>
        </w:rPr>
        <w:t xml:space="preserve">The flame-dried </w:t>
      </w:r>
      <w:proofErr w:type="spellStart"/>
      <w:r w:rsidRPr="007C45C4">
        <w:rPr>
          <w:rFonts w:cs="Arial"/>
          <w:bCs/>
          <w:szCs w:val="15"/>
          <w:lang w:val="en-US"/>
        </w:rPr>
        <w:t>S</w:t>
      </w:r>
      <w:r w:rsidR="00A00696" w:rsidRPr="007C45C4">
        <w:rPr>
          <w:rFonts w:cs="Arial"/>
          <w:bCs/>
          <w:szCs w:val="15"/>
          <w:lang w:val="en-US"/>
        </w:rPr>
        <w:t>c</w:t>
      </w:r>
      <w:r w:rsidRPr="007C45C4">
        <w:rPr>
          <w:rFonts w:cs="Arial"/>
          <w:bCs/>
          <w:szCs w:val="15"/>
          <w:lang w:val="en-US"/>
        </w:rPr>
        <w:t>hlenk</w:t>
      </w:r>
      <w:proofErr w:type="spellEnd"/>
      <w:r w:rsidRPr="007C45C4">
        <w:rPr>
          <w:rFonts w:cs="Arial"/>
          <w:bCs/>
          <w:szCs w:val="15"/>
          <w:lang w:val="en-US"/>
        </w:rPr>
        <w:t xml:space="preserve"> tube was charged with 808 mg of </w:t>
      </w:r>
      <w:proofErr w:type="gramStart"/>
      <w:r w:rsidRPr="007C45C4">
        <w:rPr>
          <w:rFonts w:cs="Arial"/>
          <w:b/>
          <w:bCs/>
          <w:szCs w:val="15"/>
          <w:lang w:val="en-US"/>
        </w:rPr>
        <w:t>2</w:t>
      </w:r>
      <w:proofErr w:type="gramEnd"/>
      <w:r w:rsidRPr="007C45C4">
        <w:rPr>
          <w:rFonts w:cs="Arial"/>
          <w:bCs/>
          <w:szCs w:val="15"/>
          <w:lang w:val="en-US"/>
        </w:rPr>
        <w:t xml:space="preserve"> (2 </w:t>
      </w:r>
      <w:proofErr w:type="spellStart"/>
      <w:r w:rsidRPr="007C45C4">
        <w:rPr>
          <w:rFonts w:cs="Arial"/>
          <w:bCs/>
          <w:szCs w:val="15"/>
          <w:lang w:val="en-US"/>
        </w:rPr>
        <w:t>mmol</w:t>
      </w:r>
      <w:proofErr w:type="spellEnd"/>
      <w:r w:rsidRPr="007C45C4">
        <w:rPr>
          <w:rFonts w:cs="Arial"/>
          <w:bCs/>
          <w:szCs w:val="15"/>
          <w:lang w:val="en-US"/>
        </w:rPr>
        <w:t>) and complex was dissolved in mixture of 10 mL CH</w:t>
      </w:r>
      <w:r w:rsidRPr="007C45C4">
        <w:rPr>
          <w:rFonts w:cs="Arial"/>
          <w:bCs/>
          <w:szCs w:val="15"/>
          <w:vertAlign w:val="subscript"/>
          <w:lang w:val="en-US"/>
        </w:rPr>
        <w:t>2</w:t>
      </w:r>
      <w:r w:rsidRPr="007C45C4">
        <w:rPr>
          <w:rFonts w:cs="Arial"/>
          <w:bCs/>
          <w:szCs w:val="15"/>
          <w:lang w:val="en-US"/>
        </w:rPr>
        <w:t>Cl</w:t>
      </w:r>
      <w:r w:rsidRPr="007C45C4">
        <w:rPr>
          <w:rFonts w:cs="Arial"/>
          <w:bCs/>
          <w:szCs w:val="15"/>
          <w:vertAlign w:val="subscript"/>
          <w:lang w:val="en-US"/>
        </w:rPr>
        <w:t>2</w:t>
      </w:r>
      <w:r w:rsidRPr="007C45C4">
        <w:rPr>
          <w:rFonts w:cs="Arial"/>
          <w:bCs/>
          <w:szCs w:val="15"/>
          <w:lang w:val="en-US"/>
        </w:rPr>
        <w:t xml:space="preserve"> and 209 </w:t>
      </w:r>
      <w:r w:rsidRPr="007C45C4">
        <w:rPr>
          <w:rFonts w:cs="Arial"/>
          <w:bCs/>
          <w:szCs w:val="15"/>
          <w:lang w:val="en-US"/>
        </w:rPr>
        <w:sym w:font="Symbol" w:char="F06D"/>
      </w:r>
      <w:r w:rsidRPr="007C45C4">
        <w:rPr>
          <w:rFonts w:cs="Arial"/>
          <w:bCs/>
          <w:szCs w:val="15"/>
          <w:lang w:val="en-US"/>
        </w:rPr>
        <w:t xml:space="preserve">L (4 </w:t>
      </w:r>
      <w:proofErr w:type="spellStart"/>
      <w:r w:rsidRPr="007C45C4">
        <w:rPr>
          <w:rFonts w:cs="Arial"/>
          <w:bCs/>
          <w:szCs w:val="15"/>
          <w:lang w:val="en-US"/>
        </w:rPr>
        <w:t>mmol</w:t>
      </w:r>
      <w:proofErr w:type="spellEnd"/>
      <w:r w:rsidRPr="007C45C4">
        <w:rPr>
          <w:rFonts w:cs="Arial"/>
          <w:bCs/>
          <w:szCs w:val="15"/>
          <w:lang w:val="en-US"/>
        </w:rPr>
        <w:t xml:space="preserve">) </w:t>
      </w:r>
      <w:proofErr w:type="spellStart"/>
      <w:r w:rsidRPr="007C45C4">
        <w:rPr>
          <w:rFonts w:cs="Arial"/>
          <w:bCs/>
          <w:szCs w:val="15"/>
          <w:lang w:val="en-US"/>
        </w:rPr>
        <w:t>MeC</w:t>
      </w:r>
      <w:r w:rsidR="00D6524A" w:rsidRPr="007C45C4">
        <w:rPr>
          <w:rFonts w:cs="Arial"/>
          <w:bCs/>
          <w:szCs w:val="15"/>
          <w:lang w:val="en-US"/>
        </w:rPr>
        <w:t>N</w:t>
      </w:r>
      <w:proofErr w:type="spellEnd"/>
      <w:r w:rsidR="00D6524A" w:rsidRPr="007C45C4">
        <w:rPr>
          <w:rFonts w:cs="Arial"/>
          <w:bCs/>
          <w:szCs w:val="15"/>
          <w:lang w:val="en-US"/>
        </w:rPr>
        <w:t>. The solution was cooled to 0°</w:t>
      </w:r>
      <w:r w:rsidRPr="007C45C4">
        <w:rPr>
          <w:rFonts w:cs="Arial"/>
          <w:bCs/>
          <w:szCs w:val="15"/>
          <w:lang w:val="en-US"/>
        </w:rPr>
        <w:t xml:space="preserve">C and 274 </w:t>
      </w:r>
      <w:r w:rsidRPr="007C45C4">
        <w:rPr>
          <w:rFonts w:cs="Arial"/>
          <w:bCs/>
          <w:szCs w:val="15"/>
          <w:lang w:val="en-US"/>
        </w:rPr>
        <w:sym w:font="Symbol" w:char="F06D"/>
      </w:r>
      <w:r w:rsidRPr="007C45C4">
        <w:rPr>
          <w:rFonts w:cs="Arial"/>
          <w:bCs/>
          <w:szCs w:val="15"/>
          <w:lang w:val="en-US"/>
        </w:rPr>
        <w:t>L of HBF</w:t>
      </w:r>
      <w:r w:rsidRPr="007C45C4">
        <w:rPr>
          <w:rFonts w:cs="Arial"/>
          <w:bCs/>
          <w:szCs w:val="15"/>
          <w:vertAlign w:val="subscript"/>
          <w:lang w:val="en-US"/>
        </w:rPr>
        <w:t>4</w:t>
      </w:r>
      <w:r w:rsidR="00D6524A" w:rsidRPr="007C45C4">
        <w:rPr>
          <w:rFonts w:cstheme="minorHAnsi"/>
          <w:bCs/>
          <w:szCs w:val="15"/>
          <w:lang w:val="en-US"/>
        </w:rPr>
        <w:t>∙</w:t>
      </w:r>
      <w:r w:rsidRPr="007C45C4">
        <w:rPr>
          <w:rFonts w:cs="Arial"/>
          <w:bCs/>
          <w:szCs w:val="15"/>
          <w:lang w:val="en-US"/>
        </w:rPr>
        <w:t>Et</w:t>
      </w:r>
      <w:r w:rsidRPr="007C45C4">
        <w:rPr>
          <w:rFonts w:cs="Arial"/>
          <w:bCs/>
          <w:szCs w:val="15"/>
          <w:vertAlign w:val="subscript"/>
          <w:lang w:val="en-US"/>
        </w:rPr>
        <w:t>2</w:t>
      </w:r>
      <w:r w:rsidRPr="007C45C4">
        <w:rPr>
          <w:rFonts w:cs="Arial"/>
          <w:bCs/>
          <w:szCs w:val="15"/>
          <w:lang w:val="en-US"/>
        </w:rPr>
        <w:t xml:space="preserve">O (2 </w:t>
      </w:r>
      <w:proofErr w:type="spellStart"/>
      <w:r w:rsidRPr="007C45C4">
        <w:rPr>
          <w:rFonts w:cs="Arial"/>
          <w:bCs/>
          <w:szCs w:val="15"/>
          <w:lang w:val="en-US"/>
        </w:rPr>
        <w:t>mmol</w:t>
      </w:r>
      <w:proofErr w:type="spellEnd"/>
      <w:r w:rsidRPr="007C45C4">
        <w:rPr>
          <w:rFonts w:cs="Arial"/>
          <w:bCs/>
          <w:szCs w:val="15"/>
          <w:lang w:val="en-US"/>
        </w:rPr>
        <w:t>) was added dropwise within 30 minutes. After that, the mixture was allowed to warm to room temperature and stirred overnight. Then, solvents were vacuum evaporated and oily residue was washed three times with 7 mL of Et</w:t>
      </w:r>
      <w:r w:rsidRPr="007C45C4">
        <w:rPr>
          <w:rFonts w:cs="Arial"/>
          <w:bCs/>
          <w:szCs w:val="15"/>
          <w:vertAlign w:val="subscript"/>
          <w:lang w:val="en-US"/>
        </w:rPr>
        <w:t>2</w:t>
      </w:r>
      <w:r w:rsidRPr="007C45C4">
        <w:rPr>
          <w:rFonts w:cs="Arial"/>
          <w:bCs/>
          <w:szCs w:val="15"/>
          <w:lang w:val="en-US"/>
        </w:rPr>
        <w:t>O. Finally, the crude product was recrystallized from CH</w:t>
      </w:r>
      <w:r w:rsidRPr="007C45C4">
        <w:rPr>
          <w:rFonts w:cs="Arial"/>
          <w:bCs/>
          <w:szCs w:val="15"/>
          <w:vertAlign w:val="subscript"/>
          <w:lang w:val="en-US"/>
        </w:rPr>
        <w:t>2</w:t>
      </w:r>
      <w:r w:rsidRPr="007C45C4">
        <w:rPr>
          <w:rFonts w:cs="Arial"/>
          <w:bCs/>
          <w:szCs w:val="15"/>
          <w:lang w:val="en-US"/>
        </w:rPr>
        <w:t>Cl</w:t>
      </w:r>
      <w:r w:rsidRPr="007C45C4">
        <w:rPr>
          <w:rFonts w:cs="Arial"/>
          <w:bCs/>
          <w:szCs w:val="15"/>
          <w:vertAlign w:val="subscript"/>
          <w:lang w:val="en-US"/>
        </w:rPr>
        <w:t>2</w:t>
      </w:r>
      <w:r w:rsidRPr="007C45C4">
        <w:rPr>
          <w:rFonts w:cs="Arial"/>
          <w:bCs/>
          <w:szCs w:val="15"/>
          <w:lang w:val="en-US"/>
        </w:rPr>
        <w:t>/Et</w:t>
      </w:r>
      <w:r w:rsidRPr="007C45C4">
        <w:rPr>
          <w:rFonts w:cs="Arial"/>
          <w:bCs/>
          <w:szCs w:val="15"/>
          <w:vertAlign w:val="subscript"/>
          <w:lang w:val="en-US"/>
        </w:rPr>
        <w:t>2</w:t>
      </w:r>
      <w:r w:rsidRPr="007C45C4">
        <w:rPr>
          <w:rFonts w:cs="Arial"/>
          <w:bCs/>
          <w:szCs w:val="15"/>
          <w:lang w:val="en-US"/>
        </w:rPr>
        <w:t xml:space="preserve">O mixture to afford orange powder of </w:t>
      </w:r>
      <w:proofErr w:type="gramStart"/>
      <w:r w:rsidRPr="007C45C4">
        <w:rPr>
          <w:rFonts w:cs="Arial"/>
          <w:b/>
          <w:bCs/>
          <w:szCs w:val="15"/>
          <w:lang w:val="en-US"/>
        </w:rPr>
        <w:t>3</w:t>
      </w:r>
      <w:proofErr w:type="gramEnd"/>
      <w:r w:rsidRPr="007C45C4">
        <w:rPr>
          <w:rFonts w:cs="Arial"/>
          <w:bCs/>
          <w:szCs w:val="15"/>
          <w:lang w:val="en-US"/>
        </w:rPr>
        <w:t xml:space="preserve"> (968 mg, 1.81 </w:t>
      </w:r>
      <w:proofErr w:type="spellStart"/>
      <w:r w:rsidRPr="007C45C4">
        <w:rPr>
          <w:rFonts w:cs="Arial"/>
          <w:bCs/>
          <w:szCs w:val="15"/>
          <w:lang w:val="en-US"/>
        </w:rPr>
        <w:t>mmol</w:t>
      </w:r>
      <w:proofErr w:type="spellEnd"/>
      <w:r w:rsidRPr="007C45C4">
        <w:rPr>
          <w:rFonts w:cs="Arial"/>
          <w:bCs/>
          <w:szCs w:val="15"/>
          <w:lang w:val="en-US"/>
        </w:rPr>
        <w:t>, 91%).</w:t>
      </w:r>
      <w:proofErr w:type="spellStart"/>
      <w:r w:rsidRPr="007C45C4">
        <w:rPr>
          <w:rFonts w:cs="Arial"/>
          <w:szCs w:val="15"/>
          <w:lang w:val="en-US"/>
        </w:rPr>
        <w:t>Calcd</w:t>
      </w:r>
      <w:proofErr w:type="spellEnd"/>
      <w:r w:rsidRPr="007C45C4">
        <w:rPr>
          <w:rFonts w:cs="Arial"/>
          <w:szCs w:val="15"/>
          <w:lang w:val="en-US"/>
        </w:rPr>
        <w:t xml:space="preserve"> forC</w:t>
      </w:r>
      <w:r w:rsidRPr="007C45C4">
        <w:rPr>
          <w:rFonts w:cs="Arial"/>
          <w:szCs w:val="15"/>
          <w:vertAlign w:val="subscript"/>
          <w:lang w:val="en-US"/>
        </w:rPr>
        <w:t>20</w:t>
      </w:r>
      <w:r w:rsidRPr="007C45C4">
        <w:rPr>
          <w:rFonts w:cs="Arial"/>
          <w:szCs w:val="15"/>
          <w:lang w:val="en-US"/>
        </w:rPr>
        <w:t>H</w:t>
      </w:r>
      <w:r w:rsidRPr="007C45C4">
        <w:rPr>
          <w:rFonts w:cs="Arial"/>
          <w:szCs w:val="15"/>
          <w:vertAlign w:val="subscript"/>
          <w:lang w:val="en-US"/>
        </w:rPr>
        <w:t>17</w:t>
      </w:r>
      <w:r w:rsidRPr="007C45C4">
        <w:rPr>
          <w:rFonts w:cs="Arial"/>
          <w:szCs w:val="15"/>
          <w:lang w:val="en-US"/>
        </w:rPr>
        <w:t>N</w:t>
      </w:r>
      <w:r w:rsidRPr="007C45C4">
        <w:rPr>
          <w:rFonts w:cs="Arial"/>
          <w:szCs w:val="15"/>
          <w:vertAlign w:val="subscript"/>
          <w:lang w:val="en-US"/>
        </w:rPr>
        <w:t>2</w:t>
      </w:r>
      <w:r w:rsidRPr="007C45C4">
        <w:rPr>
          <w:rFonts w:cs="Arial"/>
          <w:szCs w:val="15"/>
          <w:lang w:val="en-US"/>
        </w:rPr>
        <w:t>O</w:t>
      </w:r>
      <w:r w:rsidRPr="007C45C4">
        <w:rPr>
          <w:rFonts w:cs="Arial"/>
          <w:szCs w:val="15"/>
          <w:vertAlign w:val="subscript"/>
          <w:lang w:val="en-US"/>
        </w:rPr>
        <w:t>2</w:t>
      </w:r>
      <w:r w:rsidRPr="007C45C4">
        <w:rPr>
          <w:rFonts w:cs="Arial"/>
          <w:szCs w:val="15"/>
          <w:lang w:val="en-US"/>
        </w:rPr>
        <w:t>SMoBF</w:t>
      </w:r>
      <w:r w:rsidRPr="007C45C4">
        <w:rPr>
          <w:rFonts w:cs="Arial"/>
          <w:szCs w:val="15"/>
          <w:vertAlign w:val="subscript"/>
          <w:lang w:val="en-US"/>
        </w:rPr>
        <w:t>4</w:t>
      </w:r>
      <w:r w:rsidRPr="007C45C4">
        <w:rPr>
          <w:rFonts w:cs="Arial"/>
          <w:szCs w:val="15"/>
          <w:lang w:val="en-US"/>
        </w:rPr>
        <w:t xml:space="preserve">: C, 44.94; H, 3.21; N, 5.24; S, 5.99. </w:t>
      </w:r>
      <w:proofErr w:type="gramStart"/>
      <w:r w:rsidRPr="007C45C4">
        <w:rPr>
          <w:rFonts w:cs="Arial"/>
          <w:szCs w:val="15"/>
          <w:lang w:val="en-US"/>
        </w:rPr>
        <w:t>Found:</w:t>
      </w:r>
      <w:proofErr w:type="gramEnd"/>
      <w:r w:rsidRPr="007C45C4">
        <w:rPr>
          <w:rFonts w:cs="Arial"/>
          <w:szCs w:val="15"/>
          <w:lang w:val="en-US"/>
        </w:rPr>
        <w:t xml:space="preserve"> C, 44.58; H, 3.31; N, 5.42; S 5.73. </w:t>
      </w:r>
      <w:proofErr w:type="gramStart"/>
      <w:r w:rsidRPr="007C45C4">
        <w:rPr>
          <w:rFonts w:cs="Arial"/>
          <w:szCs w:val="15"/>
          <w:lang w:val="en-US"/>
        </w:rPr>
        <w:t>Positive-ion MS (</w:t>
      </w:r>
      <w:proofErr w:type="spellStart"/>
      <w:r w:rsidRPr="007C45C4">
        <w:rPr>
          <w:rFonts w:cs="Arial"/>
          <w:szCs w:val="15"/>
          <w:lang w:val="en-US"/>
        </w:rPr>
        <w:t>MeCN</w:t>
      </w:r>
      <w:proofErr w:type="spellEnd"/>
      <w:r w:rsidRPr="007C45C4">
        <w:rPr>
          <w:rFonts w:cs="Arial"/>
          <w:szCs w:val="15"/>
          <w:lang w:val="en-US"/>
        </w:rPr>
        <w:t>): m/z (%) = 406 (100) [M </w:t>
      </w:r>
      <w:r w:rsidRPr="007C45C4">
        <w:rPr>
          <w:rFonts w:cs="Arial"/>
          <w:szCs w:val="15"/>
          <w:lang w:val="en-US"/>
        </w:rPr>
        <w:sym w:font="Symbol" w:char="F02D"/>
      </w:r>
      <w:r w:rsidRPr="007C45C4">
        <w:rPr>
          <w:rFonts w:cs="Arial"/>
          <w:szCs w:val="15"/>
          <w:lang w:val="en-US"/>
        </w:rPr>
        <w:t> </w:t>
      </w:r>
      <w:proofErr w:type="spellStart"/>
      <w:r w:rsidRPr="007C45C4">
        <w:rPr>
          <w:rFonts w:cs="Arial"/>
          <w:szCs w:val="15"/>
          <w:lang w:val="en-US"/>
        </w:rPr>
        <w:t>MeCN</w:t>
      </w:r>
      <w:proofErr w:type="spellEnd"/>
      <w:r w:rsidRPr="007C45C4">
        <w:rPr>
          <w:rFonts w:cs="Arial"/>
          <w:szCs w:val="15"/>
          <w:lang w:val="en-US"/>
        </w:rPr>
        <w:t>]</w:t>
      </w:r>
      <w:r w:rsidRPr="007C45C4">
        <w:rPr>
          <w:rFonts w:cs="Arial"/>
          <w:szCs w:val="15"/>
          <w:vertAlign w:val="superscript"/>
          <w:lang w:val="en-US"/>
        </w:rPr>
        <w:t>+</w:t>
      </w:r>
      <w:r w:rsidRPr="007C45C4">
        <w:rPr>
          <w:rFonts w:cs="Arial"/>
          <w:bCs/>
          <w:szCs w:val="15"/>
          <w:lang w:val="en-US"/>
        </w:rPr>
        <w:t>, 419 [</w:t>
      </w:r>
      <w:r w:rsidRPr="007C45C4">
        <w:rPr>
          <w:rFonts w:cs="Arial"/>
          <w:szCs w:val="15"/>
          <w:lang w:val="en-US"/>
        </w:rPr>
        <w:t>M </w:t>
      </w:r>
      <w:r w:rsidRPr="007C45C4">
        <w:rPr>
          <w:rFonts w:cs="Arial"/>
          <w:szCs w:val="15"/>
          <w:lang w:val="en-US"/>
        </w:rPr>
        <w:sym w:font="Symbol" w:char="F02D"/>
      </w:r>
      <w:r w:rsidRPr="007C45C4">
        <w:rPr>
          <w:rFonts w:cs="Arial"/>
          <w:szCs w:val="15"/>
          <w:lang w:val="en-US"/>
        </w:rPr>
        <w:t> CO</w:t>
      </w:r>
      <w:r w:rsidRPr="007C45C4">
        <w:rPr>
          <w:rFonts w:cs="Arial"/>
          <w:bCs/>
          <w:szCs w:val="15"/>
          <w:lang w:val="en-US"/>
        </w:rPr>
        <w:t>]</w:t>
      </w:r>
      <w:r w:rsidRPr="007C45C4">
        <w:rPr>
          <w:rFonts w:cs="Arial"/>
          <w:bCs/>
          <w:szCs w:val="15"/>
          <w:vertAlign w:val="superscript"/>
          <w:lang w:val="en-US"/>
        </w:rPr>
        <w:t>+</w:t>
      </w:r>
      <w:r w:rsidRPr="007C45C4">
        <w:rPr>
          <w:rFonts w:cs="Arial"/>
          <w:bCs/>
          <w:szCs w:val="15"/>
          <w:lang w:val="en-US"/>
        </w:rPr>
        <w:t>, 378 [M</w:t>
      </w:r>
      <w:r w:rsidRPr="007C45C4">
        <w:rPr>
          <w:rFonts w:cs="Arial"/>
          <w:szCs w:val="15"/>
          <w:lang w:val="en-US"/>
        </w:rPr>
        <w:t> </w:t>
      </w:r>
      <w:r w:rsidRPr="007C45C4">
        <w:rPr>
          <w:rFonts w:cs="Arial"/>
          <w:szCs w:val="15"/>
          <w:lang w:val="en-US"/>
        </w:rPr>
        <w:sym w:font="Symbol" w:char="F02D"/>
      </w:r>
      <w:r w:rsidRPr="007C45C4">
        <w:rPr>
          <w:rFonts w:cs="Arial"/>
          <w:szCs w:val="15"/>
          <w:lang w:val="en-US"/>
        </w:rPr>
        <w:t> CO </w:t>
      </w:r>
      <w:r w:rsidRPr="007C45C4">
        <w:rPr>
          <w:rFonts w:cs="Arial"/>
          <w:szCs w:val="15"/>
          <w:lang w:val="en-US"/>
        </w:rPr>
        <w:sym w:font="Symbol" w:char="F02D"/>
      </w:r>
      <w:r w:rsidRPr="007C45C4">
        <w:rPr>
          <w:rFonts w:cs="Arial"/>
          <w:szCs w:val="15"/>
          <w:lang w:val="en-US"/>
        </w:rPr>
        <w:t> </w:t>
      </w:r>
      <w:proofErr w:type="spellStart"/>
      <w:r w:rsidRPr="007C45C4">
        <w:rPr>
          <w:rFonts w:cs="Arial"/>
          <w:szCs w:val="15"/>
          <w:lang w:val="en-US"/>
        </w:rPr>
        <w:t>MeCN</w:t>
      </w:r>
      <w:proofErr w:type="spellEnd"/>
      <w:r w:rsidRPr="007C45C4">
        <w:rPr>
          <w:rFonts w:cs="Arial"/>
          <w:bCs/>
          <w:szCs w:val="15"/>
          <w:lang w:val="en-US"/>
        </w:rPr>
        <w:t xml:space="preserve">]. </w:t>
      </w:r>
      <w:r w:rsidRPr="007C45C4">
        <w:rPr>
          <w:rFonts w:cs="Arial"/>
          <w:bCs/>
          <w:szCs w:val="15"/>
          <w:vertAlign w:val="superscript"/>
          <w:lang w:val="en-US"/>
        </w:rPr>
        <w:t>1</w:t>
      </w:r>
      <w:r w:rsidRPr="007C45C4">
        <w:rPr>
          <w:rFonts w:cs="Arial"/>
          <w:bCs/>
          <w:szCs w:val="15"/>
          <w:lang w:val="en-US"/>
        </w:rPr>
        <w:t>H NMR (CD</w:t>
      </w:r>
      <w:r w:rsidRPr="007C45C4">
        <w:rPr>
          <w:rFonts w:cs="Arial"/>
          <w:bCs/>
          <w:szCs w:val="15"/>
          <w:vertAlign w:val="subscript"/>
          <w:lang w:val="en-US"/>
        </w:rPr>
        <w:t>3</w:t>
      </w:r>
      <w:r w:rsidRPr="007C45C4">
        <w:rPr>
          <w:rFonts w:cs="Arial"/>
          <w:bCs/>
          <w:szCs w:val="15"/>
          <w:lang w:val="en-US"/>
        </w:rPr>
        <w:t>CN; 500 MHz; δ ppm): 2.41 (s, 3H, C</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CN), 2.47 (s, 3H, C</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CN), 4.01 (d, </w:t>
      </w:r>
      <w:r w:rsidRPr="007C45C4">
        <w:rPr>
          <w:rFonts w:cs="Arial"/>
          <w:bCs/>
          <w:szCs w:val="15"/>
          <w:vertAlign w:val="superscript"/>
          <w:lang w:val="en-US"/>
        </w:rPr>
        <w:t>2</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16.2 Hz, 1H,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4.53 (d, </w:t>
      </w:r>
      <w:r w:rsidRPr="007C45C4">
        <w:rPr>
          <w:rFonts w:cs="Arial"/>
          <w:bCs/>
          <w:szCs w:val="15"/>
          <w:vertAlign w:val="superscript"/>
          <w:lang w:val="en-US"/>
        </w:rPr>
        <w:t>2</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16.2 Hz, 1H,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5.14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2.7 Hz, 1H,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5.99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2.7 Hz, 1H,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6.92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5.1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3.5 Hz, 1H,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S), 6.94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3.5 Hz, </w:t>
      </w:r>
      <w:r w:rsidRPr="007C45C4">
        <w:rPr>
          <w:rFonts w:cs="Arial"/>
          <w:bCs/>
          <w:szCs w:val="15"/>
          <w:vertAlign w:val="superscript"/>
          <w:lang w:val="en-US"/>
        </w:rPr>
        <w:t>4</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1.2 Hz, 1H, H</w:t>
      </w:r>
      <w:r w:rsidRPr="007C45C4">
        <w:rPr>
          <w:rFonts w:cs="Arial"/>
          <w:bCs/>
          <w:szCs w:val="15"/>
          <w:vertAlign w:val="superscript"/>
          <w:lang w:val="en-US"/>
        </w:rPr>
        <w:t>4</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7.18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5.1 Hz, </w:t>
      </w:r>
      <w:r w:rsidRPr="007C45C4">
        <w:rPr>
          <w:rFonts w:cs="Arial"/>
          <w:bCs/>
          <w:szCs w:val="15"/>
          <w:vertAlign w:val="superscript"/>
          <w:lang w:val="en-US"/>
        </w:rPr>
        <w:t>4</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1.2 Hz, 1H,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7.54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8.3 Hz, 1H, H</w:t>
      </w:r>
      <w:r w:rsidRPr="007C45C4">
        <w:rPr>
          <w:rFonts w:cs="Arial"/>
          <w:bCs/>
          <w:szCs w:val="15"/>
          <w:vertAlign w:val="superscript"/>
          <w:lang w:val="en-US"/>
        </w:rPr>
        <w:t>5/6</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7.60 (m, 2H, H</w:t>
      </w:r>
      <w:r w:rsidRPr="007C45C4">
        <w:rPr>
          <w:rFonts w:cs="Arial"/>
          <w:bCs/>
          <w:szCs w:val="15"/>
          <w:vertAlign w:val="superscript"/>
          <w:lang w:val="en-US"/>
        </w:rPr>
        <w:t>5/6</w:t>
      </w:r>
      <w:r w:rsidRPr="007C45C4">
        <w:rPr>
          <w:rFonts w:cs="Arial"/>
          <w:bCs/>
          <w:szCs w:val="15"/>
          <w:lang w:val="en-US"/>
        </w:rPr>
        <w:t>,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7.69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8.3 Hz, 1H,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w:t>
      </w:r>
      <w:r w:rsidRPr="007C45C4">
        <w:rPr>
          <w:rFonts w:cs="Arial"/>
          <w:bCs/>
          <w:szCs w:val="15"/>
          <w:vertAlign w:val="superscript"/>
          <w:lang w:val="en-US"/>
        </w:rPr>
        <w:t>13</w:t>
      </w:r>
      <w:r w:rsidRPr="007C45C4">
        <w:rPr>
          <w:rFonts w:cs="Arial"/>
          <w:bCs/>
          <w:szCs w:val="15"/>
          <w:lang w:val="en-US"/>
        </w:rPr>
        <w:t xml:space="preserve">C </w:t>
      </w:r>
      <w:r w:rsidRPr="007C45C4">
        <w:rPr>
          <w:rFonts w:cs="Arial"/>
          <w:bCs/>
          <w:szCs w:val="15"/>
          <w:lang w:val="en-US"/>
        </w:rPr>
        <w:lastRenderedPageBreak/>
        <w:t>NMR (C</w:t>
      </w:r>
      <w:r w:rsidRPr="007C45C4">
        <w:rPr>
          <w:rFonts w:cs="Arial"/>
          <w:bCs/>
          <w:szCs w:val="15"/>
          <w:vertAlign w:val="subscript"/>
          <w:lang w:val="en-US"/>
        </w:rPr>
        <w:t>6</w:t>
      </w:r>
      <w:r w:rsidRPr="007C45C4">
        <w:rPr>
          <w:rFonts w:cs="Arial"/>
          <w:bCs/>
          <w:szCs w:val="15"/>
          <w:lang w:val="en-US"/>
        </w:rPr>
        <w:t>D</w:t>
      </w:r>
      <w:r w:rsidRPr="007C45C4">
        <w:rPr>
          <w:rFonts w:cs="Arial"/>
          <w:bCs/>
          <w:szCs w:val="15"/>
          <w:vertAlign w:val="subscript"/>
          <w:lang w:val="en-US"/>
        </w:rPr>
        <w:t>6</w:t>
      </w:r>
      <w:r w:rsidRPr="007C45C4">
        <w:rPr>
          <w:rFonts w:cs="Arial"/>
          <w:bCs/>
          <w:szCs w:val="15"/>
          <w:lang w:val="en-US"/>
        </w:rPr>
        <w:t xml:space="preserve">; 125.77 MHz; δ ppm): 4.8 (1C, </w:t>
      </w:r>
      <w:r w:rsidRPr="007C45C4">
        <w:rPr>
          <w:rFonts w:cs="Arial"/>
          <w:bCs/>
          <w:i/>
          <w:szCs w:val="15"/>
          <w:lang w:val="en-US"/>
        </w:rPr>
        <w:t>C</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 xml:space="preserve">CN), 4.9 (1C, </w:t>
      </w:r>
      <w:r w:rsidRPr="007C45C4">
        <w:rPr>
          <w:rFonts w:cs="Arial"/>
          <w:bCs/>
          <w:i/>
          <w:szCs w:val="15"/>
          <w:lang w:val="en-US"/>
        </w:rPr>
        <w:t>C</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 xml:space="preserve">CN), 28.4(1C, </w:t>
      </w:r>
      <w:r w:rsidRPr="007C45C4">
        <w:rPr>
          <w:rFonts w:cs="Arial"/>
          <w:bCs/>
          <w:i/>
          <w:szCs w:val="15"/>
          <w:lang w:val="en-US"/>
        </w:rPr>
        <w:t>C</w:t>
      </w:r>
      <w:r w:rsidRPr="007C45C4">
        <w:rPr>
          <w:rFonts w:cs="Arial"/>
          <w:bCs/>
          <w:szCs w:val="15"/>
          <w:lang w:val="en-US"/>
        </w:rPr>
        <w:t>H</w:t>
      </w:r>
      <w:r w:rsidRPr="007C45C4">
        <w:rPr>
          <w:rFonts w:cs="Arial"/>
          <w:bCs/>
          <w:szCs w:val="15"/>
          <w:vertAlign w:val="subscript"/>
          <w:lang w:val="en-US"/>
        </w:rPr>
        <w:t>2</w:t>
      </w:r>
      <w:r w:rsidRPr="007C45C4">
        <w:rPr>
          <w:rFonts w:cs="Arial"/>
          <w:bCs/>
          <w:szCs w:val="15"/>
          <w:lang w:val="en-US"/>
        </w:rPr>
        <w:t>), 76.3 (1C, C</w:t>
      </w:r>
      <w:r w:rsidRPr="007C45C4">
        <w:rPr>
          <w:rFonts w:cs="Arial"/>
          <w:bCs/>
          <w:szCs w:val="15"/>
          <w:vertAlign w:val="superscript"/>
          <w:lang w:val="en-US"/>
        </w:rPr>
        <w:t>3</w:t>
      </w:r>
      <w:r w:rsidRPr="007C45C4">
        <w:rPr>
          <w:rFonts w:cs="Arial"/>
          <w:bCs/>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90.7 (1C, C</w:t>
      </w:r>
      <w:r w:rsidRPr="007C45C4">
        <w:rPr>
          <w:rFonts w:cs="Arial"/>
          <w:bCs/>
          <w:szCs w:val="15"/>
          <w:vertAlign w:val="superscript"/>
          <w:lang w:val="en-US"/>
        </w:rPr>
        <w:t>2</w:t>
      </w:r>
      <w:r w:rsidRPr="007C45C4">
        <w:rPr>
          <w:rFonts w:cs="Arial"/>
          <w:bCs/>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98,7 (1C, C</w:t>
      </w:r>
      <w:r w:rsidRPr="007C45C4">
        <w:rPr>
          <w:rFonts w:cs="Arial"/>
          <w:bCs/>
          <w:szCs w:val="15"/>
          <w:vertAlign w:val="superscript"/>
          <w:lang w:val="en-US"/>
        </w:rPr>
        <w:t>1</w:t>
      </w:r>
      <w:r w:rsidRPr="007C45C4">
        <w:rPr>
          <w:rFonts w:cs="Arial"/>
          <w:bCs/>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119.1 (1C, C</w:t>
      </w:r>
      <w:r w:rsidRPr="007C45C4">
        <w:rPr>
          <w:rFonts w:cs="Arial"/>
          <w:bCs/>
          <w:szCs w:val="15"/>
          <w:vertAlign w:val="superscript"/>
          <w:lang w:val="en-US"/>
        </w:rPr>
        <w:t>3a/7a</w:t>
      </w:r>
      <w:r w:rsidRPr="007C45C4">
        <w:rPr>
          <w:rFonts w:cs="Arial"/>
          <w:bCs/>
          <w:szCs w:val="15"/>
          <w:lang w:val="en-US"/>
        </w:rPr>
        <w:t>,</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119.8 (1C, C</w:t>
      </w:r>
      <w:r w:rsidRPr="007C45C4">
        <w:rPr>
          <w:rFonts w:cs="Arial"/>
          <w:bCs/>
          <w:szCs w:val="15"/>
          <w:vertAlign w:val="superscript"/>
          <w:lang w:val="en-US"/>
        </w:rPr>
        <w:t>3a/7a</w:t>
      </w:r>
      <w:r w:rsidRPr="007C45C4">
        <w:rPr>
          <w:rFonts w:cs="Arial"/>
          <w:bCs/>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125.0 (1C, C</w:t>
      </w:r>
      <w:r w:rsidRPr="007C45C4">
        <w:rPr>
          <w:rFonts w:cs="Arial"/>
          <w:bCs/>
          <w:szCs w:val="15"/>
          <w:vertAlign w:val="superscript"/>
          <w:lang w:val="en-US"/>
        </w:rPr>
        <w:t>4</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125.3 (1C, C</w:t>
      </w:r>
      <w:r w:rsidRPr="007C45C4">
        <w:rPr>
          <w:rFonts w:cs="Arial"/>
          <w:bCs/>
          <w:szCs w:val="15"/>
          <w:vertAlign w:val="superscript"/>
          <w:lang w:val="en-US"/>
        </w:rPr>
        <w:t>4/7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126.3 (1C,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127,51 (1C, C</w:t>
      </w:r>
      <w:r w:rsidRPr="007C45C4">
        <w:rPr>
          <w:rFonts w:cs="Arial"/>
          <w:bCs/>
          <w:szCs w:val="15"/>
          <w:vertAlign w:val="superscript"/>
          <w:lang w:val="en-US"/>
        </w:rPr>
        <w:t>5/6</w:t>
      </w:r>
      <w:r w:rsidRPr="007C45C4">
        <w:rPr>
          <w:rFonts w:cs="Arial"/>
          <w:bCs/>
          <w:szCs w:val="15"/>
          <w:lang w:val="en-US"/>
        </w:rPr>
        <w:t>,</w:t>
      </w:r>
      <w:r w:rsidRPr="007C45C4">
        <w:rPr>
          <w:rFonts w:cs="Arial"/>
          <w:bCs/>
          <w:i/>
          <w:szCs w:val="15"/>
          <w:lang w:val="en-US"/>
        </w:rPr>
        <w:t xml:space="preserve"> 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127,57 (1C,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131.3 (1C, C</w:t>
      </w:r>
      <w:r w:rsidRPr="007C45C4">
        <w:rPr>
          <w:rFonts w:cs="Arial"/>
          <w:bCs/>
          <w:szCs w:val="15"/>
          <w:vertAlign w:val="superscript"/>
          <w:lang w:val="en-US"/>
        </w:rPr>
        <w:t>5/6</w:t>
      </w:r>
      <w:r w:rsidRPr="007C45C4">
        <w:rPr>
          <w:rFonts w:cs="Arial"/>
          <w:bCs/>
          <w:szCs w:val="15"/>
          <w:lang w:val="en-US"/>
        </w:rPr>
        <w:t>,</w:t>
      </w:r>
      <w:r w:rsidRPr="007C45C4">
        <w:rPr>
          <w:rFonts w:cs="Arial"/>
          <w:bCs/>
          <w:i/>
          <w:szCs w:val="15"/>
          <w:lang w:val="en-US"/>
        </w:rPr>
        <w:t xml:space="preserve"> 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131.6 (1C, C</w:t>
      </w:r>
      <w:r w:rsidRPr="007C45C4">
        <w:rPr>
          <w:rFonts w:cs="Arial"/>
          <w:bCs/>
          <w:szCs w:val="15"/>
          <w:vertAlign w:val="superscript"/>
          <w:lang w:val="en-US"/>
        </w:rPr>
        <w:t>4/7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139.3 (1C, CH</w:t>
      </w:r>
      <w:r w:rsidRPr="007C45C4">
        <w:rPr>
          <w:rFonts w:cs="Arial"/>
          <w:bCs/>
          <w:szCs w:val="15"/>
          <w:vertAlign w:val="subscript"/>
          <w:lang w:val="en-US"/>
        </w:rPr>
        <w:t>3</w:t>
      </w:r>
      <w:r w:rsidRPr="007C45C4">
        <w:rPr>
          <w:rFonts w:cs="Arial"/>
          <w:bCs/>
          <w:i/>
          <w:szCs w:val="15"/>
          <w:lang w:val="en-US"/>
        </w:rPr>
        <w:t>C</w:t>
      </w:r>
      <w:r w:rsidRPr="007C45C4">
        <w:rPr>
          <w:rFonts w:cs="Arial"/>
          <w:bCs/>
          <w:szCs w:val="15"/>
          <w:lang w:val="en-US"/>
        </w:rPr>
        <w:t>N), 139.9 (1C, CH</w:t>
      </w:r>
      <w:r w:rsidRPr="007C45C4">
        <w:rPr>
          <w:rFonts w:cs="Arial"/>
          <w:bCs/>
          <w:szCs w:val="15"/>
          <w:vertAlign w:val="subscript"/>
          <w:lang w:val="en-US"/>
        </w:rPr>
        <w:t>3</w:t>
      </w:r>
      <w:r w:rsidRPr="007C45C4">
        <w:rPr>
          <w:rFonts w:cs="Arial"/>
          <w:bCs/>
          <w:i/>
          <w:szCs w:val="15"/>
          <w:lang w:val="en-US"/>
        </w:rPr>
        <w:t>C</w:t>
      </w:r>
      <w:r w:rsidRPr="007C45C4">
        <w:rPr>
          <w:rFonts w:cs="Arial"/>
          <w:bCs/>
          <w:szCs w:val="15"/>
          <w:lang w:val="en-US"/>
        </w:rPr>
        <w:t>N), 142.6 (1C, C</w:t>
      </w:r>
      <w:r w:rsidRPr="007C45C4">
        <w:rPr>
          <w:rFonts w:cs="Arial"/>
          <w:bCs/>
          <w:szCs w:val="15"/>
          <w:vertAlign w:val="superscript"/>
          <w:lang w:val="en-US"/>
        </w:rPr>
        <w:t>1</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 xml:space="preserve">S), 247.5 (1C, </w:t>
      </w:r>
      <w:r w:rsidRPr="007C45C4">
        <w:rPr>
          <w:rFonts w:cs="Arial"/>
          <w:bCs/>
          <w:i/>
          <w:szCs w:val="15"/>
          <w:lang w:val="en-US"/>
        </w:rPr>
        <w:t>C</w:t>
      </w:r>
      <w:r w:rsidRPr="007C45C4">
        <w:rPr>
          <w:rFonts w:cs="Arial"/>
          <w:bCs/>
          <w:szCs w:val="15"/>
          <w:lang w:val="en-US"/>
        </w:rPr>
        <w:t xml:space="preserve">O), 248.7 (1C, </w:t>
      </w:r>
      <w:r w:rsidRPr="007C45C4">
        <w:rPr>
          <w:rFonts w:cs="Arial"/>
          <w:bCs/>
          <w:i/>
          <w:szCs w:val="15"/>
          <w:lang w:val="en-US"/>
        </w:rPr>
        <w:t>C</w:t>
      </w:r>
      <w:r w:rsidRPr="007C45C4">
        <w:rPr>
          <w:rFonts w:cs="Arial"/>
          <w:bCs/>
          <w:szCs w:val="15"/>
          <w:lang w:val="en-US"/>
        </w:rPr>
        <w:t>O).</w:t>
      </w:r>
      <w:proofErr w:type="gramEnd"/>
      <w:r w:rsidRPr="007C45C4">
        <w:rPr>
          <w:rFonts w:cs="Arial"/>
          <w:bCs/>
          <w:szCs w:val="15"/>
          <w:lang w:val="en-US"/>
        </w:rPr>
        <w:t xml:space="preserve"> </w:t>
      </w:r>
      <w:proofErr w:type="gramStart"/>
      <w:r w:rsidRPr="007C45C4">
        <w:rPr>
          <w:rFonts w:cs="Arial"/>
          <w:szCs w:val="15"/>
          <w:lang w:val="en-US"/>
        </w:rPr>
        <w:t>IR(</w:t>
      </w:r>
      <w:proofErr w:type="gramEnd"/>
      <w:r w:rsidRPr="007C45C4">
        <w:rPr>
          <w:rFonts w:cs="Arial"/>
          <w:szCs w:val="15"/>
          <w:lang w:val="en-US"/>
        </w:rPr>
        <w:t>ATR; cm</w:t>
      </w:r>
      <w:r w:rsidRPr="007C45C4">
        <w:rPr>
          <w:rFonts w:cs="Arial"/>
          <w:szCs w:val="15"/>
          <w:vertAlign w:val="superscript"/>
          <w:lang w:val="en-US"/>
        </w:rPr>
        <w:t>–1</w:t>
      </w:r>
      <w:r w:rsidRPr="007C45C4">
        <w:rPr>
          <w:rFonts w:cs="Arial"/>
          <w:szCs w:val="15"/>
          <w:lang w:val="en-US"/>
        </w:rPr>
        <w:t>):</w:t>
      </w:r>
      <w:r w:rsidRPr="007C45C4">
        <w:rPr>
          <w:rFonts w:cs="Arial"/>
          <w:bCs/>
          <w:szCs w:val="15"/>
          <w:lang w:val="en-US"/>
        </w:rPr>
        <w:t xml:space="preserve"> 1971 vs [</w:t>
      </w:r>
      <w:proofErr w:type="spellStart"/>
      <w:r w:rsidRPr="007C45C4">
        <w:rPr>
          <w:rFonts w:cs="Arial"/>
          <w:bCs/>
          <w:szCs w:val="15"/>
          <w:lang w:val="en-US"/>
        </w:rPr>
        <w:t>ν</w:t>
      </w:r>
      <w:r w:rsidRPr="007C45C4">
        <w:rPr>
          <w:rFonts w:cs="Arial"/>
          <w:bCs/>
          <w:szCs w:val="15"/>
          <w:vertAlign w:val="subscript"/>
          <w:lang w:val="en-US"/>
        </w:rPr>
        <w:t>a</w:t>
      </w:r>
      <w:proofErr w:type="spellEnd"/>
      <w:r w:rsidRPr="007C45C4">
        <w:rPr>
          <w:rFonts w:cs="Arial"/>
          <w:bCs/>
          <w:szCs w:val="15"/>
          <w:lang w:val="en-US"/>
        </w:rPr>
        <w:t>(CO)], 1889 vs [</w:t>
      </w:r>
      <w:proofErr w:type="spellStart"/>
      <w:r w:rsidRPr="007C45C4">
        <w:rPr>
          <w:rFonts w:cs="Arial"/>
          <w:bCs/>
          <w:szCs w:val="15"/>
          <w:lang w:val="en-US"/>
        </w:rPr>
        <w:t>ν</w:t>
      </w:r>
      <w:r w:rsidRPr="007C45C4">
        <w:rPr>
          <w:rFonts w:cs="Arial"/>
          <w:bCs/>
          <w:szCs w:val="15"/>
          <w:vertAlign w:val="subscript"/>
          <w:lang w:val="en-US"/>
        </w:rPr>
        <w:t>s</w:t>
      </w:r>
      <w:proofErr w:type="spellEnd"/>
      <w:r w:rsidRPr="007C45C4">
        <w:rPr>
          <w:rFonts w:cs="Arial"/>
          <w:bCs/>
          <w:szCs w:val="15"/>
          <w:lang w:val="en-US"/>
        </w:rPr>
        <w:t>(CO)], 1054 vs, br. [ν(BF)].</w:t>
      </w:r>
    </w:p>
    <w:p w14:paraId="62DCD1CF" w14:textId="77777777" w:rsidR="005A5FB8" w:rsidRPr="007C45C4" w:rsidRDefault="00AE37FC" w:rsidP="005A5FB8">
      <w:pPr>
        <w:pStyle w:val="RSCB06BHeadingSub-Section"/>
        <w:rPr>
          <w:lang w:val="en-US"/>
        </w:rPr>
      </w:pPr>
      <w:r w:rsidRPr="007C45C4">
        <w:rPr>
          <w:lang w:val="en-US"/>
        </w:rPr>
        <w:t>Synthesis of [(</w:t>
      </w:r>
      <w:r w:rsidRPr="007C45C4">
        <w:rPr>
          <w:i/>
          <w:lang w:val="en-US"/>
        </w:rPr>
        <w:t>η</w:t>
      </w:r>
      <w:r w:rsidRPr="007C45C4">
        <w:rPr>
          <w:vertAlign w:val="superscript"/>
          <w:lang w:val="en-US"/>
        </w:rPr>
        <w:t>5</w:t>
      </w:r>
      <w:r w:rsidRPr="007C45C4">
        <w:rPr>
          <w:lang w:val="en-US"/>
        </w:rPr>
        <w:t>-C</w:t>
      </w:r>
      <w:r w:rsidRPr="007C45C4">
        <w:rPr>
          <w:vertAlign w:val="subscript"/>
          <w:lang w:val="en-US"/>
        </w:rPr>
        <w:t>5</w:t>
      </w:r>
      <w:r w:rsidRPr="007C45C4">
        <w:rPr>
          <w:lang w:val="en-US"/>
        </w:rPr>
        <w:t>H</w:t>
      </w:r>
      <w:r w:rsidRPr="007C45C4">
        <w:rPr>
          <w:vertAlign w:val="subscript"/>
          <w:lang w:val="en-US"/>
        </w:rPr>
        <w:t>4</w:t>
      </w:r>
      <w:r w:rsidRPr="007C45C4">
        <w:rPr>
          <w:lang w:val="en-US"/>
        </w:rPr>
        <w:t>CH</w:t>
      </w:r>
      <w:r w:rsidRPr="007C45C4">
        <w:rPr>
          <w:vertAlign w:val="subscript"/>
          <w:lang w:val="en-US"/>
        </w:rPr>
        <w:t>2</w:t>
      </w:r>
      <w:r w:rsidRPr="007C45C4">
        <w:rPr>
          <w:lang w:val="en-US"/>
        </w:rPr>
        <w:t>C</w:t>
      </w:r>
      <w:r w:rsidRPr="007C45C4">
        <w:rPr>
          <w:vertAlign w:val="subscript"/>
          <w:lang w:val="en-US"/>
        </w:rPr>
        <w:t>4</w:t>
      </w:r>
      <w:r w:rsidRPr="007C45C4">
        <w:rPr>
          <w:lang w:val="en-US"/>
        </w:rPr>
        <w:t>H</w:t>
      </w:r>
      <w:r w:rsidRPr="007C45C4">
        <w:rPr>
          <w:vertAlign w:val="subscript"/>
          <w:lang w:val="en-US"/>
        </w:rPr>
        <w:t>3</w:t>
      </w:r>
      <w:r w:rsidRPr="007C45C4">
        <w:rPr>
          <w:lang w:val="en-US"/>
        </w:rPr>
        <w:t>S</w:t>
      </w:r>
      <w:proofErr w:type="gramStart"/>
      <w:r w:rsidRPr="007C45C4">
        <w:rPr>
          <w:lang w:val="en-US"/>
        </w:rPr>
        <w:t>)Mo</w:t>
      </w:r>
      <w:proofErr w:type="gramEnd"/>
      <w:r w:rsidRPr="007C45C4">
        <w:rPr>
          <w:lang w:val="en-US"/>
        </w:rPr>
        <w:t>(CO)</w:t>
      </w:r>
      <w:r w:rsidRPr="007C45C4">
        <w:rPr>
          <w:vertAlign w:val="subscript"/>
          <w:lang w:val="en-US"/>
        </w:rPr>
        <w:t>2</w:t>
      </w:r>
      <w:r w:rsidRPr="007C45C4">
        <w:rPr>
          <w:lang w:val="en-US"/>
        </w:rPr>
        <w:t>(</w:t>
      </w:r>
      <w:proofErr w:type="spellStart"/>
      <w:r w:rsidRPr="007C45C4">
        <w:rPr>
          <w:lang w:val="en-US"/>
        </w:rPr>
        <w:t>bpy</w:t>
      </w:r>
      <w:proofErr w:type="spellEnd"/>
      <w:r w:rsidRPr="007C45C4">
        <w:rPr>
          <w:lang w:val="en-US"/>
        </w:rPr>
        <w:t>)][BF</w:t>
      </w:r>
      <w:r w:rsidRPr="007C45C4">
        <w:rPr>
          <w:vertAlign w:val="subscript"/>
          <w:lang w:val="en-US"/>
        </w:rPr>
        <w:t>4</w:t>
      </w:r>
      <w:r w:rsidRPr="007C45C4">
        <w:rPr>
          <w:lang w:val="en-US"/>
        </w:rPr>
        <w:t>] (4)</w:t>
      </w:r>
    </w:p>
    <w:p w14:paraId="4C69E24B" w14:textId="1047488B" w:rsidR="005A5FB8" w:rsidRPr="007C45C4" w:rsidRDefault="00AE37FC" w:rsidP="005A5FB8">
      <w:pPr>
        <w:pStyle w:val="RSCB02ArticleText"/>
        <w:rPr>
          <w:rFonts w:cs="Arial"/>
          <w:bCs/>
          <w:szCs w:val="15"/>
          <w:lang w:val="en-US"/>
        </w:rPr>
      </w:pPr>
      <w:r w:rsidRPr="007C45C4">
        <w:rPr>
          <w:rFonts w:cs="Arial"/>
          <w:bCs/>
          <w:szCs w:val="15"/>
          <w:lang w:val="en-US"/>
        </w:rPr>
        <w:t xml:space="preserve">The solution of </w:t>
      </w:r>
      <w:r w:rsidRPr="007C45C4">
        <w:rPr>
          <w:rFonts w:cs="Arial"/>
          <w:b/>
          <w:bCs/>
          <w:szCs w:val="15"/>
          <w:lang w:val="en-US"/>
        </w:rPr>
        <w:t xml:space="preserve">3 </w:t>
      </w:r>
      <w:r w:rsidRPr="007C45C4">
        <w:rPr>
          <w:rFonts w:cs="Arial"/>
          <w:bCs/>
          <w:szCs w:val="15"/>
          <w:lang w:val="en-US"/>
        </w:rPr>
        <w:t xml:space="preserve">(266 mg, 0.5 </w:t>
      </w:r>
      <w:proofErr w:type="spellStart"/>
      <w:r w:rsidRPr="007C45C4">
        <w:rPr>
          <w:rFonts w:cs="Arial"/>
          <w:bCs/>
          <w:szCs w:val="15"/>
          <w:lang w:val="en-US"/>
        </w:rPr>
        <w:t>mmol</w:t>
      </w:r>
      <w:proofErr w:type="spellEnd"/>
      <w:r w:rsidRPr="007C45C4">
        <w:rPr>
          <w:rFonts w:cs="Arial"/>
          <w:bCs/>
          <w:szCs w:val="15"/>
          <w:lang w:val="en-US"/>
        </w:rPr>
        <w:t>) in 5 mL of CH</w:t>
      </w:r>
      <w:r w:rsidRPr="007C45C4">
        <w:rPr>
          <w:rFonts w:cs="Arial"/>
          <w:bCs/>
          <w:szCs w:val="15"/>
          <w:vertAlign w:val="subscript"/>
          <w:lang w:val="en-US"/>
        </w:rPr>
        <w:t>2</w:t>
      </w:r>
      <w:r w:rsidRPr="007C45C4">
        <w:rPr>
          <w:rFonts w:cs="Arial"/>
          <w:bCs/>
          <w:szCs w:val="15"/>
          <w:lang w:val="en-US"/>
        </w:rPr>
        <w:t>Cl</w:t>
      </w:r>
      <w:r w:rsidRPr="007C45C4">
        <w:rPr>
          <w:rFonts w:cs="Arial"/>
          <w:bCs/>
          <w:szCs w:val="15"/>
          <w:vertAlign w:val="subscript"/>
          <w:lang w:val="en-US"/>
        </w:rPr>
        <w:t>2</w:t>
      </w:r>
      <w:r w:rsidRPr="007C45C4">
        <w:rPr>
          <w:rFonts w:cs="Arial"/>
          <w:bCs/>
          <w:szCs w:val="15"/>
          <w:lang w:val="en-US"/>
        </w:rPr>
        <w:t xml:space="preserve"> was added dropwise via cannula into a solution of </w:t>
      </w:r>
      <w:proofErr w:type="spellStart"/>
      <w:r w:rsidRPr="007C45C4">
        <w:rPr>
          <w:rFonts w:cs="Arial"/>
          <w:bCs/>
          <w:szCs w:val="15"/>
          <w:lang w:val="en-US"/>
        </w:rPr>
        <w:t>bpy</w:t>
      </w:r>
      <w:proofErr w:type="spellEnd"/>
      <w:r w:rsidRPr="007C45C4">
        <w:rPr>
          <w:rFonts w:cs="Arial"/>
          <w:bCs/>
          <w:szCs w:val="15"/>
          <w:lang w:val="en-US"/>
        </w:rPr>
        <w:t xml:space="preserve"> (78</w:t>
      </w:r>
      <w:proofErr w:type="gramStart"/>
      <w:r w:rsidRPr="007C45C4">
        <w:rPr>
          <w:rFonts w:cs="Arial"/>
          <w:bCs/>
          <w:szCs w:val="15"/>
          <w:lang w:val="en-US"/>
        </w:rPr>
        <w:t>,1</w:t>
      </w:r>
      <w:proofErr w:type="gramEnd"/>
      <w:r w:rsidRPr="007C45C4">
        <w:rPr>
          <w:rFonts w:cs="Arial"/>
          <w:bCs/>
          <w:szCs w:val="15"/>
          <w:lang w:val="en-US"/>
        </w:rPr>
        <w:t xml:space="preserve"> mg, 0.5 mg) in 3 mL of CH</w:t>
      </w:r>
      <w:r w:rsidRPr="007C45C4">
        <w:rPr>
          <w:rFonts w:cs="Arial"/>
          <w:bCs/>
          <w:szCs w:val="15"/>
          <w:vertAlign w:val="subscript"/>
          <w:lang w:val="en-US"/>
        </w:rPr>
        <w:t>2</w:t>
      </w:r>
      <w:r w:rsidRPr="007C45C4">
        <w:rPr>
          <w:rFonts w:cs="Arial"/>
          <w:bCs/>
          <w:szCs w:val="15"/>
          <w:lang w:val="en-US"/>
        </w:rPr>
        <w:t>Cl</w:t>
      </w:r>
      <w:r w:rsidRPr="007C45C4">
        <w:rPr>
          <w:rFonts w:cs="Arial"/>
          <w:bCs/>
          <w:szCs w:val="15"/>
          <w:vertAlign w:val="subscript"/>
          <w:lang w:val="en-US"/>
        </w:rPr>
        <w:t>2</w:t>
      </w:r>
      <w:r w:rsidRPr="007C45C4">
        <w:rPr>
          <w:rFonts w:cs="Arial"/>
          <w:bCs/>
          <w:szCs w:val="15"/>
          <w:lang w:val="en-US"/>
        </w:rPr>
        <w:t xml:space="preserve">. The mixture was stirred at room temperature overnight. After </w:t>
      </w:r>
      <w:proofErr w:type="gramStart"/>
      <w:r w:rsidRPr="007C45C4">
        <w:rPr>
          <w:rFonts w:cs="Arial"/>
          <w:bCs/>
          <w:szCs w:val="15"/>
          <w:lang w:val="en-US"/>
        </w:rPr>
        <w:t>that</w:t>
      </w:r>
      <w:proofErr w:type="gramEnd"/>
      <w:r w:rsidRPr="007C45C4">
        <w:rPr>
          <w:rFonts w:cs="Arial"/>
          <w:bCs/>
          <w:szCs w:val="15"/>
          <w:lang w:val="en-US"/>
        </w:rPr>
        <w:t xml:space="preserve"> the solvents were vacuum evaporated and red solid residue was washed three times with 7 mL of Et</w:t>
      </w:r>
      <w:r w:rsidRPr="007C45C4">
        <w:rPr>
          <w:rFonts w:cs="Arial"/>
          <w:bCs/>
          <w:szCs w:val="15"/>
          <w:vertAlign w:val="subscript"/>
          <w:lang w:val="en-US"/>
        </w:rPr>
        <w:t>2</w:t>
      </w:r>
      <w:r w:rsidRPr="007C45C4">
        <w:rPr>
          <w:rFonts w:cs="Arial"/>
          <w:bCs/>
          <w:szCs w:val="15"/>
          <w:lang w:val="en-US"/>
        </w:rPr>
        <w:t>O. Finally, the crude product was recrystallized from CH</w:t>
      </w:r>
      <w:r w:rsidRPr="007C45C4">
        <w:rPr>
          <w:rFonts w:cs="Arial"/>
          <w:bCs/>
          <w:szCs w:val="15"/>
          <w:vertAlign w:val="subscript"/>
          <w:lang w:val="en-US"/>
        </w:rPr>
        <w:t>2</w:t>
      </w:r>
      <w:r w:rsidRPr="007C45C4">
        <w:rPr>
          <w:rFonts w:cs="Arial"/>
          <w:bCs/>
          <w:szCs w:val="15"/>
          <w:lang w:val="en-US"/>
        </w:rPr>
        <w:t>Cl</w:t>
      </w:r>
      <w:r w:rsidRPr="007C45C4">
        <w:rPr>
          <w:rFonts w:cs="Arial"/>
          <w:bCs/>
          <w:szCs w:val="15"/>
          <w:vertAlign w:val="subscript"/>
          <w:lang w:val="en-US"/>
        </w:rPr>
        <w:t>2</w:t>
      </w:r>
      <w:r w:rsidRPr="007C45C4">
        <w:rPr>
          <w:rFonts w:cs="Arial"/>
          <w:bCs/>
          <w:szCs w:val="15"/>
          <w:lang w:val="en-US"/>
        </w:rPr>
        <w:t>/Et</w:t>
      </w:r>
      <w:r w:rsidRPr="007C45C4">
        <w:rPr>
          <w:rFonts w:cs="Arial"/>
          <w:bCs/>
          <w:szCs w:val="15"/>
          <w:vertAlign w:val="subscript"/>
          <w:lang w:val="en-US"/>
        </w:rPr>
        <w:t>2</w:t>
      </w:r>
      <w:r w:rsidRPr="007C45C4">
        <w:rPr>
          <w:rFonts w:cs="Arial"/>
          <w:bCs/>
          <w:szCs w:val="15"/>
          <w:lang w:val="en-US"/>
        </w:rPr>
        <w:t xml:space="preserve">O mixture to afford red powder of </w:t>
      </w:r>
      <w:proofErr w:type="gramStart"/>
      <w:r w:rsidRPr="007C45C4">
        <w:rPr>
          <w:rFonts w:cs="Arial"/>
          <w:b/>
          <w:bCs/>
          <w:szCs w:val="15"/>
          <w:lang w:val="en-US"/>
        </w:rPr>
        <w:t>4</w:t>
      </w:r>
      <w:proofErr w:type="gramEnd"/>
      <w:r w:rsidR="0095100A" w:rsidRPr="007C45C4">
        <w:rPr>
          <w:rFonts w:cs="Arial"/>
          <w:bCs/>
          <w:szCs w:val="15"/>
          <w:lang w:val="en-US"/>
        </w:rPr>
        <w:t xml:space="preserve"> (263 mg, 0.43 </w:t>
      </w:r>
      <w:proofErr w:type="spellStart"/>
      <w:r w:rsidR="0095100A" w:rsidRPr="007C45C4">
        <w:rPr>
          <w:rFonts w:cs="Arial"/>
          <w:bCs/>
          <w:szCs w:val="15"/>
          <w:lang w:val="en-US"/>
        </w:rPr>
        <w:t>mmol</w:t>
      </w:r>
      <w:proofErr w:type="spellEnd"/>
      <w:r w:rsidR="0095100A" w:rsidRPr="007C45C4">
        <w:rPr>
          <w:rFonts w:cs="Arial"/>
          <w:bCs/>
          <w:szCs w:val="15"/>
          <w:lang w:val="en-US"/>
        </w:rPr>
        <w:t>, 87%</w:t>
      </w:r>
      <w:r w:rsidRPr="007C45C4">
        <w:rPr>
          <w:rFonts w:cs="Arial"/>
          <w:bCs/>
          <w:szCs w:val="15"/>
          <w:lang w:val="en-US"/>
        </w:rPr>
        <w:t>).</w:t>
      </w:r>
      <w:proofErr w:type="spellStart"/>
      <w:r w:rsidRPr="007C45C4">
        <w:rPr>
          <w:rFonts w:cs="Arial"/>
          <w:szCs w:val="15"/>
          <w:lang w:val="en-US"/>
        </w:rPr>
        <w:t>Calcd</w:t>
      </w:r>
      <w:proofErr w:type="spellEnd"/>
      <w:r w:rsidRPr="007C45C4">
        <w:rPr>
          <w:rFonts w:cs="Arial"/>
          <w:szCs w:val="15"/>
          <w:lang w:val="en-US"/>
        </w:rPr>
        <w:t xml:space="preserve"> for: C</w:t>
      </w:r>
      <w:r w:rsidRPr="007C45C4">
        <w:rPr>
          <w:rFonts w:cs="Arial"/>
          <w:szCs w:val="15"/>
          <w:vertAlign w:val="subscript"/>
          <w:lang w:val="en-US"/>
        </w:rPr>
        <w:t>26</w:t>
      </w:r>
      <w:r w:rsidRPr="007C45C4">
        <w:rPr>
          <w:rFonts w:cs="Arial"/>
          <w:szCs w:val="15"/>
          <w:lang w:val="en-US"/>
        </w:rPr>
        <w:t>H</w:t>
      </w:r>
      <w:r w:rsidRPr="007C45C4">
        <w:rPr>
          <w:rFonts w:cs="Arial"/>
          <w:szCs w:val="15"/>
          <w:vertAlign w:val="subscript"/>
          <w:lang w:val="en-US"/>
        </w:rPr>
        <w:t>19</w:t>
      </w:r>
      <w:r w:rsidRPr="007C45C4">
        <w:rPr>
          <w:rFonts w:cs="Arial"/>
          <w:szCs w:val="15"/>
          <w:lang w:val="en-US"/>
        </w:rPr>
        <w:t>N</w:t>
      </w:r>
      <w:r w:rsidRPr="007C45C4">
        <w:rPr>
          <w:rFonts w:cs="Arial"/>
          <w:szCs w:val="15"/>
          <w:vertAlign w:val="subscript"/>
          <w:lang w:val="en-US"/>
        </w:rPr>
        <w:t>2</w:t>
      </w:r>
      <w:r w:rsidRPr="007C45C4">
        <w:rPr>
          <w:rFonts w:cs="Arial"/>
          <w:szCs w:val="15"/>
          <w:lang w:val="en-US"/>
        </w:rPr>
        <w:t>O</w:t>
      </w:r>
      <w:r w:rsidRPr="007C45C4">
        <w:rPr>
          <w:rFonts w:cs="Arial"/>
          <w:szCs w:val="15"/>
          <w:vertAlign w:val="subscript"/>
          <w:lang w:val="en-US"/>
        </w:rPr>
        <w:t>2</w:t>
      </w:r>
      <w:r w:rsidRPr="007C45C4">
        <w:rPr>
          <w:rFonts w:cs="Arial"/>
          <w:szCs w:val="15"/>
          <w:lang w:val="en-US"/>
        </w:rPr>
        <w:t>SMoBF</w:t>
      </w:r>
      <w:r w:rsidRPr="007C45C4">
        <w:rPr>
          <w:rFonts w:cs="Arial"/>
          <w:szCs w:val="15"/>
          <w:vertAlign w:val="subscript"/>
          <w:lang w:val="en-US"/>
        </w:rPr>
        <w:t>4</w:t>
      </w:r>
      <w:r w:rsidRPr="007C45C4">
        <w:rPr>
          <w:rFonts w:cs="Arial"/>
          <w:szCs w:val="15"/>
          <w:lang w:val="en-US"/>
        </w:rPr>
        <w:t xml:space="preserve"> C, 51.31; H, 3.15; N, 4.61; S, 5.26. </w:t>
      </w:r>
      <w:proofErr w:type="gramStart"/>
      <w:r w:rsidRPr="007C45C4">
        <w:rPr>
          <w:rFonts w:cs="Arial"/>
          <w:szCs w:val="15"/>
          <w:lang w:val="en-US"/>
        </w:rPr>
        <w:t>Found:</w:t>
      </w:r>
      <w:proofErr w:type="gramEnd"/>
      <w:r w:rsidRPr="007C45C4">
        <w:rPr>
          <w:rFonts w:cs="Arial"/>
          <w:szCs w:val="15"/>
          <w:lang w:val="en-US"/>
        </w:rPr>
        <w:t xml:space="preserve"> C, 51.17; H, 3.54; N, 4.42; S 5.18. </w:t>
      </w:r>
      <w:proofErr w:type="gramStart"/>
      <w:r w:rsidRPr="007C45C4">
        <w:rPr>
          <w:rFonts w:cs="Arial"/>
          <w:szCs w:val="15"/>
          <w:lang w:val="en-US"/>
        </w:rPr>
        <w:t>Positive-ion MS (</w:t>
      </w:r>
      <w:proofErr w:type="spellStart"/>
      <w:r w:rsidRPr="007C45C4">
        <w:rPr>
          <w:rFonts w:cs="Arial"/>
          <w:szCs w:val="15"/>
          <w:lang w:val="en-US"/>
        </w:rPr>
        <w:t>MeCN</w:t>
      </w:r>
      <w:proofErr w:type="spellEnd"/>
      <w:r w:rsidRPr="007C45C4">
        <w:rPr>
          <w:rFonts w:cs="Arial"/>
          <w:szCs w:val="15"/>
          <w:lang w:val="en-US"/>
        </w:rPr>
        <w:t>): m/z (%) = 521 (100) [M]</w:t>
      </w:r>
      <w:r w:rsidRPr="007C45C4">
        <w:rPr>
          <w:rFonts w:cs="Arial"/>
          <w:szCs w:val="15"/>
          <w:vertAlign w:val="superscript"/>
          <w:lang w:val="en-US"/>
        </w:rPr>
        <w:t>+</w:t>
      </w:r>
      <w:r w:rsidRPr="007C45C4">
        <w:rPr>
          <w:rFonts w:cs="Arial"/>
          <w:szCs w:val="15"/>
          <w:lang w:val="en-US"/>
        </w:rPr>
        <w:t>.</w:t>
      </w:r>
      <w:r w:rsidRPr="007C45C4">
        <w:rPr>
          <w:rFonts w:cs="Arial"/>
          <w:bCs/>
          <w:szCs w:val="15"/>
          <w:vertAlign w:val="superscript"/>
          <w:lang w:val="en-US"/>
        </w:rPr>
        <w:t>1</w:t>
      </w:r>
      <w:r w:rsidRPr="007C45C4">
        <w:rPr>
          <w:rFonts w:cs="Arial"/>
          <w:bCs/>
          <w:szCs w:val="15"/>
          <w:lang w:val="en-US"/>
        </w:rPr>
        <w:t>H NMR (CD</w:t>
      </w:r>
      <w:r w:rsidRPr="007C45C4">
        <w:rPr>
          <w:rFonts w:cs="Arial"/>
          <w:bCs/>
          <w:szCs w:val="15"/>
          <w:vertAlign w:val="subscript"/>
          <w:lang w:val="en-US"/>
        </w:rPr>
        <w:t>3</w:t>
      </w:r>
      <w:r w:rsidRPr="007C45C4">
        <w:rPr>
          <w:rFonts w:cs="Arial"/>
          <w:bCs/>
          <w:szCs w:val="15"/>
          <w:lang w:val="en-US"/>
        </w:rPr>
        <w:t xml:space="preserve">CN; 500 MHz; δ ppm): 4.17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15.7 Hz, 1H,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4.77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15.7 Hz, 1H,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5.64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2.8 Hz, 1H,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6.48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2.8 Hz, 1H,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6.71 (m, 2H, H</w:t>
      </w:r>
      <w:r w:rsidRPr="007C45C4">
        <w:rPr>
          <w:rFonts w:cs="Arial"/>
          <w:bCs/>
          <w:szCs w:val="15"/>
          <w:vertAlign w:val="superscript"/>
          <w:lang w:val="en-US"/>
        </w:rPr>
        <w:t>5,6</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6.85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7.4 Hz, </w:t>
      </w:r>
      <w:r w:rsidRPr="007C45C4">
        <w:rPr>
          <w:rFonts w:cs="Arial"/>
          <w:bCs/>
          <w:szCs w:val="15"/>
          <w:vertAlign w:val="superscript"/>
          <w:lang w:val="en-US"/>
        </w:rPr>
        <w:t>4</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1.3 Hz 1H, H</w:t>
      </w:r>
      <w:r w:rsidRPr="007C45C4">
        <w:rPr>
          <w:rFonts w:cs="Arial"/>
          <w:bCs/>
          <w:szCs w:val="15"/>
          <w:vertAlign w:val="superscript"/>
          <w:lang w:val="en-US"/>
        </w:rPr>
        <w:t>4</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6.91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3.8 Hz, 1H,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6.98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3.8 Hz, 1H,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7.13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7.9 Hz, 1H,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7.21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7.9 Hz, 1H,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7.59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5.7 Hz, 1H, H</w:t>
      </w:r>
      <w:r w:rsidRPr="007C45C4">
        <w:rPr>
          <w:rFonts w:cs="Arial"/>
          <w:bCs/>
          <w:szCs w:val="15"/>
          <w:vertAlign w:val="superscript"/>
          <w:lang w:val="en-US"/>
        </w:rPr>
        <w:t>3/8</w:t>
      </w:r>
      <w:r w:rsidRPr="007C45C4">
        <w:rPr>
          <w:rFonts w:cs="Arial"/>
          <w:bCs/>
          <w:szCs w:val="15"/>
          <w:lang w:val="en-US"/>
        </w:rPr>
        <w:t>, C</w:t>
      </w:r>
      <w:r w:rsidRPr="007C45C4">
        <w:rPr>
          <w:rFonts w:cs="Arial"/>
          <w:bCs/>
          <w:szCs w:val="15"/>
          <w:vertAlign w:val="subscript"/>
          <w:lang w:val="en-US"/>
        </w:rPr>
        <w:t>10</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xml:space="preserve">), 7.63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5.7 Hz, 1H, H</w:t>
      </w:r>
      <w:r w:rsidRPr="007C45C4">
        <w:rPr>
          <w:rFonts w:cs="Arial"/>
          <w:bCs/>
          <w:szCs w:val="15"/>
          <w:vertAlign w:val="superscript"/>
          <w:lang w:val="en-US"/>
        </w:rPr>
        <w:t>3/8</w:t>
      </w:r>
      <w:r w:rsidRPr="007C45C4">
        <w:rPr>
          <w:rFonts w:cs="Arial"/>
          <w:bCs/>
          <w:szCs w:val="15"/>
          <w:lang w:val="en-US"/>
        </w:rPr>
        <w:t>, C</w:t>
      </w:r>
      <w:r w:rsidRPr="007C45C4">
        <w:rPr>
          <w:rFonts w:cs="Arial"/>
          <w:bCs/>
          <w:szCs w:val="15"/>
          <w:vertAlign w:val="subscript"/>
          <w:lang w:val="en-US"/>
        </w:rPr>
        <w:t>10</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xml:space="preserve">), 8.10,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8.1 Hz, 2H,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10</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xml:space="preserve">), 8.33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8.1 Hz, 2H, H</w:t>
      </w:r>
      <w:r w:rsidRPr="007C45C4">
        <w:rPr>
          <w:rFonts w:cs="Arial"/>
          <w:bCs/>
          <w:szCs w:val="15"/>
          <w:vertAlign w:val="superscript"/>
          <w:lang w:val="en-US"/>
        </w:rPr>
        <w:t>5,6</w:t>
      </w:r>
      <w:r w:rsidRPr="007C45C4">
        <w:rPr>
          <w:rFonts w:cs="Arial"/>
          <w:bCs/>
          <w:szCs w:val="15"/>
          <w:lang w:val="en-US"/>
        </w:rPr>
        <w:t>, C</w:t>
      </w:r>
      <w:r w:rsidRPr="007C45C4">
        <w:rPr>
          <w:rFonts w:cs="Arial"/>
          <w:bCs/>
          <w:szCs w:val="15"/>
          <w:vertAlign w:val="subscript"/>
          <w:lang w:val="en-US"/>
        </w:rPr>
        <w:t>10</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xml:space="preserve">), 9.21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5.7 Hz, 1H, H</w:t>
      </w:r>
      <w:r w:rsidRPr="007C45C4">
        <w:rPr>
          <w:rFonts w:cs="Arial"/>
          <w:bCs/>
          <w:szCs w:val="15"/>
          <w:vertAlign w:val="superscript"/>
          <w:lang w:val="en-US"/>
        </w:rPr>
        <w:t>2/9</w:t>
      </w:r>
      <w:r w:rsidRPr="007C45C4">
        <w:rPr>
          <w:rFonts w:cs="Arial"/>
          <w:bCs/>
          <w:szCs w:val="15"/>
          <w:lang w:val="en-US"/>
        </w:rPr>
        <w:t>, C</w:t>
      </w:r>
      <w:r w:rsidRPr="007C45C4">
        <w:rPr>
          <w:rFonts w:cs="Arial"/>
          <w:bCs/>
          <w:szCs w:val="15"/>
          <w:vertAlign w:val="subscript"/>
          <w:lang w:val="en-US"/>
        </w:rPr>
        <w:t>10</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00F633EC" w:rsidRPr="007C45C4">
        <w:rPr>
          <w:rFonts w:cs="Arial"/>
          <w:bCs/>
          <w:szCs w:val="15"/>
          <w:lang w:val="en-US"/>
        </w:rPr>
        <w:t>), 9.37</w:t>
      </w:r>
      <w:r w:rsidRPr="007C45C4">
        <w:rPr>
          <w:rFonts w:cs="Arial"/>
          <w:bCs/>
          <w:szCs w:val="15"/>
          <w:lang w:val="en-US"/>
        </w:rPr>
        <w:t xml:space="preserve">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5.7 Hz, 1H, H</w:t>
      </w:r>
      <w:r w:rsidRPr="007C45C4">
        <w:rPr>
          <w:rFonts w:cs="Arial"/>
          <w:bCs/>
          <w:szCs w:val="15"/>
          <w:vertAlign w:val="superscript"/>
          <w:lang w:val="en-US"/>
        </w:rPr>
        <w:t>2/9</w:t>
      </w:r>
      <w:r w:rsidRPr="007C45C4">
        <w:rPr>
          <w:rFonts w:cs="Arial"/>
          <w:bCs/>
          <w:szCs w:val="15"/>
          <w:lang w:val="en-US"/>
        </w:rPr>
        <w:t>, C</w:t>
      </w:r>
      <w:r w:rsidRPr="007C45C4">
        <w:rPr>
          <w:rFonts w:cs="Arial"/>
          <w:bCs/>
          <w:szCs w:val="15"/>
          <w:vertAlign w:val="subscript"/>
          <w:lang w:val="en-US"/>
        </w:rPr>
        <w:t>10</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xml:space="preserve">). </w:t>
      </w:r>
      <w:r w:rsidRPr="007C45C4">
        <w:rPr>
          <w:rFonts w:cs="Arial"/>
          <w:bCs/>
          <w:szCs w:val="15"/>
          <w:vertAlign w:val="superscript"/>
          <w:lang w:val="en-US"/>
        </w:rPr>
        <w:t>13</w:t>
      </w:r>
      <w:r w:rsidRPr="007C45C4">
        <w:rPr>
          <w:rFonts w:cs="Arial"/>
          <w:bCs/>
          <w:szCs w:val="15"/>
          <w:lang w:val="en-US"/>
        </w:rPr>
        <w:t>C {</w:t>
      </w:r>
      <w:r w:rsidRPr="007C45C4">
        <w:rPr>
          <w:rFonts w:cs="Arial"/>
          <w:bCs/>
          <w:szCs w:val="15"/>
          <w:vertAlign w:val="superscript"/>
          <w:lang w:val="en-US"/>
        </w:rPr>
        <w:t>1</w:t>
      </w:r>
      <w:r w:rsidRPr="007C45C4">
        <w:rPr>
          <w:rFonts w:cs="Arial"/>
          <w:bCs/>
          <w:szCs w:val="15"/>
          <w:lang w:val="en-US"/>
        </w:rPr>
        <w:t>H} NMR (CD</w:t>
      </w:r>
      <w:r w:rsidRPr="007C45C4">
        <w:rPr>
          <w:rFonts w:cs="Arial"/>
          <w:bCs/>
          <w:szCs w:val="15"/>
          <w:vertAlign w:val="subscript"/>
          <w:lang w:val="en-US"/>
        </w:rPr>
        <w:t>3</w:t>
      </w:r>
      <w:r w:rsidRPr="007C45C4">
        <w:rPr>
          <w:rFonts w:cs="Arial"/>
          <w:bCs/>
          <w:szCs w:val="15"/>
          <w:lang w:val="en-US"/>
        </w:rPr>
        <w:t xml:space="preserve">CN; 125.77 MHz; δ ppm): 27.9 (1C, </w:t>
      </w:r>
      <w:r w:rsidRPr="007C45C4">
        <w:rPr>
          <w:rFonts w:cs="Arial"/>
          <w:bCs/>
          <w:i/>
          <w:szCs w:val="15"/>
          <w:lang w:val="en-US"/>
        </w:rPr>
        <w:t>C</w:t>
      </w:r>
      <w:r w:rsidRPr="007C45C4">
        <w:rPr>
          <w:rFonts w:cs="Arial"/>
          <w:bCs/>
          <w:szCs w:val="15"/>
          <w:lang w:val="en-US"/>
        </w:rPr>
        <w:t>H</w:t>
      </w:r>
      <w:r w:rsidRPr="007C45C4">
        <w:rPr>
          <w:rFonts w:cs="Arial"/>
          <w:bCs/>
          <w:szCs w:val="15"/>
          <w:vertAlign w:val="subscript"/>
          <w:lang w:val="en-US"/>
        </w:rPr>
        <w:t>2</w:t>
      </w:r>
      <w:r w:rsidRPr="007C45C4">
        <w:rPr>
          <w:rFonts w:cs="Arial"/>
          <w:bCs/>
          <w:szCs w:val="15"/>
          <w:lang w:val="en-US"/>
        </w:rPr>
        <w:t>), 79.6 (1C,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93.3 (1C,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99.9 (1C, C</w:t>
      </w:r>
      <w:r w:rsidRPr="007C45C4">
        <w:rPr>
          <w:rFonts w:cs="Arial"/>
          <w:bCs/>
          <w:szCs w:val="15"/>
          <w:vertAlign w:val="superscript"/>
          <w:lang w:val="en-US"/>
        </w:rPr>
        <w:t>1</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118.9 (1C,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119.1 (1C,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124.8 (1C,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125.6 (1C, C</w:t>
      </w:r>
      <w:r w:rsidRPr="007C45C4">
        <w:rPr>
          <w:rFonts w:cs="Arial"/>
          <w:bCs/>
          <w:szCs w:val="15"/>
          <w:vertAlign w:val="superscript"/>
          <w:lang w:val="en-US"/>
        </w:rPr>
        <w:t>4/7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126.1 (1C, C</w:t>
      </w:r>
      <w:r w:rsidRPr="007C45C4">
        <w:rPr>
          <w:rFonts w:cs="Arial"/>
          <w:bCs/>
          <w:szCs w:val="15"/>
          <w:vertAlign w:val="superscript"/>
          <w:lang w:val="en-US"/>
        </w:rPr>
        <w:t>4/7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126.6 (1C, C</w:t>
      </w:r>
      <w:r w:rsidRPr="007C45C4">
        <w:rPr>
          <w:rFonts w:cs="Arial"/>
          <w:bCs/>
          <w:szCs w:val="15"/>
          <w:vertAlign w:val="superscript"/>
          <w:lang w:val="en-US"/>
        </w:rPr>
        <w:t>5/5'</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10</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126.7 (1C, C</w:t>
      </w:r>
      <w:r w:rsidRPr="007C45C4">
        <w:rPr>
          <w:rFonts w:cs="Arial"/>
          <w:bCs/>
          <w:szCs w:val="15"/>
          <w:vertAlign w:val="superscript"/>
          <w:lang w:val="en-US"/>
        </w:rPr>
        <w:t>5/5'</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10</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127.1 (1C, C</w:t>
      </w:r>
      <w:r w:rsidRPr="007C45C4">
        <w:rPr>
          <w:rFonts w:cs="Arial"/>
          <w:bCs/>
          <w:szCs w:val="15"/>
          <w:vertAlign w:val="superscript"/>
          <w:lang w:val="en-US"/>
        </w:rPr>
        <w:t>3/3'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10</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127.2 (1C, C</w:t>
      </w:r>
      <w:r w:rsidRPr="007C45C4">
        <w:rPr>
          <w:rFonts w:cs="Arial"/>
          <w:bCs/>
          <w:szCs w:val="15"/>
          <w:vertAlign w:val="superscript"/>
          <w:lang w:val="en-US"/>
        </w:rPr>
        <w:t>3/3'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10</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128.1 (1C,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130.4 (1C, C</w:t>
      </w:r>
      <w:r w:rsidRPr="007C45C4">
        <w:rPr>
          <w:rFonts w:cs="Arial"/>
          <w:bCs/>
          <w:szCs w:val="15"/>
          <w:vertAlign w:val="superscript"/>
          <w:lang w:val="en-US"/>
        </w:rPr>
        <w:t>5/6</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130.6 (1C, C</w:t>
      </w:r>
      <w:r w:rsidRPr="007C45C4">
        <w:rPr>
          <w:rFonts w:cs="Arial"/>
          <w:bCs/>
          <w:szCs w:val="15"/>
          <w:vertAlign w:val="superscript"/>
          <w:lang w:val="en-US"/>
        </w:rPr>
        <w:t>5/6</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144.1 (1C, C</w:t>
      </w:r>
      <w:r w:rsidRPr="007C45C4">
        <w:rPr>
          <w:rFonts w:cs="Arial"/>
          <w:bCs/>
          <w:szCs w:val="15"/>
          <w:vertAlign w:val="superscript"/>
          <w:lang w:val="en-US"/>
        </w:rPr>
        <w:t>4</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144.2 (1C, C</w:t>
      </w:r>
      <w:r w:rsidRPr="007C45C4">
        <w:rPr>
          <w:rFonts w:cs="Arial"/>
          <w:bCs/>
          <w:szCs w:val="15"/>
          <w:vertAlign w:val="superscript"/>
          <w:lang w:val="en-US"/>
        </w:rPr>
        <w:t>4/4'</w:t>
      </w:r>
      <w:r w:rsidRPr="007C45C4">
        <w:rPr>
          <w:rFonts w:cs="Arial"/>
          <w:bCs/>
          <w:szCs w:val="15"/>
          <w:lang w:val="en-US"/>
        </w:rPr>
        <w:t>,</w:t>
      </w:r>
      <w:r w:rsidRPr="007C45C4">
        <w:rPr>
          <w:rFonts w:cs="Arial"/>
          <w:bCs/>
          <w:i/>
          <w:szCs w:val="15"/>
          <w:lang w:val="en-US"/>
        </w:rPr>
        <w:t xml:space="preserve"> C</w:t>
      </w:r>
      <w:r w:rsidRPr="007C45C4">
        <w:rPr>
          <w:rFonts w:cs="Arial"/>
          <w:bCs/>
          <w:szCs w:val="15"/>
          <w:vertAlign w:val="subscript"/>
          <w:lang w:val="en-US"/>
        </w:rPr>
        <w:t>10</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144.5 (1C, C</w:t>
      </w:r>
      <w:r w:rsidRPr="007C45C4">
        <w:rPr>
          <w:rFonts w:cs="Arial"/>
          <w:bCs/>
          <w:szCs w:val="15"/>
          <w:vertAlign w:val="superscript"/>
          <w:lang w:val="en-US"/>
        </w:rPr>
        <w:t>4/4'</w:t>
      </w:r>
      <w:r w:rsidRPr="007C45C4">
        <w:rPr>
          <w:rFonts w:cs="Arial"/>
          <w:bCs/>
          <w:szCs w:val="15"/>
          <w:lang w:val="en-US"/>
        </w:rPr>
        <w:t>,</w:t>
      </w:r>
      <w:r w:rsidRPr="007C45C4">
        <w:rPr>
          <w:rFonts w:cs="Arial"/>
          <w:bCs/>
          <w:i/>
          <w:szCs w:val="15"/>
          <w:lang w:val="en-US"/>
        </w:rPr>
        <w:t xml:space="preserve"> C</w:t>
      </w:r>
      <w:r w:rsidRPr="007C45C4">
        <w:rPr>
          <w:rFonts w:cs="Arial"/>
          <w:bCs/>
          <w:szCs w:val="15"/>
          <w:vertAlign w:val="subscript"/>
          <w:lang w:val="en-US"/>
        </w:rPr>
        <w:t>10</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147.1 (1C, C</w:t>
      </w:r>
      <w:r w:rsidRPr="007C45C4">
        <w:rPr>
          <w:rFonts w:cs="Arial"/>
          <w:bCs/>
          <w:szCs w:val="15"/>
          <w:vertAlign w:val="superscript"/>
          <w:lang w:val="en-US"/>
        </w:rPr>
        <w:t>4</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153.4 (1C, C</w:t>
      </w:r>
      <w:r w:rsidRPr="007C45C4">
        <w:rPr>
          <w:rFonts w:cs="Arial"/>
          <w:bCs/>
          <w:szCs w:val="15"/>
          <w:vertAlign w:val="superscript"/>
          <w:lang w:val="en-US"/>
        </w:rPr>
        <w:t>2/2'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10</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153.6 (1C, C</w:t>
      </w:r>
      <w:r w:rsidRPr="007C45C4">
        <w:rPr>
          <w:rFonts w:cs="Arial"/>
          <w:bCs/>
          <w:szCs w:val="15"/>
          <w:vertAlign w:val="superscript"/>
          <w:lang w:val="en-US"/>
        </w:rPr>
        <w:t>2/2'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10</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156.6 (1C, C</w:t>
      </w:r>
      <w:r w:rsidRPr="007C45C4">
        <w:rPr>
          <w:rFonts w:cs="Arial"/>
          <w:bCs/>
          <w:szCs w:val="15"/>
          <w:vertAlign w:val="superscript"/>
          <w:lang w:val="en-US"/>
        </w:rPr>
        <w:t>6/6'</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10</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157.5 (1C, C</w:t>
      </w:r>
      <w:r w:rsidRPr="007C45C4">
        <w:rPr>
          <w:rFonts w:cs="Arial"/>
          <w:bCs/>
          <w:szCs w:val="15"/>
          <w:vertAlign w:val="superscript"/>
          <w:lang w:val="en-US"/>
        </w:rPr>
        <w:t>6/6'</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10</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250.7 (1C, CO), 253.3 (1C, CO).</w:t>
      </w:r>
      <w:proofErr w:type="gramEnd"/>
      <w:r w:rsidRPr="007C45C4">
        <w:rPr>
          <w:rFonts w:cs="Arial"/>
          <w:bCs/>
          <w:szCs w:val="15"/>
          <w:lang w:val="en-US"/>
        </w:rPr>
        <w:t xml:space="preserve"> </w:t>
      </w:r>
      <w:proofErr w:type="gramStart"/>
      <w:r w:rsidRPr="007C45C4">
        <w:rPr>
          <w:rFonts w:cs="Arial"/>
          <w:szCs w:val="15"/>
          <w:lang w:val="en-US"/>
        </w:rPr>
        <w:t>IR(</w:t>
      </w:r>
      <w:proofErr w:type="gramEnd"/>
      <w:r w:rsidRPr="007C45C4">
        <w:rPr>
          <w:rFonts w:cs="Arial"/>
          <w:szCs w:val="15"/>
          <w:lang w:val="en-US"/>
        </w:rPr>
        <w:t>ATR; cm</w:t>
      </w:r>
      <w:r w:rsidRPr="007C45C4">
        <w:rPr>
          <w:rFonts w:cs="Arial"/>
          <w:szCs w:val="15"/>
          <w:vertAlign w:val="superscript"/>
          <w:lang w:val="en-US"/>
        </w:rPr>
        <w:t>–1</w:t>
      </w:r>
      <w:r w:rsidRPr="007C45C4">
        <w:rPr>
          <w:rFonts w:cs="Arial"/>
          <w:szCs w:val="15"/>
          <w:lang w:val="en-US"/>
        </w:rPr>
        <w:t>):</w:t>
      </w:r>
      <w:r w:rsidRPr="007C45C4">
        <w:rPr>
          <w:rFonts w:cs="Arial"/>
          <w:bCs/>
          <w:szCs w:val="15"/>
          <w:lang w:val="en-US"/>
        </w:rPr>
        <w:t xml:space="preserve"> 1962 vs [</w:t>
      </w:r>
      <w:proofErr w:type="spellStart"/>
      <w:r w:rsidRPr="007C45C4">
        <w:rPr>
          <w:rFonts w:cs="Arial"/>
          <w:bCs/>
          <w:szCs w:val="15"/>
          <w:lang w:val="en-US"/>
        </w:rPr>
        <w:t>ν</w:t>
      </w:r>
      <w:r w:rsidRPr="007C45C4">
        <w:rPr>
          <w:rFonts w:cs="Arial"/>
          <w:bCs/>
          <w:szCs w:val="15"/>
          <w:vertAlign w:val="subscript"/>
          <w:lang w:val="en-US"/>
        </w:rPr>
        <w:t>a</w:t>
      </w:r>
      <w:proofErr w:type="spellEnd"/>
      <w:r w:rsidRPr="007C45C4">
        <w:rPr>
          <w:rFonts w:cs="Arial"/>
          <w:bCs/>
          <w:szCs w:val="15"/>
          <w:lang w:val="en-US"/>
        </w:rPr>
        <w:t>(CO)], 1886 vs [</w:t>
      </w:r>
      <w:proofErr w:type="spellStart"/>
      <w:r w:rsidRPr="007C45C4">
        <w:rPr>
          <w:rFonts w:cs="Arial"/>
          <w:bCs/>
          <w:szCs w:val="15"/>
          <w:lang w:val="en-US"/>
        </w:rPr>
        <w:t>ν</w:t>
      </w:r>
      <w:r w:rsidRPr="007C45C4">
        <w:rPr>
          <w:rFonts w:cs="Arial"/>
          <w:bCs/>
          <w:szCs w:val="15"/>
          <w:vertAlign w:val="subscript"/>
          <w:lang w:val="en-US"/>
        </w:rPr>
        <w:t>s</w:t>
      </w:r>
      <w:proofErr w:type="spellEnd"/>
      <w:r w:rsidRPr="007C45C4">
        <w:rPr>
          <w:rFonts w:cs="Arial"/>
          <w:bCs/>
          <w:szCs w:val="15"/>
          <w:lang w:val="en-US"/>
        </w:rPr>
        <w:t>(CO)], 1055 vs, br. [ν(BF)].</w:t>
      </w:r>
    </w:p>
    <w:p w14:paraId="151B26E6" w14:textId="77777777" w:rsidR="005A5FB8" w:rsidRPr="007C45C4" w:rsidRDefault="00AE37FC" w:rsidP="005A5FB8">
      <w:pPr>
        <w:pStyle w:val="RSCB06BHeadingSub-Section"/>
        <w:rPr>
          <w:lang w:val="en-US"/>
        </w:rPr>
      </w:pPr>
      <w:r w:rsidRPr="007C45C4">
        <w:rPr>
          <w:lang w:val="en-US"/>
        </w:rPr>
        <w:t>Synthesis of [(</w:t>
      </w:r>
      <w:r w:rsidRPr="007C45C4">
        <w:rPr>
          <w:i/>
          <w:lang w:val="en-US"/>
        </w:rPr>
        <w:t>η</w:t>
      </w:r>
      <w:r w:rsidRPr="007C45C4">
        <w:rPr>
          <w:vertAlign w:val="superscript"/>
          <w:lang w:val="en-US"/>
        </w:rPr>
        <w:t>5</w:t>
      </w:r>
      <w:r w:rsidRPr="007C45C4">
        <w:rPr>
          <w:lang w:val="en-US"/>
        </w:rPr>
        <w:t>-C</w:t>
      </w:r>
      <w:r w:rsidRPr="007C45C4">
        <w:rPr>
          <w:vertAlign w:val="subscript"/>
          <w:lang w:val="en-US"/>
        </w:rPr>
        <w:t>5</w:t>
      </w:r>
      <w:r w:rsidRPr="007C45C4">
        <w:rPr>
          <w:lang w:val="en-US"/>
        </w:rPr>
        <w:t>H</w:t>
      </w:r>
      <w:r w:rsidRPr="007C45C4">
        <w:rPr>
          <w:vertAlign w:val="subscript"/>
          <w:lang w:val="en-US"/>
        </w:rPr>
        <w:t>4</w:t>
      </w:r>
      <w:r w:rsidRPr="007C45C4">
        <w:rPr>
          <w:lang w:val="en-US"/>
        </w:rPr>
        <w:t>CH</w:t>
      </w:r>
      <w:r w:rsidRPr="007C45C4">
        <w:rPr>
          <w:vertAlign w:val="subscript"/>
          <w:lang w:val="en-US"/>
        </w:rPr>
        <w:t>2</w:t>
      </w:r>
      <w:r w:rsidRPr="007C45C4">
        <w:rPr>
          <w:lang w:val="en-US"/>
        </w:rPr>
        <w:t>C</w:t>
      </w:r>
      <w:r w:rsidRPr="007C45C4">
        <w:rPr>
          <w:vertAlign w:val="subscript"/>
          <w:lang w:val="en-US"/>
        </w:rPr>
        <w:t>4</w:t>
      </w:r>
      <w:r w:rsidRPr="007C45C4">
        <w:rPr>
          <w:lang w:val="en-US"/>
        </w:rPr>
        <w:t>H</w:t>
      </w:r>
      <w:r w:rsidRPr="007C45C4">
        <w:rPr>
          <w:vertAlign w:val="subscript"/>
          <w:lang w:val="en-US"/>
        </w:rPr>
        <w:t>3</w:t>
      </w:r>
      <w:r w:rsidRPr="007C45C4">
        <w:rPr>
          <w:lang w:val="en-US"/>
        </w:rPr>
        <w:t>S</w:t>
      </w:r>
      <w:proofErr w:type="gramStart"/>
      <w:r w:rsidRPr="007C45C4">
        <w:rPr>
          <w:lang w:val="en-US"/>
        </w:rPr>
        <w:t>)Mo</w:t>
      </w:r>
      <w:proofErr w:type="gramEnd"/>
      <w:r w:rsidRPr="007C45C4">
        <w:rPr>
          <w:lang w:val="en-US"/>
        </w:rPr>
        <w:t>(CO)</w:t>
      </w:r>
      <w:r w:rsidRPr="007C45C4">
        <w:rPr>
          <w:vertAlign w:val="subscript"/>
          <w:lang w:val="en-US"/>
        </w:rPr>
        <w:t>2</w:t>
      </w:r>
      <w:r w:rsidRPr="007C45C4">
        <w:rPr>
          <w:lang w:val="en-US"/>
        </w:rPr>
        <w:t>(</w:t>
      </w:r>
      <w:proofErr w:type="spellStart"/>
      <w:r w:rsidRPr="007C45C4">
        <w:rPr>
          <w:lang w:val="en-US"/>
        </w:rPr>
        <w:t>phen</w:t>
      </w:r>
      <w:proofErr w:type="spellEnd"/>
      <w:r w:rsidRPr="007C45C4">
        <w:rPr>
          <w:lang w:val="en-US"/>
        </w:rPr>
        <w:t>)][BF</w:t>
      </w:r>
      <w:r w:rsidRPr="007C45C4">
        <w:rPr>
          <w:vertAlign w:val="subscript"/>
          <w:lang w:val="en-US"/>
        </w:rPr>
        <w:t>4</w:t>
      </w:r>
      <w:r w:rsidRPr="007C45C4">
        <w:rPr>
          <w:lang w:val="en-US"/>
        </w:rPr>
        <w:t>] (5)</w:t>
      </w:r>
    </w:p>
    <w:p w14:paraId="4DAFFC40" w14:textId="77777777" w:rsidR="005A5FB8" w:rsidRPr="007C45C4" w:rsidRDefault="00AE37FC" w:rsidP="005A5FB8">
      <w:pPr>
        <w:pStyle w:val="RSCB02ArticleText"/>
        <w:rPr>
          <w:rFonts w:cs="Arial"/>
          <w:bCs/>
          <w:szCs w:val="15"/>
          <w:lang w:val="en-US"/>
        </w:rPr>
      </w:pPr>
      <w:r w:rsidRPr="007C45C4">
        <w:rPr>
          <w:rFonts w:cs="Arial"/>
          <w:bCs/>
          <w:szCs w:val="15"/>
          <w:lang w:val="en-US"/>
        </w:rPr>
        <w:t xml:space="preserve">The reaction was performed as was described for </w:t>
      </w:r>
      <w:proofErr w:type="gramStart"/>
      <w:r w:rsidRPr="007C45C4">
        <w:rPr>
          <w:rFonts w:cs="Arial"/>
          <w:b/>
          <w:bCs/>
          <w:szCs w:val="15"/>
          <w:lang w:val="en-US"/>
        </w:rPr>
        <w:t>4</w:t>
      </w:r>
      <w:proofErr w:type="gramEnd"/>
      <w:r w:rsidRPr="007C45C4">
        <w:rPr>
          <w:rFonts w:cs="Arial"/>
          <w:bCs/>
          <w:szCs w:val="15"/>
          <w:lang w:val="en-US"/>
        </w:rPr>
        <w:t xml:space="preserve"> but with </w:t>
      </w:r>
      <w:r w:rsidRPr="007C45C4">
        <w:rPr>
          <w:rFonts w:cs="Arial"/>
          <w:b/>
          <w:bCs/>
          <w:szCs w:val="15"/>
          <w:lang w:val="en-US"/>
        </w:rPr>
        <w:t>3</w:t>
      </w:r>
      <w:r w:rsidRPr="007C45C4">
        <w:rPr>
          <w:rFonts w:cs="Arial"/>
          <w:bCs/>
          <w:szCs w:val="15"/>
          <w:lang w:val="en-US"/>
        </w:rPr>
        <w:t xml:space="preserve"> (266 mg, 0.5 </w:t>
      </w:r>
      <w:proofErr w:type="spellStart"/>
      <w:r w:rsidRPr="007C45C4">
        <w:rPr>
          <w:rFonts w:cs="Arial"/>
          <w:bCs/>
          <w:szCs w:val="15"/>
          <w:lang w:val="en-US"/>
        </w:rPr>
        <w:t>mmol</w:t>
      </w:r>
      <w:proofErr w:type="spellEnd"/>
      <w:r w:rsidRPr="007C45C4">
        <w:rPr>
          <w:rFonts w:cs="Arial"/>
          <w:bCs/>
          <w:szCs w:val="15"/>
          <w:lang w:val="en-US"/>
        </w:rPr>
        <w:t xml:space="preserve">) and </w:t>
      </w:r>
      <w:proofErr w:type="spellStart"/>
      <w:r w:rsidRPr="007C45C4">
        <w:rPr>
          <w:rFonts w:cs="Arial"/>
          <w:bCs/>
          <w:szCs w:val="15"/>
          <w:lang w:val="en-US"/>
        </w:rPr>
        <w:t>phen</w:t>
      </w:r>
      <w:proofErr w:type="spellEnd"/>
      <w:r w:rsidRPr="007C45C4">
        <w:rPr>
          <w:rFonts w:cs="Arial"/>
          <w:bCs/>
          <w:szCs w:val="15"/>
          <w:lang w:val="en-US"/>
        </w:rPr>
        <w:t xml:space="preserve"> (90.1 mg, 0.5 </w:t>
      </w:r>
      <w:proofErr w:type="spellStart"/>
      <w:r w:rsidRPr="007C45C4">
        <w:rPr>
          <w:rFonts w:cs="Arial"/>
          <w:bCs/>
          <w:szCs w:val="15"/>
          <w:lang w:val="en-US"/>
        </w:rPr>
        <w:t>mmol</w:t>
      </w:r>
      <w:proofErr w:type="spellEnd"/>
      <w:r w:rsidRPr="007C45C4">
        <w:rPr>
          <w:rFonts w:cs="Arial"/>
          <w:bCs/>
          <w:szCs w:val="15"/>
          <w:lang w:val="en-US"/>
        </w:rPr>
        <w:t>). The crude product was washed with diethyl ether (3 × 7 mL) and recrystallized from a CH</w:t>
      </w:r>
      <w:r w:rsidRPr="007C45C4">
        <w:rPr>
          <w:rFonts w:cs="Arial"/>
          <w:bCs/>
          <w:szCs w:val="15"/>
          <w:vertAlign w:val="subscript"/>
          <w:lang w:val="en-US"/>
        </w:rPr>
        <w:t>2</w:t>
      </w:r>
      <w:r w:rsidRPr="007C45C4">
        <w:rPr>
          <w:rFonts w:cs="Arial"/>
          <w:bCs/>
          <w:szCs w:val="15"/>
          <w:lang w:val="en-US"/>
        </w:rPr>
        <w:t>Cl</w:t>
      </w:r>
      <w:r w:rsidRPr="007C45C4">
        <w:rPr>
          <w:rFonts w:cs="Arial"/>
          <w:bCs/>
          <w:szCs w:val="15"/>
          <w:vertAlign w:val="subscript"/>
          <w:lang w:val="en-US"/>
        </w:rPr>
        <w:t>2</w:t>
      </w:r>
      <w:r w:rsidRPr="007C45C4">
        <w:rPr>
          <w:rFonts w:cs="Arial"/>
          <w:bCs/>
          <w:szCs w:val="15"/>
          <w:lang w:val="en-US"/>
        </w:rPr>
        <w:t>/Et</w:t>
      </w:r>
      <w:r w:rsidRPr="007C45C4">
        <w:rPr>
          <w:rFonts w:cs="Arial"/>
          <w:bCs/>
          <w:szCs w:val="15"/>
          <w:vertAlign w:val="subscript"/>
          <w:lang w:val="en-US"/>
        </w:rPr>
        <w:t>2</w:t>
      </w:r>
      <w:r w:rsidRPr="007C45C4">
        <w:rPr>
          <w:rFonts w:cs="Arial"/>
          <w:bCs/>
          <w:szCs w:val="15"/>
          <w:lang w:val="en-US"/>
        </w:rPr>
        <w:t xml:space="preserve">O mixture to afford red powder of </w:t>
      </w:r>
      <w:r w:rsidRPr="007C45C4">
        <w:rPr>
          <w:rFonts w:cs="Arial"/>
          <w:b/>
          <w:bCs/>
          <w:szCs w:val="15"/>
          <w:lang w:val="en-US"/>
        </w:rPr>
        <w:t>5</w:t>
      </w:r>
      <w:r w:rsidRPr="007C45C4">
        <w:rPr>
          <w:rFonts w:cs="Arial"/>
          <w:bCs/>
          <w:szCs w:val="15"/>
          <w:lang w:val="en-US"/>
        </w:rPr>
        <w:t xml:space="preserve"> (233 mg, 0,37 </w:t>
      </w:r>
      <w:proofErr w:type="spellStart"/>
      <w:r w:rsidRPr="007C45C4">
        <w:rPr>
          <w:rFonts w:cs="Arial"/>
          <w:bCs/>
          <w:szCs w:val="15"/>
          <w:lang w:val="en-US"/>
        </w:rPr>
        <w:t>mmol</w:t>
      </w:r>
      <w:proofErr w:type="spellEnd"/>
      <w:r w:rsidRPr="007C45C4">
        <w:rPr>
          <w:rFonts w:cs="Arial"/>
          <w:bCs/>
          <w:szCs w:val="15"/>
          <w:lang w:val="en-US"/>
        </w:rPr>
        <w:t>, 73%).</w:t>
      </w:r>
      <w:proofErr w:type="spellStart"/>
      <w:r w:rsidRPr="007C45C4">
        <w:rPr>
          <w:rFonts w:cs="Arial"/>
          <w:szCs w:val="15"/>
          <w:lang w:val="en-US"/>
        </w:rPr>
        <w:t>Calcd</w:t>
      </w:r>
      <w:proofErr w:type="spellEnd"/>
      <w:r w:rsidRPr="007C45C4">
        <w:rPr>
          <w:rFonts w:cs="Arial"/>
          <w:szCs w:val="15"/>
          <w:lang w:val="en-US"/>
        </w:rPr>
        <w:t xml:space="preserve"> forC</w:t>
      </w:r>
      <w:r w:rsidRPr="007C45C4">
        <w:rPr>
          <w:rFonts w:cs="Arial"/>
          <w:szCs w:val="15"/>
          <w:vertAlign w:val="subscript"/>
          <w:lang w:val="en-US"/>
        </w:rPr>
        <w:t>28</w:t>
      </w:r>
      <w:r w:rsidRPr="007C45C4">
        <w:rPr>
          <w:rFonts w:cs="Arial"/>
          <w:szCs w:val="15"/>
          <w:lang w:val="en-US"/>
        </w:rPr>
        <w:t>H</w:t>
      </w:r>
      <w:r w:rsidRPr="007C45C4">
        <w:rPr>
          <w:rFonts w:cs="Arial"/>
          <w:szCs w:val="15"/>
          <w:vertAlign w:val="subscript"/>
          <w:lang w:val="en-US"/>
        </w:rPr>
        <w:t>19</w:t>
      </w:r>
      <w:r w:rsidRPr="007C45C4">
        <w:rPr>
          <w:rFonts w:cs="Arial"/>
          <w:szCs w:val="15"/>
          <w:lang w:val="en-US"/>
        </w:rPr>
        <w:t>N</w:t>
      </w:r>
      <w:r w:rsidRPr="007C45C4">
        <w:rPr>
          <w:rFonts w:cs="Arial"/>
          <w:szCs w:val="15"/>
          <w:vertAlign w:val="subscript"/>
          <w:lang w:val="en-US"/>
        </w:rPr>
        <w:t>2</w:t>
      </w:r>
      <w:r w:rsidRPr="007C45C4">
        <w:rPr>
          <w:rFonts w:cs="Arial"/>
          <w:szCs w:val="15"/>
          <w:lang w:val="en-US"/>
        </w:rPr>
        <w:t>O</w:t>
      </w:r>
      <w:r w:rsidRPr="007C45C4">
        <w:rPr>
          <w:rFonts w:cs="Arial"/>
          <w:szCs w:val="15"/>
          <w:vertAlign w:val="subscript"/>
          <w:lang w:val="en-US"/>
        </w:rPr>
        <w:t>2</w:t>
      </w:r>
      <w:r w:rsidRPr="007C45C4">
        <w:rPr>
          <w:rFonts w:cs="Arial"/>
          <w:szCs w:val="15"/>
          <w:lang w:val="en-US"/>
        </w:rPr>
        <w:t>SMoBF</w:t>
      </w:r>
      <w:r w:rsidRPr="007C45C4">
        <w:rPr>
          <w:rFonts w:cs="Arial"/>
          <w:szCs w:val="15"/>
          <w:vertAlign w:val="subscript"/>
          <w:lang w:val="en-US"/>
        </w:rPr>
        <w:t>4</w:t>
      </w:r>
      <w:r w:rsidRPr="007C45C4">
        <w:rPr>
          <w:rFonts w:cs="Arial"/>
          <w:szCs w:val="15"/>
          <w:lang w:val="en-US"/>
        </w:rPr>
        <w:t xml:space="preserve">: C, 53.16; H, 3.03; N, 4.43; S, 5.06. </w:t>
      </w:r>
      <w:proofErr w:type="gramStart"/>
      <w:r w:rsidRPr="007C45C4">
        <w:rPr>
          <w:rFonts w:cs="Arial"/>
          <w:szCs w:val="15"/>
          <w:lang w:val="en-US"/>
        </w:rPr>
        <w:t>Found:</w:t>
      </w:r>
      <w:proofErr w:type="gramEnd"/>
      <w:r w:rsidRPr="007C45C4">
        <w:rPr>
          <w:rFonts w:cs="Arial"/>
          <w:szCs w:val="15"/>
          <w:lang w:val="en-US"/>
        </w:rPr>
        <w:t xml:space="preserve"> C, 53.32; H, 3.21; N, 4.54; S 5.13. </w:t>
      </w:r>
      <w:proofErr w:type="gramStart"/>
      <w:r w:rsidRPr="007C45C4">
        <w:rPr>
          <w:rFonts w:cs="Arial"/>
          <w:szCs w:val="15"/>
          <w:lang w:val="en-US"/>
        </w:rPr>
        <w:t>Positive-ion MS (</w:t>
      </w:r>
      <w:proofErr w:type="spellStart"/>
      <w:r w:rsidRPr="007C45C4">
        <w:rPr>
          <w:rFonts w:cs="Arial"/>
          <w:szCs w:val="15"/>
          <w:lang w:val="en-US"/>
        </w:rPr>
        <w:t>MeCN</w:t>
      </w:r>
      <w:proofErr w:type="spellEnd"/>
      <w:r w:rsidRPr="007C45C4">
        <w:rPr>
          <w:rFonts w:cs="Arial"/>
          <w:szCs w:val="15"/>
          <w:lang w:val="en-US"/>
        </w:rPr>
        <w:t>): m/z (%) = 545 (100) [M]</w:t>
      </w:r>
      <w:r w:rsidRPr="007C45C4">
        <w:rPr>
          <w:rFonts w:cs="Arial"/>
          <w:szCs w:val="15"/>
          <w:vertAlign w:val="superscript"/>
          <w:lang w:val="en-US"/>
        </w:rPr>
        <w:t>+</w:t>
      </w:r>
      <w:r w:rsidRPr="007C45C4">
        <w:rPr>
          <w:rFonts w:cs="Arial"/>
          <w:szCs w:val="15"/>
          <w:lang w:val="en-US"/>
        </w:rPr>
        <w:t>.</w:t>
      </w:r>
      <w:r w:rsidRPr="007C45C4">
        <w:rPr>
          <w:rFonts w:cs="Arial"/>
          <w:bCs/>
          <w:szCs w:val="15"/>
          <w:vertAlign w:val="superscript"/>
          <w:lang w:val="en-US"/>
        </w:rPr>
        <w:t>1</w:t>
      </w:r>
      <w:r w:rsidRPr="007C45C4">
        <w:rPr>
          <w:rFonts w:cs="Arial"/>
          <w:bCs/>
          <w:szCs w:val="15"/>
          <w:lang w:val="en-US"/>
        </w:rPr>
        <w:t>H NMR (CD</w:t>
      </w:r>
      <w:r w:rsidRPr="007C45C4">
        <w:rPr>
          <w:rFonts w:cs="Arial"/>
          <w:bCs/>
          <w:szCs w:val="15"/>
          <w:vertAlign w:val="subscript"/>
          <w:lang w:val="en-US"/>
        </w:rPr>
        <w:t>3</w:t>
      </w:r>
      <w:r w:rsidRPr="007C45C4">
        <w:rPr>
          <w:rFonts w:cs="Arial"/>
          <w:bCs/>
          <w:szCs w:val="15"/>
          <w:lang w:val="en-US"/>
        </w:rPr>
        <w:t xml:space="preserve">CN; 500 MHz; δ ppm): 4.25 (d, </w:t>
      </w:r>
      <w:r w:rsidRPr="007C45C4">
        <w:rPr>
          <w:rFonts w:cs="Arial"/>
          <w:bCs/>
          <w:szCs w:val="15"/>
          <w:vertAlign w:val="superscript"/>
          <w:lang w:val="en-US"/>
        </w:rPr>
        <w:t>2</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15.7 Hz, 1H,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4.86 (d, </w:t>
      </w:r>
      <w:r w:rsidRPr="007C45C4">
        <w:rPr>
          <w:rFonts w:cs="Arial"/>
          <w:bCs/>
          <w:szCs w:val="15"/>
          <w:vertAlign w:val="superscript"/>
          <w:lang w:val="en-US"/>
        </w:rPr>
        <w:t>2</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15.7 Hz, 1H,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5.70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2.7 Hz, 1H,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6.26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7.8 Hz, 1H, H</w:t>
      </w:r>
      <w:r w:rsidRPr="007C45C4">
        <w:rPr>
          <w:rFonts w:cs="Arial"/>
          <w:bCs/>
          <w:szCs w:val="15"/>
          <w:vertAlign w:val="superscript"/>
          <w:lang w:val="en-US"/>
        </w:rPr>
        <w:t>5</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6.34 (t,</w:t>
      </w:r>
      <w:r w:rsidRPr="007C45C4">
        <w:rPr>
          <w:rFonts w:cs="Arial"/>
          <w:bCs/>
          <w:szCs w:val="15"/>
          <w:vertAlign w:val="superscript"/>
          <w:lang w:val="en-US"/>
        </w:rPr>
        <w:t xml:space="preserve"> 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7.8 Hz, 1H, H</w:t>
      </w:r>
      <w:r w:rsidRPr="007C45C4">
        <w:rPr>
          <w:rFonts w:cs="Arial"/>
          <w:bCs/>
          <w:szCs w:val="15"/>
          <w:vertAlign w:val="superscript"/>
          <w:lang w:val="en-US"/>
        </w:rPr>
        <w:t>6</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6.57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2.7 Hz, 1H,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6.73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7.8 Hz, 1H, H</w:t>
      </w:r>
      <w:r w:rsidRPr="007C45C4">
        <w:rPr>
          <w:rFonts w:cs="Arial"/>
          <w:bCs/>
          <w:szCs w:val="15"/>
          <w:vertAlign w:val="superscript"/>
          <w:lang w:val="en-US"/>
        </w:rPr>
        <w:t>4</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6.91 </w:t>
      </w:r>
      <w:r w:rsidRPr="007C45C4">
        <w:rPr>
          <w:rFonts w:cs="Arial"/>
          <w:bCs/>
          <w:szCs w:val="15"/>
          <w:lang w:val="en-US"/>
        </w:rPr>
        <w:t>(</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 xml:space="preserve">(1H,1H) = 5.3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3.6 Hz, 1H,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6.99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3.6 Hz, 1H,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7.03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7.8 Hz, 1H, H</w:t>
      </w:r>
      <w:r w:rsidRPr="007C45C4">
        <w:rPr>
          <w:rFonts w:cs="Arial"/>
          <w:bCs/>
          <w:szCs w:val="15"/>
          <w:vertAlign w:val="superscript"/>
          <w:lang w:val="en-US"/>
        </w:rPr>
        <w:t>7</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7.21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5.3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1.0 Hz, 1H, H</w:t>
      </w:r>
      <w:r w:rsidRPr="007C45C4">
        <w:rPr>
          <w:rFonts w:cs="Arial"/>
          <w:bCs/>
          <w:szCs w:val="15"/>
          <w:vertAlign w:val="superscript"/>
          <w:lang w:val="en-US"/>
        </w:rPr>
        <w:t>4</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S), 7.95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8.2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5.3 Hz ,2H, H</w:t>
      </w:r>
      <w:r w:rsidRPr="007C45C4">
        <w:rPr>
          <w:rFonts w:cs="Arial"/>
          <w:bCs/>
          <w:szCs w:val="15"/>
          <w:vertAlign w:val="superscript"/>
          <w:lang w:val="en-US"/>
        </w:rPr>
        <w:t>3/8</w:t>
      </w:r>
      <w:r w:rsidRPr="007C45C4">
        <w:rPr>
          <w:rFonts w:cs="Arial"/>
          <w:bCs/>
          <w:szCs w:val="15"/>
          <w:lang w:val="en-US"/>
        </w:rPr>
        <w:t>,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7.99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8.2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5.3 Hz ,2H, H</w:t>
      </w:r>
      <w:r w:rsidRPr="007C45C4">
        <w:rPr>
          <w:rFonts w:cs="Arial"/>
          <w:bCs/>
          <w:szCs w:val="15"/>
          <w:vertAlign w:val="superscript"/>
          <w:lang w:val="en-US"/>
        </w:rPr>
        <w:t>3/8</w:t>
      </w:r>
      <w:r w:rsidRPr="007C45C4">
        <w:rPr>
          <w:rFonts w:cs="Arial"/>
          <w:bCs/>
          <w:szCs w:val="15"/>
          <w:lang w:val="en-US"/>
        </w:rPr>
        <w:t>,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8.07 (s, 2H, H</w:t>
      </w:r>
      <w:r w:rsidRPr="007C45C4">
        <w:rPr>
          <w:rFonts w:cs="Arial"/>
          <w:bCs/>
          <w:szCs w:val="15"/>
          <w:vertAlign w:val="superscript"/>
          <w:lang w:val="en-US"/>
        </w:rPr>
        <w:t>5/6</w:t>
      </w:r>
      <w:r w:rsidRPr="007C45C4">
        <w:rPr>
          <w:rFonts w:cs="Arial"/>
          <w:bCs/>
          <w:szCs w:val="15"/>
          <w:lang w:val="en-US"/>
        </w:rPr>
        <w:t>,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8.67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8.2 Hz, </w:t>
      </w:r>
      <w:r w:rsidRPr="007C45C4">
        <w:rPr>
          <w:rFonts w:cs="Arial"/>
          <w:bCs/>
          <w:szCs w:val="15"/>
          <w:vertAlign w:val="superscript"/>
          <w:lang w:val="en-US"/>
        </w:rPr>
        <w:t>4</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0.9 Hz, 2H,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9.60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5.4 Hz, </w:t>
      </w:r>
      <w:r w:rsidRPr="007C45C4">
        <w:rPr>
          <w:rFonts w:cs="Arial"/>
          <w:bCs/>
          <w:szCs w:val="15"/>
          <w:vertAlign w:val="superscript"/>
          <w:lang w:val="en-US"/>
        </w:rPr>
        <w:t>4</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0.9 Hz, 1H, H</w:t>
      </w:r>
      <w:r w:rsidRPr="007C45C4">
        <w:rPr>
          <w:rFonts w:cs="Arial"/>
          <w:bCs/>
          <w:szCs w:val="15"/>
          <w:vertAlign w:val="superscript"/>
          <w:lang w:val="en-US"/>
        </w:rPr>
        <w:t>2/9</w:t>
      </w:r>
      <w:r w:rsidRPr="007C45C4">
        <w:rPr>
          <w:rFonts w:cs="Arial"/>
          <w:bCs/>
          <w:szCs w:val="15"/>
          <w:lang w:val="en-US"/>
        </w:rPr>
        <w:t xml:space="preserve">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9.71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5.4 Hz, </w:t>
      </w:r>
      <w:r w:rsidRPr="007C45C4">
        <w:rPr>
          <w:rFonts w:cs="Arial"/>
          <w:bCs/>
          <w:szCs w:val="15"/>
          <w:vertAlign w:val="superscript"/>
          <w:lang w:val="en-US"/>
        </w:rPr>
        <w:t>4</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0.9 Hz 1H, H</w:t>
      </w:r>
      <w:r w:rsidRPr="007C45C4">
        <w:rPr>
          <w:rFonts w:cs="Arial"/>
          <w:bCs/>
          <w:szCs w:val="15"/>
          <w:vertAlign w:val="superscript"/>
          <w:lang w:val="en-US"/>
        </w:rPr>
        <w:t>2/9</w:t>
      </w:r>
      <w:r w:rsidRPr="007C45C4">
        <w:rPr>
          <w:rFonts w:cs="Arial"/>
          <w:bCs/>
          <w:szCs w:val="15"/>
          <w:lang w:val="en-US"/>
        </w:rPr>
        <w:t>,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xml:space="preserve">). </w:t>
      </w:r>
      <w:r w:rsidRPr="007C45C4">
        <w:rPr>
          <w:rFonts w:cs="Arial"/>
          <w:bCs/>
          <w:szCs w:val="15"/>
          <w:vertAlign w:val="superscript"/>
          <w:lang w:val="en-US"/>
        </w:rPr>
        <w:t>13</w:t>
      </w:r>
      <w:r w:rsidRPr="007C45C4">
        <w:rPr>
          <w:rFonts w:cs="Arial"/>
          <w:bCs/>
          <w:szCs w:val="15"/>
          <w:lang w:val="en-US"/>
        </w:rPr>
        <w:t>C {</w:t>
      </w:r>
      <w:r w:rsidRPr="007C45C4">
        <w:rPr>
          <w:rFonts w:cs="Arial"/>
          <w:bCs/>
          <w:szCs w:val="15"/>
          <w:vertAlign w:val="superscript"/>
          <w:lang w:val="en-US"/>
        </w:rPr>
        <w:t>1</w:t>
      </w:r>
      <w:r w:rsidRPr="007C45C4">
        <w:rPr>
          <w:rFonts w:cs="Arial"/>
          <w:bCs/>
          <w:szCs w:val="15"/>
          <w:lang w:val="en-US"/>
        </w:rPr>
        <w:t>H} NMR (CD</w:t>
      </w:r>
      <w:r w:rsidRPr="007C45C4">
        <w:rPr>
          <w:rFonts w:cs="Arial"/>
          <w:bCs/>
          <w:szCs w:val="15"/>
          <w:vertAlign w:val="subscript"/>
          <w:lang w:val="en-US"/>
        </w:rPr>
        <w:t>3</w:t>
      </w:r>
      <w:r w:rsidRPr="007C45C4">
        <w:rPr>
          <w:rFonts w:cs="Arial"/>
          <w:bCs/>
          <w:szCs w:val="15"/>
          <w:lang w:val="en-US"/>
        </w:rPr>
        <w:t xml:space="preserve">CN; 125.77 MHz; δ ppm): 28.0 (1C, </w:t>
      </w:r>
      <w:r w:rsidRPr="007C45C4">
        <w:rPr>
          <w:rFonts w:cs="Arial"/>
          <w:bCs/>
          <w:i/>
          <w:szCs w:val="15"/>
          <w:lang w:val="en-US"/>
        </w:rPr>
        <w:t>C</w:t>
      </w:r>
      <w:r w:rsidRPr="007C45C4">
        <w:rPr>
          <w:rFonts w:cs="Arial"/>
          <w:bCs/>
          <w:szCs w:val="15"/>
          <w:lang w:val="en-US"/>
        </w:rPr>
        <w:t>H</w:t>
      </w:r>
      <w:r w:rsidRPr="007C45C4">
        <w:rPr>
          <w:rFonts w:cs="Arial"/>
          <w:bCs/>
          <w:szCs w:val="15"/>
          <w:vertAlign w:val="subscript"/>
          <w:lang w:val="en-US"/>
        </w:rPr>
        <w:t>2</w:t>
      </w:r>
      <w:r w:rsidRPr="007C45C4">
        <w:rPr>
          <w:rFonts w:cs="Arial"/>
          <w:bCs/>
          <w:szCs w:val="15"/>
          <w:lang w:val="en-US"/>
        </w:rPr>
        <w:t>), 79.3 (1C,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92.9 (1C,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99.9 (1C, C</w:t>
      </w:r>
      <w:r w:rsidRPr="007C45C4">
        <w:rPr>
          <w:rFonts w:cs="Arial"/>
          <w:bCs/>
          <w:szCs w:val="15"/>
          <w:vertAlign w:val="superscript"/>
          <w:lang w:val="en-US"/>
        </w:rPr>
        <w:t>1</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118.9 (1C,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119.1 (1C,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124.8 (1C, C</w:t>
      </w:r>
      <w:r w:rsidRPr="007C45C4">
        <w:rPr>
          <w:rFonts w:cs="Arial"/>
          <w:bCs/>
          <w:szCs w:val="15"/>
          <w:vertAlign w:val="superscript"/>
          <w:lang w:val="en-US"/>
        </w:rPr>
        <w:t>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125.7 (1C, C</w:t>
      </w:r>
      <w:r w:rsidRPr="007C45C4">
        <w:rPr>
          <w:rFonts w:cs="Arial"/>
          <w:bCs/>
          <w:szCs w:val="15"/>
          <w:vertAlign w:val="superscript"/>
          <w:lang w:val="en-US"/>
        </w:rPr>
        <w:t>4</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125.9 (1C, C</w:t>
      </w:r>
      <w:r w:rsidRPr="007C45C4">
        <w:rPr>
          <w:rFonts w:cs="Arial"/>
          <w:bCs/>
          <w:szCs w:val="15"/>
          <w:vertAlign w:val="superscript"/>
          <w:lang w:val="en-US"/>
        </w:rPr>
        <w:t>3/8</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126.2 (1C, C</w:t>
      </w:r>
      <w:r w:rsidRPr="007C45C4">
        <w:rPr>
          <w:rFonts w:cs="Arial"/>
          <w:bCs/>
          <w:szCs w:val="15"/>
          <w:vertAlign w:val="superscript"/>
          <w:lang w:val="en-US"/>
        </w:rPr>
        <w:t>3/8</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126.6 (1C,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126.9 (1C, C</w:t>
      </w:r>
      <w:r w:rsidRPr="007C45C4">
        <w:rPr>
          <w:rFonts w:cs="Arial"/>
          <w:bCs/>
          <w:szCs w:val="15"/>
          <w:vertAlign w:val="superscript"/>
          <w:lang w:val="en-US"/>
        </w:rPr>
        <w:t>4</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128.1 (1C,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128.4 (2C, C</w:t>
      </w:r>
      <w:r w:rsidRPr="007C45C4">
        <w:rPr>
          <w:rFonts w:cs="Arial"/>
          <w:bCs/>
          <w:szCs w:val="15"/>
          <w:vertAlign w:val="superscript"/>
          <w:lang w:val="en-US"/>
        </w:rPr>
        <w:t>5,6</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129.9 (1C, C</w:t>
      </w:r>
      <w:r w:rsidRPr="007C45C4">
        <w:rPr>
          <w:rFonts w:cs="Arial"/>
          <w:bCs/>
          <w:szCs w:val="15"/>
          <w:vertAlign w:val="superscript"/>
          <w:lang w:val="en-US"/>
        </w:rPr>
        <w:t>5/6</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130.1 (1C, C</w:t>
      </w:r>
      <w:r w:rsidRPr="007C45C4">
        <w:rPr>
          <w:rFonts w:cs="Arial"/>
          <w:bCs/>
          <w:szCs w:val="15"/>
          <w:vertAlign w:val="superscript"/>
          <w:lang w:val="en-US"/>
        </w:rPr>
        <w:t>5/6</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132.9 (2C, C</w:t>
      </w:r>
      <w:r w:rsidRPr="007C45C4">
        <w:rPr>
          <w:rFonts w:cs="Arial"/>
          <w:bCs/>
          <w:szCs w:val="15"/>
          <w:vertAlign w:val="superscript"/>
          <w:lang w:val="en-US"/>
        </w:rPr>
        <w:t>4a,6a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139.8 (2C, C</w:t>
      </w:r>
      <w:r w:rsidRPr="007C45C4">
        <w:rPr>
          <w:rFonts w:cs="Arial"/>
          <w:bCs/>
          <w:szCs w:val="15"/>
          <w:vertAlign w:val="superscript"/>
          <w:lang w:val="en-US"/>
        </w:rPr>
        <w:t>4,7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144.3 (1C, C</w:t>
      </w:r>
      <w:r w:rsidRPr="007C45C4">
        <w:rPr>
          <w:rFonts w:cs="Arial"/>
          <w:bCs/>
          <w:szCs w:val="15"/>
          <w:vertAlign w:val="superscript"/>
          <w:lang w:val="en-US"/>
        </w:rPr>
        <w:t>1</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144.7 (1C, C</w:t>
      </w:r>
      <w:r w:rsidRPr="007C45C4">
        <w:rPr>
          <w:rFonts w:cs="Arial"/>
          <w:bCs/>
          <w:szCs w:val="15"/>
          <w:vertAlign w:val="superscript"/>
          <w:lang w:val="en-US"/>
        </w:rPr>
        <w:t>10a/11a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145.0 (1C, C</w:t>
      </w:r>
      <w:r w:rsidRPr="007C45C4">
        <w:rPr>
          <w:rFonts w:cs="Arial"/>
          <w:bCs/>
          <w:szCs w:val="15"/>
          <w:vertAlign w:val="superscript"/>
          <w:lang w:val="en-US"/>
        </w:rPr>
        <w:t>10a/C11a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156.9 (1C, C</w:t>
      </w:r>
      <w:r w:rsidRPr="007C45C4">
        <w:rPr>
          <w:rFonts w:cs="Arial"/>
          <w:bCs/>
          <w:szCs w:val="15"/>
          <w:vertAlign w:val="superscript"/>
          <w:lang w:val="en-US"/>
        </w:rPr>
        <w:t>2/9</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157.7 (1C, C</w:t>
      </w:r>
      <w:r w:rsidRPr="007C45C4">
        <w:rPr>
          <w:rFonts w:cs="Arial"/>
          <w:bCs/>
          <w:szCs w:val="15"/>
          <w:vertAlign w:val="superscript"/>
          <w:lang w:val="en-US"/>
        </w:rPr>
        <w:t>2/9</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156.9 (1C, C</w:t>
      </w:r>
      <w:r w:rsidRPr="007C45C4">
        <w:rPr>
          <w:rFonts w:cs="Arial"/>
          <w:bCs/>
          <w:szCs w:val="15"/>
          <w:vertAlign w:val="superscript"/>
          <w:lang w:val="en-US"/>
        </w:rPr>
        <w:t>2/9</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8</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250.9 (1C, CO), 253.5 (1C, CO).</w:t>
      </w:r>
      <w:proofErr w:type="gramEnd"/>
      <w:r w:rsidRPr="007C45C4">
        <w:rPr>
          <w:rFonts w:cs="Arial"/>
          <w:bCs/>
          <w:szCs w:val="15"/>
          <w:lang w:val="en-US"/>
        </w:rPr>
        <w:t xml:space="preserve"> </w:t>
      </w:r>
      <w:proofErr w:type="gramStart"/>
      <w:r w:rsidRPr="007C45C4">
        <w:rPr>
          <w:rFonts w:cs="Arial"/>
          <w:szCs w:val="15"/>
          <w:lang w:val="en-US"/>
        </w:rPr>
        <w:t>IR(</w:t>
      </w:r>
      <w:proofErr w:type="gramEnd"/>
      <w:r w:rsidRPr="007C45C4">
        <w:rPr>
          <w:rFonts w:cs="Arial"/>
          <w:szCs w:val="15"/>
          <w:lang w:val="en-US"/>
        </w:rPr>
        <w:t>ATR; cm</w:t>
      </w:r>
      <w:r w:rsidRPr="007C45C4">
        <w:rPr>
          <w:rFonts w:cs="Arial"/>
          <w:szCs w:val="15"/>
          <w:vertAlign w:val="superscript"/>
          <w:lang w:val="en-US"/>
        </w:rPr>
        <w:t>–1</w:t>
      </w:r>
      <w:r w:rsidRPr="007C45C4">
        <w:rPr>
          <w:rFonts w:cs="Arial"/>
          <w:szCs w:val="15"/>
          <w:lang w:val="en-US"/>
        </w:rPr>
        <w:t>):</w:t>
      </w:r>
      <w:r w:rsidRPr="007C45C4">
        <w:rPr>
          <w:rFonts w:cs="Arial"/>
          <w:bCs/>
          <w:szCs w:val="15"/>
          <w:lang w:val="en-US"/>
        </w:rPr>
        <w:t xml:space="preserve"> 1963 vs [</w:t>
      </w:r>
      <w:proofErr w:type="spellStart"/>
      <w:r w:rsidRPr="007C45C4">
        <w:rPr>
          <w:rFonts w:cs="Arial"/>
          <w:bCs/>
          <w:szCs w:val="15"/>
          <w:lang w:val="en-US"/>
        </w:rPr>
        <w:t>ν</w:t>
      </w:r>
      <w:r w:rsidRPr="007C45C4">
        <w:rPr>
          <w:rFonts w:cs="Arial"/>
          <w:bCs/>
          <w:szCs w:val="15"/>
          <w:vertAlign w:val="subscript"/>
          <w:lang w:val="en-US"/>
        </w:rPr>
        <w:t>a</w:t>
      </w:r>
      <w:proofErr w:type="spellEnd"/>
      <w:r w:rsidRPr="007C45C4">
        <w:rPr>
          <w:rFonts w:cs="Arial"/>
          <w:bCs/>
          <w:szCs w:val="15"/>
          <w:lang w:val="en-US"/>
        </w:rPr>
        <w:t>(CO)], 1883 vs [</w:t>
      </w:r>
      <w:proofErr w:type="spellStart"/>
      <w:r w:rsidRPr="007C45C4">
        <w:rPr>
          <w:rFonts w:cs="Arial"/>
          <w:bCs/>
          <w:szCs w:val="15"/>
          <w:lang w:val="en-US"/>
        </w:rPr>
        <w:t>ν</w:t>
      </w:r>
      <w:r w:rsidRPr="007C45C4">
        <w:rPr>
          <w:rFonts w:cs="Arial"/>
          <w:bCs/>
          <w:szCs w:val="15"/>
          <w:vertAlign w:val="subscript"/>
          <w:lang w:val="en-US"/>
        </w:rPr>
        <w:t>s</w:t>
      </w:r>
      <w:proofErr w:type="spellEnd"/>
      <w:r w:rsidRPr="007C45C4">
        <w:rPr>
          <w:rFonts w:cs="Arial"/>
          <w:bCs/>
          <w:szCs w:val="15"/>
          <w:lang w:val="en-US"/>
        </w:rPr>
        <w:t>(CO)], 1056 vs, br. [ν(BF)].</w:t>
      </w:r>
    </w:p>
    <w:p w14:paraId="736D1404" w14:textId="77777777" w:rsidR="005A5FB8" w:rsidRPr="007C45C4" w:rsidRDefault="00AE37FC" w:rsidP="005A5FB8">
      <w:pPr>
        <w:pStyle w:val="RSCB06BHeadingSub-Section"/>
        <w:rPr>
          <w:lang w:val="en-US"/>
        </w:rPr>
      </w:pPr>
      <w:r w:rsidRPr="007C45C4">
        <w:rPr>
          <w:lang w:val="en-US"/>
        </w:rPr>
        <w:t>Synthesis of [(</w:t>
      </w:r>
      <w:r w:rsidRPr="007C45C4">
        <w:rPr>
          <w:i/>
          <w:lang w:val="en-US"/>
        </w:rPr>
        <w:t>η</w:t>
      </w:r>
      <w:r w:rsidRPr="007C45C4">
        <w:rPr>
          <w:vertAlign w:val="superscript"/>
          <w:lang w:val="en-US"/>
        </w:rPr>
        <w:t>5</w:t>
      </w:r>
      <w:r w:rsidRPr="007C45C4">
        <w:rPr>
          <w:lang w:val="en-US"/>
        </w:rPr>
        <w:t>-C</w:t>
      </w:r>
      <w:r w:rsidRPr="007C45C4">
        <w:rPr>
          <w:vertAlign w:val="subscript"/>
          <w:lang w:val="en-US"/>
        </w:rPr>
        <w:t>5</w:t>
      </w:r>
      <w:r w:rsidRPr="007C45C4">
        <w:rPr>
          <w:lang w:val="en-US"/>
        </w:rPr>
        <w:t>H</w:t>
      </w:r>
      <w:r w:rsidRPr="007C45C4">
        <w:rPr>
          <w:vertAlign w:val="subscript"/>
          <w:lang w:val="en-US"/>
        </w:rPr>
        <w:t>4</w:t>
      </w:r>
      <w:r w:rsidRPr="007C45C4">
        <w:rPr>
          <w:lang w:val="en-US"/>
        </w:rPr>
        <w:t>CH</w:t>
      </w:r>
      <w:r w:rsidRPr="007C45C4">
        <w:rPr>
          <w:vertAlign w:val="subscript"/>
          <w:lang w:val="en-US"/>
        </w:rPr>
        <w:t>2</w:t>
      </w:r>
      <w:r w:rsidRPr="007C45C4">
        <w:rPr>
          <w:lang w:val="en-US"/>
        </w:rPr>
        <w:t>C</w:t>
      </w:r>
      <w:r w:rsidRPr="007C45C4">
        <w:rPr>
          <w:vertAlign w:val="subscript"/>
          <w:lang w:val="en-US"/>
        </w:rPr>
        <w:t>4</w:t>
      </w:r>
      <w:r w:rsidRPr="007C45C4">
        <w:rPr>
          <w:lang w:val="en-US"/>
        </w:rPr>
        <w:t>H</w:t>
      </w:r>
      <w:r w:rsidRPr="007C45C4">
        <w:rPr>
          <w:vertAlign w:val="subscript"/>
          <w:lang w:val="en-US"/>
        </w:rPr>
        <w:t>3</w:t>
      </w:r>
      <w:r w:rsidRPr="007C45C4">
        <w:rPr>
          <w:lang w:val="en-US"/>
        </w:rPr>
        <w:t>S</w:t>
      </w:r>
      <w:proofErr w:type="gramStart"/>
      <w:r w:rsidRPr="007C45C4">
        <w:rPr>
          <w:lang w:val="en-US"/>
        </w:rPr>
        <w:t>)Mo</w:t>
      </w:r>
      <w:proofErr w:type="gramEnd"/>
      <w:r w:rsidRPr="007C45C4">
        <w:rPr>
          <w:lang w:val="en-US"/>
        </w:rPr>
        <w:t>(CO)</w:t>
      </w:r>
      <w:r w:rsidRPr="007C45C4">
        <w:rPr>
          <w:vertAlign w:val="subscript"/>
          <w:lang w:val="en-US"/>
        </w:rPr>
        <w:t>2</w:t>
      </w:r>
      <w:r w:rsidRPr="007C45C4">
        <w:rPr>
          <w:lang w:val="en-US"/>
        </w:rPr>
        <w:t>(Ph</w:t>
      </w:r>
      <w:r w:rsidRPr="007C45C4">
        <w:rPr>
          <w:vertAlign w:val="subscript"/>
          <w:lang w:val="en-US"/>
        </w:rPr>
        <w:t>2</w:t>
      </w:r>
      <w:r w:rsidRPr="007C45C4">
        <w:rPr>
          <w:lang w:val="en-US"/>
        </w:rPr>
        <w:t>phen)][BF</w:t>
      </w:r>
      <w:r w:rsidRPr="007C45C4">
        <w:rPr>
          <w:vertAlign w:val="subscript"/>
          <w:lang w:val="en-US"/>
        </w:rPr>
        <w:t>4</w:t>
      </w:r>
      <w:r w:rsidRPr="007C45C4">
        <w:rPr>
          <w:lang w:val="en-US"/>
        </w:rPr>
        <w:t>] (6)</w:t>
      </w:r>
    </w:p>
    <w:p w14:paraId="3AA5C574" w14:textId="77777777" w:rsidR="005A5FB8" w:rsidRPr="007C45C4" w:rsidRDefault="00AE37FC" w:rsidP="005A5FB8">
      <w:pPr>
        <w:pStyle w:val="RSCB02ArticleText"/>
        <w:rPr>
          <w:rFonts w:cs="Arial"/>
          <w:bCs/>
          <w:szCs w:val="15"/>
          <w:lang w:val="en-US"/>
        </w:rPr>
      </w:pPr>
      <w:r w:rsidRPr="007C45C4">
        <w:rPr>
          <w:rFonts w:cs="Arial"/>
          <w:bCs/>
          <w:szCs w:val="15"/>
          <w:lang w:val="en-US"/>
        </w:rPr>
        <w:t xml:space="preserve">The reaction was performed as was described for </w:t>
      </w:r>
      <w:proofErr w:type="gramStart"/>
      <w:r w:rsidRPr="007C45C4">
        <w:rPr>
          <w:rFonts w:cs="Arial"/>
          <w:b/>
          <w:bCs/>
          <w:szCs w:val="15"/>
          <w:lang w:val="en-US"/>
        </w:rPr>
        <w:t>4</w:t>
      </w:r>
      <w:proofErr w:type="gramEnd"/>
      <w:r w:rsidRPr="007C45C4">
        <w:rPr>
          <w:rFonts w:cs="Arial"/>
          <w:bCs/>
          <w:szCs w:val="15"/>
          <w:lang w:val="en-US"/>
        </w:rPr>
        <w:t xml:space="preserve"> but with </w:t>
      </w:r>
      <w:r w:rsidRPr="007C45C4">
        <w:rPr>
          <w:rFonts w:cs="Arial"/>
          <w:b/>
          <w:bCs/>
          <w:szCs w:val="15"/>
          <w:lang w:val="en-US"/>
        </w:rPr>
        <w:t>3</w:t>
      </w:r>
      <w:r w:rsidRPr="007C45C4">
        <w:rPr>
          <w:rFonts w:cs="Arial"/>
          <w:bCs/>
          <w:szCs w:val="15"/>
          <w:lang w:val="en-US"/>
        </w:rPr>
        <w:t xml:space="preserve"> (266 mg, 0.5 </w:t>
      </w:r>
      <w:proofErr w:type="spellStart"/>
      <w:r w:rsidRPr="007C45C4">
        <w:rPr>
          <w:rFonts w:cs="Arial"/>
          <w:bCs/>
          <w:szCs w:val="15"/>
          <w:lang w:val="en-US"/>
        </w:rPr>
        <w:t>mmol</w:t>
      </w:r>
      <w:proofErr w:type="spellEnd"/>
      <w:r w:rsidRPr="007C45C4">
        <w:rPr>
          <w:rFonts w:cs="Arial"/>
          <w:bCs/>
          <w:szCs w:val="15"/>
          <w:lang w:val="en-US"/>
        </w:rPr>
        <w:t>) and Ph</w:t>
      </w:r>
      <w:r w:rsidRPr="007C45C4">
        <w:rPr>
          <w:rFonts w:cs="Arial"/>
          <w:bCs/>
          <w:szCs w:val="15"/>
          <w:vertAlign w:val="subscript"/>
          <w:lang w:val="en-US"/>
        </w:rPr>
        <w:t>2</w:t>
      </w:r>
      <w:r w:rsidRPr="007C45C4">
        <w:rPr>
          <w:rFonts w:cs="Arial"/>
          <w:bCs/>
          <w:szCs w:val="15"/>
          <w:lang w:val="en-US"/>
        </w:rPr>
        <w:t xml:space="preserve">phen (166.2 mg, 0.5 </w:t>
      </w:r>
      <w:proofErr w:type="spellStart"/>
      <w:r w:rsidRPr="007C45C4">
        <w:rPr>
          <w:rFonts w:cs="Arial"/>
          <w:bCs/>
          <w:szCs w:val="15"/>
          <w:lang w:val="en-US"/>
        </w:rPr>
        <w:t>mmol</w:t>
      </w:r>
      <w:proofErr w:type="spellEnd"/>
      <w:r w:rsidRPr="007C45C4">
        <w:rPr>
          <w:rFonts w:cs="Arial"/>
          <w:bCs/>
          <w:szCs w:val="15"/>
          <w:lang w:val="en-US"/>
        </w:rPr>
        <w:t>). The crude product was washed with diethyl ether (3 × 7 mL) and recrystallized from a CH</w:t>
      </w:r>
      <w:r w:rsidRPr="007C45C4">
        <w:rPr>
          <w:rFonts w:cs="Arial"/>
          <w:bCs/>
          <w:szCs w:val="15"/>
          <w:vertAlign w:val="subscript"/>
          <w:lang w:val="en-US"/>
        </w:rPr>
        <w:t>2</w:t>
      </w:r>
      <w:r w:rsidRPr="007C45C4">
        <w:rPr>
          <w:rFonts w:cs="Arial"/>
          <w:bCs/>
          <w:szCs w:val="15"/>
          <w:lang w:val="en-US"/>
        </w:rPr>
        <w:t>Cl</w:t>
      </w:r>
      <w:r w:rsidRPr="007C45C4">
        <w:rPr>
          <w:rFonts w:cs="Arial"/>
          <w:bCs/>
          <w:szCs w:val="15"/>
          <w:vertAlign w:val="subscript"/>
          <w:lang w:val="en-US"/>
        </w:rPr>
        <w:t>2</w:t>
      </w:r>
      <w:r w:rsidRPr="007C45C4">
        <w:rPr>
          <w:rFonts w:cs="Arial"/>
          <w:bCs/>
          <w:szCs w:val="15"/>
          <w:lang w:val="en-US"/>
        </w:rPr>
        <w:t>/Et</w:t>
      </w:r>
      <w:r w:rsidRPr="007C45C4">
        <w:rPr>
          <w:rFonts w:cs="Arial"/>
          <w:bCs/>
          <w:szCs w:val="15"/>
          <w:vertAlign w:val="subscript"/>
          <w:lang w:val="en-US"/>
        </w:rPr>
        <w:t>2</w:t>
      </w:r>
      <w:r w:rsidRPr="007C45C4">
        <w:rPr>
          <w:rFonts w:cs="Arial"/>
          <w:bCs/>
          <w:szCs w:val="15"/>
          <w:lang w:val="en-US"/>
        </w:rPr>
        <w:t xml:space="preserve">O mixture to afford red powder of </w:t>
      </w:r>
      <w:r w:rsidRPr="007C45C4">
        <w:rPr>
          <w:rFonts w:cs="Arial"/>
          <w:b/>
          <w:bCs/>
          <w:szCs w:val="15"/>
          <w:lang w:val="en-US"/>
        </w:rPr>
        <w:t>6</w:t>
      </w:r>
      <w:r w:rsidRPr="007C45C4">
        <w:rPr>
          <w:rFonts w:cs="Arial"/>
          <w:bCs/>
          <w:szCs w:val="15"/>
          <w:lang w:val="en-US"/>
        </w:rPr>
        <w:t xml:space="preserve"> (301 mg, 0,38 </w:t>
      </w:r>
      <w:proofErr w:type="spellStart"/>
      <w:r w:rsidRPr="007C45C4">
        <w:rPr>
          <w:rFonts w:cs="Arial"/>
          <w:bCs/>
          <w:szCs w:val="15"/>
          <w:lang w:val="en-US"/>
        </w:rPr>
        <w:t>mmol</w:t>
      </w:r>
      <w:proofErr w:type="spellEnd"/>
      <w:r w:rsidRPr="007C45C4">
        <w:rPr>
          <w:rFonts w:cs="Arial"/>
          <w:bCs/>
          <w:szCs w:val="15"/>
          <w:lang w:val="en-US"/>
        </w:rPr>
        <w:t xml:space="preserve">, 77%). </w:t>
      </w:r>
      <w:proofErr w:type="spellStart"/>
      <w:r w:rsidRPr="007C45C4">
        <w:rPr>
          <w:rFonts w:cs="Arial"/>
          <w:szCs w:val="15"/>
          <w:lang w:val="en-US"/>
        </w:rPr>
        <w:t>Calcd</w:t>
      </w:r>
      <w:proofErr w:type="spellEnd"/>
      <w:r w:rsidRPr="007C45C4">
        <w:rPr>
          <w:rFonts w:cs="Arial"/>
          <w:szCs w:val="15"/>
          <w:lang w:val="en-US"/>
        </w:rPr>
        <w:t xml:space="preserve"> forC</w:t>
      </w:r>
      <w:r w:rsidRPr="007C45C4">
        <w:rPr>
          <w:rFonts w:cs="Arial"/>
          <w:szCs w:val="15"/>
          <w:vertAlign w:val="subscript"/>
          <w:lang w:val="en-US"/>
        </w:rPr>
        <w:t>40</w:t>
      </w:r>
      <w:r w:rsidRPr="007C45C4">
        <w:rPr>
          <w:rFonts w:cs="Arial"/>
          <w:szCs w:val="15"/>
          <w:lang w:val="en-US"/>
        </w:rPr>
        <w:t>H</w:t>
      </w:r>
      <w:r w:rsidRPr="007C45C4">
        <w:rPr>
          <w:rFonts w:cs="Arial"/>
          <w:szCs w:val="15"/>
          <w:vertAlign w:val="subscript"/>
          <w:lang w:val="en-US"/>
        </w:rPr>
        <w:t>27</w:t>
      </w:r>
      <w:r w:rsidRPr="007C45C4">
        <w:rPr>
          <w:rFonts w:cs="Arial"/>
          <w:szCs w:val="15"/>
          <w:lang w:val="en-US"/>
        </w:rPr>
        <w:t>N</w:t>
      </w:r>
      <w:r w:rsidRPr="007C45C4">
        <w:rPr>
          <w:rFonts w:cs="Arial"/>
          <w:szCs w:val="15"/>
          <w:vertAlign w:val="subscript"/>
          <w:lang w:val="en-US"/>
        </w:rPr>
        <w:t>2</w:t>
      </w:r>
      <w:r w:rsidRPr="007C45C4">
        <w:rPr>
          <w:rFonts w:cs="Arial"/>
          <w:szCs w:val="15"/>
          <w:lang w:val="en-US"/>
        </w:rPr>
        <w:t>O</w:t>
      </w:r>
      <w:r w:rsidRPr="007C45C4">
        <w:rPr>
          <w:rFonts w:cs="Arial"/>
          <w:szCs w:val="15"/>
          <w:vertAlign w:val="subscript"/>
          <w:lang w:val="en-US"/>
        </w:rPr>
        <w:t>2</w:t>
      </w:r>
      <w:r w:rsidRPr="007C45C4">
        <w:rPr>
          <w:rFonts w:cs="Arial"/>
          <w:szCs w:val="15"/>
          <w:lang w:val="en-US"/>
        </w:rPr>
        <w:t>SMoBF</w:t>
      </w:r>
      <w:r w:rsidRPr="007C45C4">
        <w:rPr>
          <w:rFonts w:cs="Arial"/>
          <w:szCs w:val="15"/>
          <w:vertAlign w:val="subscript"/>
          <w:lang w:val="en-US"/>
        </w:rPr>
        <w:t>4</w:t>
      </w:r>
      <w:r w:rsidRPr="007C45C4">
        <w:rPr>
          <w:rFonts w:cs="Arial"/>
          <w:szCs w:val="15"/>
          <w:lang w:val="en-US"/>
        </w:rPr>
        <w:t xml:space="preserve">: C, 61.22; H, 3.47; N, 3.57; S, 4.08. </w:t>
      </w:r>
      <w:proofErr w:type="gramStart"/>
      <w:r w:rsidRPr="007C45C4">
        <w:rPr>
          <w:rFonts w:cs="Arial"/>
          <w:szCs w:val="15"/>
          <w:lang w:val="en-US"/>
        </w:rPr>
        <w:t>Found:</w:t>
      </w:r>
      <w:proofErr w:type="gramEnd"/>
      <w:r w:rsidRPr="007C45C4">
        <w:rPr>
          <w:rFonts w:cs="Arial"/>
          <w:szCs w:val="15"/>
          <w:lang w:val="en-US"/>
        </w:rPr>
        <w:t xml:space="preserve"> C, 61.31; H, 3.58; N, 3.73; S 4.29. </w:t>
      </w:r>
      <w:proofErr w:type="gramStart"/>
      <w:r w:rsidRPr="007C45C4">
        <w:rPr>
          <w:rFonts w:cs="Arial"/>
          <w:szCs w:val="15"/>
          <w:lang w:val="en-US"/>
        </w:rPr>
        <w:t>Positive-ion MS (</w:t>
      </w:r>
      <w:proofErr w:type="spellStart"/>
      <w:r w:rsidRPr="007C45C4">
        <w:rPr>
          <w:rFonts w:cs="Arial"/>
          <w:szCs w:val="15"/>
          <w:lang w:val="en-US"/>
        </w:rPr>
        <w:t>MeCN</w:t>
      </w:r>
      <w:proofErr w:type="spellEnd"/>
      <w:r w:rsidRPr="007C45C4">
        <w:rPr>
          <w:rFonts w:cs="Arial"/>
          <w:szCs w:val="15"/>
          <w:lang w:val="en-US"/>
        </w:rPr>
        <w:t>): m/z (%) = 697 (100) [M]</w:t>
      </w:r>
      <w:r w:rsidRPr="007C45C4">
        <w:rPr>
          <w:rFonts w:cs="Arial"/>
          <w:szCs w:val="15"/>
          <w:vertAlign w:val="superscript"/>
          <w:lang w:val="en-US"/>
        </w:rPr>
        <w:t>+</w:t>
      </w:r>
      <w:r w:rsidRPr="007C45C4">
        <w:rPr>
          <w:rFonts w:cs="Arial"/>
          <w:szCs w:val="15"/>
          <w:lang w:val="en-US"/>
        </w:rPr>
        <w:t>.</w:t>
      </w:r>
      <w:r w:rsidRPr="007C45C4">
        <w:rPr>
          <w:rFonts w:cs="Arial"/>
          <w:bCs/>
          <w:szCs w:val="15"/>
          <w:vertAlign w:val="superscript"/>
          <w:lang w:val="en-US"/>
        </w:rPr>
        <w:t>1</w:t>
      </w:r>
      <w:r w:rsidRPr="007C45C4">
        <w:rPr>
          <w:rFonts w:cs="Arial"/>
          <w:bCs/>
          <w:szCs w:val="15"/>
          <w:lang w:val="en-US"/>
        </w:rPr>
        <w:t>H NMR (CD</w:t>
      </w:r>
      <w:r w:rsidRPr="007C45C4">
        <w:rPr>
          <w:rFonts w:cs="Arial"/>
          <w:bCs/>
          <w:szCs w:val="15"/>
          <w:vertAlign w:val="subscript"/>
          <w:lang w:val="en-US"/>
        </w:rPr>
        <w:t>3</w:t>
      </w:r>
      <w:r w:rsidRPr="007C45C4">
        <w:rPr>
          <w:rFonts w:cs="Arial"/>
          <w:bCs/>
          <w:szCs w:val="15"/>
          <w:lang w:val="en-US"/>
        </w:rPr>
        <w:t xml:space="preserve">CN; 500 MHz; δ ppm): 4.28 (d, </w:t>
      </w:r>
      <w:r w:rsidRPr="007C45C4">
        <w:rPr>
          <w:rFonts w:cs="Arial"/>
          <w:bCs/>
          <w:szCs w:val="15"/>
          <w:vertAlign w:val="superscript"/>
          <w:lang w:val="en-US"/>
        </w:rPr>
        <w:t>2</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15.8 Hz, 1H,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4.88 (d, </w:t>
      </w:r>
      <w:r w:rsidRPr="007C45C4">
        <w:rPr>
          <w:rFonts w:cs="Arial"/>
          <w:bCs/>
          <w:szCs w:val="15"/>
          <w:vertAlign w:val="superscript"/>
          <w:lang w:val="en-US"/>
        </w:rPr>
        <w:t>2</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15.8 Hz, 1H,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5.75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2.8 Hz, 1H,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6.38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8.4 Hz, 1H, H</w:t>
      </w:r>
      <w:r w:rsidRPr="007C45C4">
        <w:rPr>
          <w:rFonts w:cs="Arial"/>
          <w:bCs/>
          <w:szCs w:val="15"/>
          <w:vertAlign w:val="superscript"/>
          <w:lang w:val="en-US"/>
        </w:rPr>
        <w:t>5/6</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6.45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8.4 Hz, 1H, H</w:t>
      </w:r>
      <w:r w:rsidRPr="007C45C4">
        <w:rPr>
          <w:rFonts w:cs="Arial"/>
          <w:bCs/>
          <w:szCs w:val="15"/>
          <w:vertAlign w:val="superscript"/>
          <w:lang w:val="en-US"/>
        </w:rPr>
        <w:t>5/6</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6.62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2.8 Hz, 1H,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6.82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8.4 Hz, 1H,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6.91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5.3 Hz,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3.6 Hz, 1H,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S), 7.00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3.6 Hz, </w:t>
      </w:r>
      <w:r w:rsidRPr="007C45C4">
        <w:rPr>
          <w:rFonts w:cs="Arial"/>
          <w:bCs/>
          <w:szCs w:val="15"/>
          <w:vertAlign w:val="superscript"/>
          <w:lang w:val="en-US"/>
        </w:rPr>
        <w:t>4</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1.0 Hz, 1H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7.09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8.4 Hz, 1H,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7.21 (</w:t>
      </w:r>
      <w:proofErr w:type="spellStart"/>
      <w:r w:rsidRPr="007C45C4">
        <w:rPr>
          <w:rFonts w:cs="Arial"/>
          <w:bCs/>
          <w:szCs w:val="15"/>
          <w:lang w:val="en-US"/>
        </w:rPr>
        <w:t>dd</w:t>
      </w:r>
      <w:proofErr w:type="spellEnd"/>
      <w:r w:rsidRPr="007C45C4">
        <w:rPr>
          <w:rFonts w:cs="Arial"/>
          <w:bCs/>
          <w:szCs w:val="15"/>
          <w:lang w:val="en-US"/>
        </w:rPr>
        <w:t xml:space="preserve">,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5.3 Hz, </w:t>
      </w:r>
      <w:r w:rsidRPr="007C45C4">
        <w:rPr>
          <w:rFonts w:cs="Arial"/>
          <w:bCs/>
          <w:szCs w:val="15"/>
          <w:vertAlign w:val="superscript"/>
          <w:lang w:val="en-US"/>
        </w:rPr>
        <w:t>4</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1.0 Hz, 1H, H</w:t>
      </w:r>
      <w:r w:rsidRPr="007C45C4">
        <w:rPr>
          <w:rFonts w:cs="Arial"/>
          <w:bCs/>
          <w:szCs w:val="15"/>
          <w:vertAlign w:val="superscript"/>
          <w:lang w:val="en-US"/>
        </w:rPr>
        <w:t>4</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S), 7.36 [m, 10 H, (C</w:t>
      </w:r>
      <w:r w:rsidRPr="007C45C4">
        <w:rPr>
          <w:rFonts w:cs="Arial"/>
          <w:bCs/>
          <w:szCs w:val="15"/>
          <w:vertAlign w:val="subscript"/>
          <w:lang w:val="en-US"/>
        </w:rPr>
        <w:t>6</w:t>
      </w:r>
      <w:r w:rsidRPr="007C45C4">
        <w:rPr>
          <w:rFonts w:cs="Arial"/>
          <w:bCs/>
          <w:i/>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xml:space="preserve">], 7.91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5.6 Hz,1H, H</w:t>
      </w:r>
      <w:r w:rsidRPr="007C45C4">
        <w:rPr>
          <w:rFonts w:cs="Arial"/>
          <w:bCs/>
          <w:szCs w:val="15"/>
          <w:vertAlign w:val="superscript"/>
          <w:lang w:val="en-US"/>
        </w:rPr>
        <w:t>3/8</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szCs w:val="15"/>
          <w:lang w:val="en-US"/>
        </w:rPr>
        <w:t>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xml:space="preserve">)], 7.93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5.6 Hz,1H, H</w:t>
      </w:r>
      <w:r w:rsidRPr="007C45C4">
        <w:rPr>
          <w:rFonts w:cs="Arial"/>
          <w:bCs/>
          <w:szCs w:val="15"/>
          <w:vertAlign w:val="superscript"/>
          <w:lang w:val="en-US"/>
        </w:rPr>
        <w:t>3/8</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szCs w:val="15"/>
          <w:lang w:val="en-US"/>
        </w:rPr>
        <w:t>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8.00 [s, 2H, H</w:t>
      </w:r>
      <w:r w:rsidRPr="007C45C4">
        <w:rPr>
          <w:rFonts w:cs="Arial"/>
          <w:bCs/>
          <w:szCs w:val="15"/>
          <w:vertAlign w:val="superscript"/>
          <w:lang w:val="en-US"/>
        </w:rPr>
        <w:t>5,6</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szCs w:val="15"/>
          <w:lang w:val="en-US"/>
        </w:rPr>
        <w:t>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xml:space="preserve">)], 9.63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5.6 Hz,1H, H</w:t>
      </w:r>
      <w:r w:rsidRPr="007C45C4">
        <w:rPr>
          <w:rFonts w:cs="Arial"/>
          <w:bCs/>
          <w:szCs w:val="15"/>
          <w:vertAlign w:val="superscript"/>
          <w:lang w:val="en-US"/>
        </w:rPr>
        <w:t>2/9</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szCs w:val="15"/>
          <w:lang w:val="en-US"/>
        </w:rPr>
        <w:t>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xml:space="preserve">)], 9.74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H) = 5.6 Hz,1H, H</w:t>
      </w:r>
      <w:r w:rsidRPr="007C45C4">
        <w:rPr>
          <w:rFonts w:cs="Arial"/>
          <w:bCs/>
          <w:szCs w:val="15"/>
          <w:vertAlign w:val="superscript"/>
          <w:lang w:val="en-US"/>
        </w:rPr>
        <w:t>2/9</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szCs w:val="15"/>
          <w:lang w:val="en-US"/>
        </w:rPr>
        <w:t>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w:t>
      </w:r>
      <w:proofErr w:type="gramEnd"/>
      <w:r w:rsidRPr="007C45C4">
        <w:rPr>
          <w:rFonts w:cs="Arial"/>
          <w:bCs/>
          <w:szCs w:val="15"/>
          <w:lang w:val="en-US"/>
        </w:rPr>
        <w:t xml:space="preserve"> </w:t>
      </w:r>
      <w:proofErr w:type="gramStart"/>
      <w:r w:rsidRPr="007C45C4">
        <w:rPr>
          <w:rFonts w:cs="Arial"/>
          <w:bCs/>
          <w:szCs w:val="15"/>
          <w:vertAlign w:val="superscript"/>
          <w:lang w:val="en-US"/>
        </w:rPr>
        <w:t>13</w:t>
      </w:r>
      <w:r w:rsidRPr="007C45C4">
        <w:rPr>
          <w:rFonts w:cs="Arial"/>
          <w:bCs/>
          <w:szCs w:val="15"/>
          <w:lang w:val="en-US"/>
        </w:rPr>
        <w:t>C {</w:t>
      </w:r>
      <w:r w:rsidRPr="007C45C4">
        <w:rPr>
          <w:rFonts w:cs="Arial"/>
          <w:bCs/>
          <w:szCs w:val="15"/>
          <w:vertAlign w:val="superscript"/>
          <w:lang w:val="en-US"/>
        </w:rPr>
        <w:t>1</w:t>
      </w:r>
      <w:r w:rsidRPr="007C45C4">
        <w:rPr>
          <w:rFonts w:cs="Arial"/>
          <w:bCs/>
          <w:szCs w:val="15"/>
          <w:lang w:val="en-US"/>
        </w:rPr>
        <w:t>H} NMR (CD</w:t>
      </w:r>
      <w:r w:rsidRPr="007C45C4">
        <w:rPr>
          <w:rFonts w:cs="Arial"/>
          <w:bCs/>
          <w:szCs w:val="15"/>
          <w:vertAlign w:val="subscript"/>
          <w:lang w:val="en-US"/>
        </w:rPr>
        <w:t>3</w:t>
      </w:r>
      <w:r w:rsidRPr="007C45C4">
        <w:rPr>
          <w:rFonts w:cs="Arial"/>
          <w:bCs/>
          <w:szCs w:val="15"/>
          <w:lang w:val="en-US"/>
        </w:rPr>
        <w:t xml:space="preserve">CN; 125.77 MHz; δ ppm): 28.0 (1C, </w:t>
      </w:r>
      <w:r w:rsidRPr="007C45C4">
        <w:rPr>
          <w:rFonts w:cs="Arial"/>
          <w:bCs/>
          <w:i/>
          <w:szCs w:val="15"/>
          <w:lang w:val="en-US"/>
        </w:rPr>
        <w:t>C</w:t>
      </w:r>
      <w:r w:rsidRPr="007C45C4">
        <w:rPr>
          <w:rFonts w:cs="Arial"/>
          <w:bCs/>
          <w:szCs w:val="15"/>
          <w:lang w:val="en-US"/>
        </w:rPr>
        <w:t>H</w:t>
      </w:r>
      <w:r w:rsidRPr="007C45C4">
        <w:rPr>
          <w:rFonts w:cs="Arial"/>
          <w:bCs/>
          <w:szCs w:val="15"/>
          <w:vertAlign w:val="subscript"/>
          <w:lang w:val="en-US"/>
        </w:rPr>
        <w:t>2</w:t>
      </w:r>
      <w:r w:rsidRPr="007C45C4">
        <w:rPr>
          <w:rFonts w:cs="Arial"/>
          <w:bCs/>
          <w:szCs w:val="15"/>
          <w:lang w:val="en-US"/>
        </w:rPr>
        <w:t>), 79.6 (1C,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93.1 (1C,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100.2 (1C, C</w:t>
      </w:r>
      <w:r w:rsidRPr="007C45C4">
        <w:rPr>
          <w:rFonts w:cs="Arial"/>
          <w:bCs/>
          <w:szCs w:val="15"/>
          <w:vertAlign w:val="superscript"/>
          <w:lang w:val="en-US"/>
        </w:rPr>
        <w:t>1</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119.0 (1C,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119.2 (1C,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124.7 (1C, C</w:t>
      </w:r>
      <w:r w:rsidRPr="007C45C4">
        <w:rPr>
          <w:rFonts w:cs="Arial"/>
          <w:bCs/>
          <w:szCs w:val="15"/>
          <w:vertAlign w:val="superscript"/>
          <w:lang w:val="en-US"/>
        </w:rPr>
        <w:t>4/7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125.7 (1C, C</w:t>
      </w:r>
      <w:r w:rsidRPr="007C45C4">
        <w:rPr>
          <w:rFonts w:cs="Arial"/>
          <w:bCs/>
          <w:szCs w:val="15"/>
          <w:vertAlign w:val="superscript"/>
          <w:lang w:val="en-US"/>
        </w:rPr>
        <w:t>4</w:t>
      </w:r>
      <w:r w:rsidRPr="007C45C4">
        <w:rPr>
          <w:rFonts w:cs="Arial"/>
          <w:bCs/>
          <w:szCs w:val="15"/>
          <w:lang w:val="en-US"/>
        </w:rPr>
        <w:t>, 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126.1 [1C, C</w:t>
      </w:r>
      <w:r w:rsidRPr="007C45C4">
        <w:rPr>
          <w:rFonts w:cs="Arial"/>
          <w:bCs/>
          <w:szCs w:val="15"/>
          <w:vertAlign w:val="superscript"/>
          <w:lang w:val="en-US"/>
        </w:rPr>
        <w:t>5/6</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126.3 [1C, C</w:t>
      </w:r>
      <w:r w:rsidRPr="007C45C4">
        <w:rPr>
          <w:rFonts w:cs="Arial"/>
          <w:bCs/>
          <w:szCs w:val="15"/>
          <w:vertAlign w:val="superscript"/>
          <w:lang w:val="en-US"/>
        </w:rPr>
        <w:t>5/6</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126.40 [1C, C</w:t>
      </w:r>
      <w:r w:rsidRPr="007C45C4">
        <w:rPr>
          <w:rFonts w:cs="Arial"/>
          <w:bCs/>
          <w:szCs w:val="15"/>
          <w:vertAlign w:val="superscript"/>
          <w:lang w:val="en-US"/>
        </w:rPr>
        <w:t>3/8</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126.45 [1C, C</w:t>
      </w:r>
      <w:r w:rsidRPr="007C45C4">
        <w:rPr>
          <w:rFonts w:cs="Arial"/>
          <w:bCs/>
          <w:szCs w:val="15"/>
          <w:vertAlign w:val="superscript"/>
          <w:lang w:val="en-US"/>
        </w:rPr>
        <w:t>3/8</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126.6 (1C,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127.0 (1C, C</w:t>
      </w:r>
      <w:r w:rsidRPr="007C45C4">
        <w:rPr>
          <w:rFonts w:cs="Arial"/>
          <w:bCs/>
          <w:szCs w:val="15"/>
          <w:vertAlign w:val="superscript"/>
          <w:lang w:val="en-US"/>
        </w:rPr>
        <w:t>4/7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128.1 (1C,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130.1</w:t>
      </w:r>
      <w:r w:rsidRPr="007C45C4">
        <w:rPr>
          <w:rFonts w:cs="Arial"/>
          <w:bCs/>
          <w:szCs w:val="15"/>
          <w:lang w:val="en-US"/>
        </w:rPr>
        <w:sym w:font="Symbol" w:char="F02D"/>
      </w:r>
      <w:r w:rsidRPr="007C45C4">
        <w:rPr>
          <w:rFonts w:cs="Arial"/>
          <w:bCs/>
          <w:szCs w:val="15"/>
          <w:lang w:val="en-US"/>
        </w:rPr>
        <w:t>130.3 [5C, (</w:t>
      </w:r>
      <w:r w:rsidRPr="007C45C4">
        <w:rPr>
          <w:rFonts w:cs="Arial"/>
          <w:bCs/>
          <w:i/>
          <w:szCs w:val="15"/>
          <w:lang w:val="en-US"/>
        </w:rPr>
        <w:t>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1C, C</w:t>
      </w:r>
      <w:r w:rsidRPr="007C45C4">
        <w:rPr>
          <w:rFonts w:cs="Arial"/>
          <w:bCs/>
          <w:szCs w:val="15"/>
          <w:vertAlign w:val="superscript"/>
          <w:lang w:val="en-US"/>
        </w:rPr>
        <w:t>5/6</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130.7 [2C, C</w:t>
      </w:r>
      <w:r w:rsidRPr="007C45C4">
        <w:rPr>
          <w:rFonts w:cs="Arial"/>
          <w:bCs/>
          <w:szCs w:val="15"/>
          <w:vertAlign w:val="superscript"/>
          <w:lang w:val="en-US"/>
        </w:rPr>
        <w:t>4a,6a</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130.8</w:t>
      </w:r>
      <w:r w:rsidRPr="007C45C4">
        <w:rPr>
          <w:rFonts w:cs="Arial"/>
          <w:bCs/>
          <w:szCs w:val="15"/>
          <w:lang w:val="en-US"/>
        </w:rPr>
        <w:sym w:font="Symbol" w:char="F02D"/>
      </w:r>
      <w:r w:rsidRPr="007C45C4">
        <w:rPr>
          <w:rFonts w:cs="Arial"/>
          <w:bCs/>
          <w:szCs w:val="15"/>
          <w:lang w:val="en-US"/>
        </w:rPr>
        <w:t>131.1 [5C, (</w:t>
      </w:r>
      <w:r w:rsidRPr="007C45C4">
        <w:rPr>
          <w:rFonts w:cs="Arial"/>
          <w:bCs/>
          <w:i/>
          <w:szCs w:val="15"/>
          <w:lang w:val="en-US"/>
        </w:rPr>
        <w:t>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1C, C</w:t>
      </w:r>
      <w:r w:rsidRPr="007C45C4">
        <w:rPr>
          <w:rFonts w:cs="Arial"/>
          <w:bCs/>
          <w:szCs w:val="15"/>
          <w:vertAlign w:val="superscript"/>
          <w:lang w:val="en-US"/>
        </w:rPr>
        <w:t>5/6</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136.3 [2C, </w:t>
      </w:r>
      <w:proofErr w:type="spellStart"/>
      <w:r w:rsidRPr="007C45C4">
        <w:rPr>
          <w:rFonts w:cs="Arial"/>
          <w:bCs/>
          <w:szCs w:val="15"/>
          <w:lang w:val="en-US"/>
        </w:rPr>
        <w:t>C</w:t>
      </w:r>
      <w:r w:rsidRPr="007C45C4">
        <w:rPr>
          <w:rFonts w:cs="Arial"/>
          <w:bCs/>
          <w:szCs w:val="15"/>
          <w:vertAlign w:val="superscript"/>
          <w:lang w:val="en-US"/>
        </w:rPr>
        <w:t>q</w:t>
      </w:r>
      <w:proofErr w:type="spellEnd"/>
      <w:r w:rsidRPr="007C45C4">
        <w:rPr>
          <w:rFonts w:cs="Arial"/>
          <w:bCs/>
          <w:szCs w:val="15"/>
          <w:lang w:val="en-US"/>
        </w:rPr>
        <w:t>, (</w:t>
      </w:r>
      <w:r w:rsidRPr="007C45C4">
        <w:rPr>
          <w:rFonts w:cs="Arial"/>
          <w:bCs/>
          <w:i/>
          <w:szCs w:val="15"/>
          <w:lang w:val="en-US"/>
        </w:rPr>
        <w:t>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144.3 (1C, C</w:t>
      </w:r>
      <w:r w:rsidRPr="007C45C4">
        <w:rPr>
          <w:rFonts w:cs="Arial"/>
          <w:bCs/>
          <w:szCs w:val="15"/>
          <w:vertAlign w:val="superscript"/>
          <w:lang w:val="en-US"/>
        </w:rPr>
        <w:t>1</w:t>
      </w:r>
      <w:r w:rsidRPr="007C45C4">
        <w:rPr>
          <w:rFonts w:cs="Arial"/>
          <w:bCs/>
          <w:szCs w:val="15"/>
          <w:lang w:val="en-US"/>
        </w:rPr>
        <w:t>,</w:t>
      </w:r>
      <w:r w:rsidRPr="007C45C4">
        <w:rPr>
          <w:rFonts w:cs="Arial"/>
          <w:bCs/>
          <w:i/>
          <w:szCs w:val="15"/>
          <w:lang w:val="en-US"/>
        </w:rPr>
        <w:t xml:space="preserve"> 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S), 145.5 [1C, C</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145.8 [1C, C</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152.0 [2C, C</w:t>
      </w:r>
      <w:r w:rsidRPr="007C45C4">
        <w:rPr>
          <w:rFonts w:cs="Arial"/>
          <w:bCs/>
          <w:szCs w:val="15"/>
          <w:vertAlign w:val="superscript"/>
          <w:lang w:val="en-US"/>
        </w:rPr>
        <w:t>10a,1a</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156.1 [1C, C</w:t>
      </w:r>
      <w:r w:rsidRPr="007C45C4">
        <w:rPr>
          <w:rFonts w:cs="Arial"/>
          <w:bCs/>
          <w:szCs w:val="15"/>
          <w:vertAlign w:val="superscript"/>
          <w:lang w:val="en-US"/>
        </w:rPr>
        <w:t>2/9</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157.4 [1C, C</w:t>
      </w:r>
      <w:r w:rsidRPr="007C45C4">
        <w:rPr>
          <w:rFonts w:cs="Arial"/>
          <w:bCs/>
          <w:szCs w:val="15"/>
          <w:vertAlign w:val="superscript"/>
          <w:lang w:val="en-US"/>
        </w:rPr>
        <w:t>2/9</w:t>
      </w:r>
      <w:r w:rsidRPr="007C45C4">
        <w:rPr>
          <w:rFonts w:cs="Arial"/>
          <w:bCs/>
          <w:szCs w:val="15"/>
          <w:lang w:val="en-US"/>
        </w:rPr>
        <w:t>, (C</w:t>
      </w:r>
      <w:r w:rsidRPr="007C45C4">
        <w:rPr>
          <w:rFonts w:cs="Arial"/>
          <w:bCs/>
          <w:szCs w:val="15"/>
          <w:vertAlign w:val="subscript"/>
          <w:lang w:val="en-US"/>
        </w:rPr>
        <w:t>6</w:t>
      </w:r>
      <w:r w:rsidRPr="007C45C4">
        <w:rPr>
          <w:rFonts w:cs="Arial"/>
          <w:bCs/>
          <w:szCs w:val="15"/>
          <w:lang w:val="en-US"/>
        </w:rPr>
        <w:t>H</w:t>
      </w:r>
      <w:r w:rsidRPr="007C45C4">
        <w:rPr>
          <w:rFonts w:cs="Arial"/>
          <w:bCs/>
          <w:szCs w:val="15"/>
          <w:vertAlign w:val="subscript"/>
          <w:lang w:val="en-US"/>
        </w:rPr>
        <w:t>5</w:t>
      </w:r>
      <w:r w:rsidRPr="007C45C4">
        <w:rPr>
          <w:rFonts w:cs="Arial"/>
          <w:bCs/>
          <w:szCs w:val="15"/>
          <w:lang w:val="en-US"/>
        </w:rPr>
        <w:t>)</w:t>
      </w:r>
      <w:r w:rsidRPr="007C45C4">
        <w:rPr>
          <w:rFonts w:cs="Arial"/>
          <w:bCs/>
          <w:szCs w:val="15"/>
          <w:vertAlign w:val="subscript"/>
          <w:lang w:val="en-US"/>
        </w:rPr>
        <w:t>2</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N</w:t>
      </w:r>
      <w:r w:rsidRPr="007C45C4">
        <w:rPr>
          <w:rFonts w:cs="Arial"/>
          <w:bCs/>
          <w:szCs w:val="15"/>
          <w:vertAlign w:val="subscript"/>
          <w:lang w:val="en-US"/>
        </w:rPr>
        <w:t>2</w:t>
      </w:r>
      <w:r w:rsidRPr="007C45C4">
        <w:rPr>
          <w:rFonts w:cs="Arial"/>
          <w:bCs/>
          <w:szCs w:val="15"/>
          <w:lang w:val="en-US"/>
        </w:rPr>
        <w:t xml:space="preserve">)], 251.0 (1C, </w:t>
      </w:r>
      <w:r w:rsidRPr="007C45C4">
        <w:rPr>
          <w:rFonts w:cs="Arial"/>
          <w:bCs/>
          <w:i/>
          <w:szCs w:val="15"/>
          <w:lang w:val="en-US"/>
        </w:rPr>
        <w:t>C</w:t>
      </w:r>
      <w:r w:rsidRPr="007C45C4">
        <w:rPr>
          <w:rFonts w:cs="Arial"/>
          <w:bCs/>
          <w:szCs w:val="15"/>
          <w:lang w:val="en-US"/>
        </w:rPr>
        <w:t xml:space="preserve">O), 253.5 (1C, </w:t>
      </w:r>
      <w:r w:rsidRPr="007C45C4">
        <w:rPr>
          <w:rFonts w:cs="Arial"/>
          <w:bCs/>
          <w:i/>
          <w:szCs w:val="15"/>
          <w:lang w:val="en-US"/>
        </w:rPr>
        <w:t>C</w:t>
      </w:r>
      <w:r w:rsidRPr="007C45C4">
        <w:rPr>
          <w:rFonts w:cs="Arial"/>
          <w:bCs/>
          <w:szCs w:val="15"/>
          <w:lang w:val="en-US"/>
        </w:rPr>
        <w:t>O).</w:t>
      </w:r>
      <w:r w:rsidRPr="007C45C4">
        <w:rPr>
          <w:rFonts w:cs="Arial"/>
          <w:szCs w:val="15"/>
          <w:lang w:val="en-US"/>
        </w:rPr>
        <w:t>IR(ATR; cm</w:t>
      </w:r>
      <w:r w:rsidRPr="007C45C4">
        <w:rPr>
          <w:rFonts w:cs="Arial"/>
          <w:szCs w:val="15"/>
          <w:vertAlign w:val="superscript"/>
          <w:lang w:val="en-US"/>
        </w:rPr>
        <w:t>–1</w:t>
      </w:r>
      <w:r w:rsidRPr="007C45C4">
        <w:rPr>
          <w:rFonts w:cs="Arial"/>
          <w:szCs w:val="15"/>
          <w:lang w:val="en-US"/>
        </w:rPr>
        <w:t>):</w:t>
      </w:r>
      <w:r w:rsidRPr="007C45C4">
        <w:rPr>
          <w:rFonts w:cs="Arial"/>
          <w:bCs/>
          <w:szCs w:val="15"/>
          <w:lang w:val="en-US"/>
        </w:rPr>
        <w:t xml:space="preserve"> 1962 vs [</w:t>
      </w:r>
      <w:proofErr w:type="spellStart"/>
      <w:r w:rsidRPr="007C45C4">
        <w:rPr>
          <w:rFonts w:cs="Arial"/>
          <w:bCs/>
          <w:szCs w:val="15"/>
          <w:lang w:val="en-US"/>
        </w:rPr>
        <w:t>ν</w:t>
      </w:r>
      <w:r w:rsidRPr="007C45C4">
        <w:rPr>
          <w:rFonts w:cs="Arial"/>
          <w:bCs/>
          <w:szCs w:val="15"/>
          <w:vertAlign w:val="subscript"/>
          <w:lang w:val="en-US"/>
        </w:rPr>
        <w:t>a</w:t>
      </w:r>
      <w:proofErr w:type="spellEnd"/>
      <w:r w:rsidRPr="007C45C4">
        <w:rPr>
          <w:rFonts w:cs="Arial"/>
          <w:bCs/>
          <w:szCs w:val="15"/>
          <w:lang w:val="en-US"/>
        </w:rPr>
        <w:t>(CO)], 1884 vs [</w:t>
      </w:r>
      <w:proofErr w:type="spellStart"/>
      <w:r w:rsidRPr="007C45C4">
        <w:rPr>
          <w:rFonts w:cs="Arial"/>
          <w:bCs/>
          <w:szCs w:val="15"/>
          <w:lang w:val="en-US"/>
        </w:rPr>
        <w:t>ν</w:t>
      </w:r>
      <w:r w:rsidRPr="007C45C4">
        <w:rPr>
          <w:rFonts w:cs="Arial"/>
          <w:bCs/>
          <w:szCs w:val="15"/>
          <w:vertAlign w:val="subscript"/>
          <w:lang w:val="en-US"/>
        </w:rPr>
        <w:t>s</w:t>
      </w:r>
      <w:proofErr w:type="spellEnd"/>
      <w:r w:rsidRPr="007C45C4">
        <w:rPr>
          <w:rFonts w:cs="Arial"/>
          <w:bCs/>
          <w:szCs w:val="15"/>
          <w:lang w:val="en-US"/>
        </w:rPr>
        <w:t>(CO)], 1052 vs, br. [ν(BF)].</w:t>
      </w:r>
      <w:proofErr w:type="gramEnd"/>
    </w:p>
    <w:p w14:paraId="0494D17B" w14:textId="77777777" w:rsidR="005A5FB8" w:rsidRPr="007C45C4" w:rsidRDefault="00AE37FC" w:rsidP="005A5FB8">
      <w:pPr>
        <w:pStyle w:val="RSCB06BHeadingSub-Section"/>
        <w:rPr>
          <w:lang w:val="en-US"/>
        </w:rPr>
      </w:pPr>
      <w:r w:rsidRPr="007C45C4">
        <w:rPr>
          <w:lang w:val="en-US"/>
        </w:rPr>
        <w:lastRenderedPageBreak/>
        <w:t>Synthesis of [(</w:t>
      </w:r>
      <w:r w:rsidRPr="007C45C4">
        <w:rPr>
          <w:i/>
          <w:lang w:val="en-US"/>
        </w:rPr>
        <w:t>η</w:t>
      </w:r>
      <w:r w:rsidRPr="007C45C4">
        <w:rPr>
          <w:vertAlign w:val="superscript"/>
          <w:lang w:val="en-US"/>
        </w:rPr>
        <w:t>5</w:t>
      </w:r>
      <w:r w:rsidRPr="007C45C4">
        <w:rPr>
          <w:lang w:val="en-US"/>
        </w:rPr>
        <w:t>-C</w:t>
      </w:r>
      <w:r w:rsidRPr="007C45C4">
        <w:rPr>
          <w:vertAlign w:val="subscript"/>
          <w:lang w:val="en-US"/>
        </w:rPr>
        <w:t>5</w:t>
      </w:r>
      <w:r w:rsidRPr="007C45C4">
        <w:rPr>
          <w:lang w:val="en-US"/>
        </w:rPr>
        <w:t>H</w:t>
      </w:r>
      <w:r w:rsidRPr="007C45C4">
        <w:rPr>
          <w:vertAlign w:val="subscript"/>
          <w:lang w:val="en-US"/>
        </w:rPr>
        <w:t>4</w:t>
      </w:r>
      <w:r w:rsidRPr="007C45C4">
        <w:rPr>
          <w:lang w:val="en-US"/>
        </w:rPr>
        <w:t>CH</w:t>
      </w:r>
      <w:r w:rsidRPr="007C45C4">
        <w:rPr>
          <w:vertAlign w:val="subscript"/>
          <w:lang w:val="en-US"/>
        </w:rPr>
        <w:t>2</w:t>
      </w:r>
      <w:r w:rsidRPr="007C45C4">
        <w:rPr>
          <w:lang w:val="en-US"/>
        </w:rPr>
        <w:t>C</w:t>
      </w:r>
      <w:r w:rsidRPr="007C45C4">
        <w:rPr>
          <w:vertAlign w:val="subscript"/>
          <w:lang w:val="en-US"/>
        </w:rPr>
        <w:t>4</w:t>
      </w:r>
      <w:r w:rsidRPr="007C45C4">
        <w:rPr>
          <w:lang w:val="en-US"/>
        </w:rPr>
        <w:t>H</w:t>
      </w:r>
      <w:r w:rsidRPr="007C45C4">
        <w:rPr>
          <w:vertAlign w:val="subscript"/>
          <w:lang w:val="en-US"/>
        </w:rPr>
        <w:t>3</w:t>
      </w:r>
      <w:r w:rsidRPr="007C45C4">
        <w:rPr>
          <w:lang w:val="en-US"/>
        </w:rPr>
        <w:t>S</w:t>
      </w:r>
      <w:proofErr w:type="gramStart"/>
      <w:r w:rsidRPr="007C45C4">
        <w:rPr>
          <w:lang w:val="en-US"/>
        </w:rPr>
        <w:t>)Mo</w:t>
      </w:r>
      <w:proofErr w:type="gramEnd"/>
      <w:r w:rsidRPr="007C45C4">
        <w:rPr>
          <w:lang w:val="en-US"/>
        </w:rPr>
        <w:t>(CO)</w:t>
      </w:r>
      <w:r w:rsidRPr="007C45C4">
        <w:rPr>
          <w:vertAlign w:val="subscript"/>
          <w:lang w:val="en-US"/>
        </w:rPr>
        <w:t>2</w:t>
      </w:r>
      <w:r w:rsidRPr="007C45C4">
        <w:rPr>
          <w:lang w:val="en-US"/>
        </w:rPr>
        <w:t>(NH</w:t>
      </w:r>
      <w:r w:rsidRPr="007C45C4">
        <w:rPr>
          <w:vertAlign w:val="subscript"/>
          <w:lang w:val="en-US"/>
        </w:rPr>
        <w:t>2</w:t>
      </w:r>
      <w:r w:rsidRPr="007C45C4">
        <w:rPr>
          <w:lang w:val="en-US"/>
        </w:rPr>
        <w:t>phen)][BF</w:t>
      </w:r>
      <w:r w:rsidRPr="007C45C4">
        <w:rPr>
          <w:vertAlign w:val="subscript"/>
          <w:lang w:val="en-US"/>
        </w:rPr>
        <w:t>4</w:t>
      </w:r>
      <w:r w:rsidRPr="007C45C4">
        <w:rPr>
          <w:lang w:val="en-US"/>
        </w:rPr>
        <w:t>] (7)</w:t>
      </w:r>
    </w:p>
    <w:p w14:paraId="5C350318" w14:textId="77777777" w:rsidR="005A5FB8" w:rsidRPr="007C45C4" w:rsidRDefault="00AE37FC" w:rsidP="005A5FB8">
      <w:pPr>
        <w:pStyle w:val="RSCB02ArticleText"/>
        <w:rPr>
          <w:rFonts w:cs="Arial"/>
          <w:bCs/>
          <w:szCs w:val="15"/>
          <w:lang w:val="en-US"/>
        </w:rPr>
      </w:pPr>
      <w:r w:rsidRPr="007C45C4">
        <w:rPr>
          <w:rFonts w:cs="Arial"/>
          <w:bCs/>
          <w:szCs w:val="15"/>
          <w:lang w:val="en-US"/>
        </w:rPr>
        <w:t xml:space="preserve">The reaction was performed as was described for </w:t>
      </w:r>
      <w:proofErr w:type="gramStart"/>
      <w:r w:rsidRPr="007C45C4">
        <w:rPr>
          <w:rFonts w:cs="Arial"/>
          <w:b/>
          <w:bCs/>
          <w:szCs w:val="15"/>
          <w:lang w:val="en-US"/>
        </w:rPr>
        <w:t>4</w:t>
      </w:r>
      <w:proofErr w:type="gramEnd"/>
      <w:r w:rsidRPr="007C45C4">
        <w:rPr>
          <w:rFonts w:cs="Arial"/>
          <w:bCs/>
          <w:szCs w:val="15"/>
          <w:lang w:val="en-US"/>
        </w:rPr>
        <w:t xml:space="preserve"> but with </w:t>
      </w:r>
      <w:r w:rsidRPr="007C45C4">
        <w:rPr>
          <w:rFonts w:cs="Arial"/>
          <w:b/>
          <w:bCs/>
          <w:szCs w:val="15"/>
          <w:lang w:val="en-US"/>
        </w:rPr>
        <w:t>3</w:t>
      </w:r>
      <w:r w:rsidRPr="007C45C4">
        <w:rPr>
          <w:rFonts w:cs="Arial"/>
          <w:bCs/>
          <w:szCs w:val="15"/>
          <w:lang w:val="en-US"/>
        </w:rPr>
        <w:t xml:space="preserve"> (266 mg, 0.5 </w:t>
      </w:r>
      <w:proofErr w:type="spellStart"/>
      <w:r w:rsidRPr="007C45C4">
        <w:rPr>
          <w:rFonts w:cs="Arial"/>
          <w:bCs/>
          <w:szCs w:val="15"/>
          <w:lang w:val="en-US"/>
        </w:rPr>
        <w:t>mmol</w:t>
      </w:r>
      <w:proofErr w:type="spellEnd"/>
      <w:r w:rsidRPr="007C45C4">
        <w:rPr>
          <w:rFonts w:cs="Arial"/>
          <w:bCs/>
          <w:szCs w:val="15"/>
          <w:lang w:val="en-US"/>
        </w:rPr>
        <w:t>) and NH</w:t>
      </w:r>
      <w:r w:rsidRPr="007C45C4">
        <w:rPr>
          <w:rFonts w:cs="Arial"/>
          <w:bCs/>
          <w:szCs w:val="15"/>
          <w:vertAlign w:val="subscript"/>
          <w:lang w:val="en-US"/>
        </w:rPr>
        <w:t>2</w:t>
      </w:r>
      <w:r w:rsidRPr="007C45C4">
        <w:rPr>
          <w:rFonts w:cs="Arial"/>
          <w:bCs/>
          <w:szCs w:val="15"/>
          <w:lang w:val="en-US"/>
        </w:rPr>
        <w:t xml:space="preserve">phen (97.6 mg, 0.5 </w:t>
      </w:r>
      <w:proofErr w:type="spellStart"/>
      <w:r w:rsidRPr="007C45C4">
        <w:rPr>
          <w:rFonts w:cs="Arial"/>
          <w:bCs/>
          <w:szCs w:val="15"/>
          <w:lang w:val="en-US"/>
        </w:rPr>
        <w:t>mmol</w:t>
      </w:r>
      <w:proofErr w:type="spellEnd"/>
      <w:r w:rsidRPr="007C45C4">
        <w:rPr>
          <w:rFonts w:cs="Arial"/>
          <w:bCs/>
          <w:szCs w:val="15"/>
          <w:lang w:val="en-US"/>
        </w:rPr>
        <w:t xml:space="preserve">). The crude product was washed with diethyl ether (3 × 7 mL) and recrystallized from a </w:t>
      </w:r>
      <w:proofErr w:type="spellStart"/>
      <w:r w:rsidRPr="007C45C4">
        <w:rPr>
          <w:rFonts w:cs="Arial"/>
          <w:bCs/>
          <w:szCs w:val="15"/>
          <w:lang w:val="en-US"/>
        </w:rPr>
        <w:t>MeCN</w:t>
      </w:r>
      <w:proofErr w:type="spellEnd"/>
      <w:r w:rsidRPr="007C45C4">
        <w:rPr>
          <w:rFonts w:cs="Arial"/>
          <w:bCs/>
          <w:szCs w:val="15"/>
          <w:lang w:val="en-US"/>
        </w:rPr>
        <w:t>/Et</w:t>
      </w:r>
      <w:r w:rsidRPr="007C45C4">
        <w:rPr>
          <w:rFonts w:cs="Arial"/>
          <w:bCs/>
          <w:szCs w:val="15"/>
          <w:vertAlign w:val="subscript"/>
          <w:lang w:val="en-US"/>
        </w:rPr>
        <w:t>2</w:t>
      </w:r>
      <w:r w:rsidRPr="007C45C4">
        <w:rPr>
          <w:rFonts w:cs="Arial"/>
          <w:bCs/>
          <w:szCs w:val="15"/>
          <w:lang w:val="en-US"/>
        </w:rPr>
        <w:t xml:space="preserve">O mixture to afford red powder of </w:t>
      </w:r>
      <w:r w:rsidRPr="007C45C4">
        <w:rPr>
          <w:rFonts w:cs="Arial"/>
          <w:b/>
          <w:bCs/>
          <w:szCs w:val="15"/>
          <w:lang w:val="en-US"/>
        </w:rPr>
        <w:t>7</w:t>
      </w:r>
      <w:r w:rsidRPr="007C45C4">
        <w:rPr>
          <w:rFonts w:cs="Arial"/>
          <w:bCs/>
          <w:szCs w:val="15"/>
          <w:lang w:val="en-US"/>
        </w:rPr>
        <w:t xml:space="preserve"> (206 mg, 0,32 </w:t>
      </w:r>
      <w:proofErr w:type="spellStart"/>
      <w:r w:rsidRPr="007C45C4">
        <w:rPr>
          <w:rFonts w:cs="Arial"/>
          <w:bCs/>
          <w:szCs w:val="15"/>
          <w:lang w:val="en-US"/>
        </w:rPr>
        <w:t>mmol</w:t>
      </w:r>
      <w:proofErr w:type="spellEnd"/>
      <w:r w:rsidRPr="007C45C4">
        <w:rPr>
          <w:rFonts w:cs="Arial"/>
          <w:bCs/>
          <w:szCs w:val="15"/>
          <w:lang w:val="en-US"/>
        </w:rPr>
        <w:t xml:space="preserve">, 64%). </w:t>
      </w:r>
      <w:proofErr w:type="spellStart"/>
      <w:r w:rsidRPr="007C45C4">
        <w:rPr>
          <w:rFonts w:cs="Arial"/>
          <w:szCs w:val="15"/>
          <w:lang w:val="en-US"/>
        </w:rPr>
        <w:t>Calcd</w:t>
      </w:r>
      <w:proofErr w:type="spellEnd"/>
      <w:r w:rsidRPr="007C45C4">
        <w:rPr>
          <w:rFonts w:cs="Arial"/>
          <w:szCs w:val="15"/>
          <w:lang w:val="en-US"/>
        </w:rPr>
        <w:t xml:space="preserve"> forC</w:t>
      </w:r>
      <w:r w:rsidRPr="007C45C4">
        <w:rPr>
          <w:rFonts w:cs="Arial"/>
          <w:szCs w:val="15"/>
          <w:vertAlign w:val="subscript"/>
          <w:lang w:val="en-US"/>
        </w:rPr>
        <w:t>28</w:t>
      </w:r>
      <w:r w:rsidRPr="007C45C4">
        <w:rPr>
          <w:rFonts w:cs="Arial"/>
          <w:szCs w:val="15"/>
          <w:lang w:val="en-US"/>
        </w:rPr>
        <w:t>H</w:t>
      </w:r>
      <w:r w:rsidRPr="007C45C4">
        <w:rPr>
          <w:rFonts w:cs="Arial"/>
          <w:szCs w:val="15"/>
          <w:vertAlign w:val="subscript"/>
          <w:lang w:val="en-US"/>
        </w:rPr>
        <w:t>20</w:t>
      </w:r>
      <w:r w:rsidRPr="007C45C4">
        <w:rPr>
          <w:rFonts w:cs="Arial"/>
          <w:szCs w:val="15"/>
          <w:lang w:val="en-US"/>
        </w:rPr>
        <w:t>N</w:t>
      </w:r>
      <w:r w:rsidRPr="007C45C4">
        <w:rPr>
          <w:rFonts w:cs="Arial"/>
          <w:szCs w:val="15"/>
          <w:vertAlign w:val="subscript"/>
          <w:lang w:val="en-US"/>
        </w:rPr>
        <w:t>3</w:t>
      </w:r>
      <w:r w:rsidRPr="007C45C4">
        <w:rPr>
          <w:rFonts w:cs="Arial"/>
          <w:szCs w:val="15"/>
          <w:lang w:val="en-US"/>
        </w:rPr>
        <w:t>O</w:t>
      </w:r>
      <w:r w:rsidRPr="007C45C4">
        <w:rPr>
          <w:rFonts w:cs="Arial"/>
          <w:szCs w:val="15"/>
          <w:vertAlign w:val="subscript"/>
          <w:lang w:val="en-US"/>
        </w:rPr>
        <w:t>2</w:t>
      </w:r>
      <w:r w:rsidRPr="007C45C4">
        <w:rPr>
          <w:rFonts w:cs="Arial"/>
          <w:szCs w:val="15"/>
          <w:lang w:val="en-US"/>
        </w:rPr>
        <w:t>SMoBF</w:t>
      </w:r>
      <w:r w:rsidRPr="007C45C4">
        <w:rPr>
          <w:rFonts w:cs="Arial"/>
          <w:szCs w:val="15"/>
          <w:vertAlign w:val="subscript"/>
          <w:lang w:val="en-US"/>
        </w:rPr>
        <w:t>4</w:t>
      </w:r>
      <w:r w:rsidRPr="007C45C4">
        <w:rPr>
          <w:rFonts w:cs="Arial"/>
          <w:szCs w:val="15"/>
          <w:lang w:val="en-US"/>
        </w:rPr>
        <w:t xml:space="preserve">: C, 52.11; H, 3.12; N, 6.51; S, 4.46. </w:t>
      </w:r>
      <w:proofErr w:type="gramStart"/>
      <w:r w:rsidRPr="007C45C4">
        <w:rPr>
          <w:rFonts w:cs="Arial"/>
          <w:szCs w:val="15"/>
          <w:lang w:val="en-US"/>
        </w:rPr>
        <w:t>Found:</w:t>
      </w:r>
      <w:proofErr w:type="gramEnd"/>
      <w:r w:rsidRPr="007C45C4">
        <w:rPr>
          <w:rFonts w:cs="Arial"/>
          <w:szCs w:val="15"/>
          <w:lang w:val="en-US"/>
        </w:rPr>
        <w:t xml:space="preserve"> C, 52.23; H, 3.34; N, 6.70; S 4.29. </w:t>
      </w:r>
      <w:proofErr w:type="gramStart"/>
      <w:r w:rsidRPr="007C45C4">
        <w:rPr>
          <w:rFonts w:cs="Arial"/>
          <w:szCs w:val="15"/>
          <w:lang w:val="en-US"/>
        </w:rPr>
        <w:t>Positive-ion MS (</w:t>
      </w:r>
      <w:proofErr w:type="spellStart"/>
      <w:r w:rsidRPr="007C45C4">
        <w:rPr>
          <w:rFonts w:cs="Arial"/>
          <w:szCs w:val="15"/>
          <w:lang w:val="en-US"/>
        </w:rPr>
        <w:t>MeCN</w:t>
      </w:r>
      <w:proofErr w:type="spellEnd"/>
      <w:r w:rsidRPr="007C45C4">
        <w:rPr>
          <w:rFonts w:cs="Arial"/>
          <w:szCs w:val="15"/>
          <w:lang w:val="en-US"/>
        </w:rPr>
        <w:t>): m/z (%) = 560 (100) [M]</w:t>
      </w:r>
      <w:r w:rsidRPr="007C45C4">
        <w:rPr>
          <w:rFonts w:cs="Arial"/>
          <w:szCs w:val="15"/>
          <w:vertAlign w:val="superscript"/>
          <w:lang w:val="en-US"/>
        </w:rPr>
        <w:t>+</w:t>
      </w:r>
      <w:r w:rsidRPr="007C45C4">
        <w:rPr>
          <w:rFonts w:cs="Arial"/>
          <w:szCs w:val="15"/>
          <w:lang w:val="en-US"/>
        </w:rPr>
        <w:t>.</w:t>
      </w:r>
      <w:r w:rsidRPr="007C45C4">
        <w:rPr>
          <w:rFonts w:cs="Arial"/>
          <w:bCs/>
          <w:szCs w:val="15"/>
          <w:vertAlign w:val="superscript"/>
          <w:lang w:val="en-US"/>
        </w:rPr>
        <w:t>1</w:t>
      </w:r>
      <w:r w:rsidRPr="007C45C4">
        <w:rPr>
          <w:rFonts w:cs="Arial"/>
          <w:bCs/>
          <w:szCs w:val="15"/>
          <w:lang w:val="en-US"/>
        </w:rPr>
        <w:t>H NMR (CD</w:t>
      </w:r>
      <w:r w:rsidRPr="007C45C4">
        <w:rPr>
          <w:rFonts w:cs="Arial"/>
          <w:bCs/>
          <w:szCs w:val="15"/>
          <w:vertAlign w:val="subscript"/>
          <w:lang w:val="en-US"/>
        </w:rPr>
        <w:t>3</w:t>
      </w:r>
      <w:r w:rsidRPr="007C45C4">
        <w:rPr>
          <w:rFonts w:cs="Arial"/>
          <w:bCs/>
          <w:szCs w:val="15"/>
          <w:lang w:val="en-US"/>
        </w:rPr>
        <w:t xml:space="preserve">CN; 400 MHz; 1:1 mixture of conformers </w:t>
      </w:r>
      <w:r w:rsidRPr="007C45C4">
        <w:rPr>
          <w:rFonts w:cs="Arial"/>
          <w:b/>
          <w:bCs/>
          <w:szCs w:val="15"/>
          <w:lang w:val="en-US"/>
        </w:rPr>
        <w:t>a</w:t>
      </w:r>
      <w:r w:rsidRPr="007C45C4">
        <w:rPr>
          <w:rFonts w:cs="Arial"/>
          <w:bCs/>
          <w:szCs w:val="15"/>
          <w:lang w:val="en-US"/>
        </w:rPr>
        <w:t xml:space="preserve"> and </w:t>
      </w:r>
      <w:r w:rsidRPr="007C45C4">
        <w:rPr>
          <w:rFonts w:cs="Arial"/>
          <w:b/>
          <w:bCs/>
          <w:szCs w:val="15"/>
          <w:lang w:val="en-US"/>
        </w:rPr>
        <w:t>b</w:t>
      </w:r>
      <w:r w:rsidRPr="007C45C4">
        <w:rPr>
          <w:rFonts w:cs="Arial"/>
          <w:bCs/>
          <w:szCs w:val="15"/>
          <w:lang w:val="en-US"/>
        </w:rPr>
        <w:t xml:space="preserve">; δ ppm): 4.18 (d, </w:t>
      </w:r>
      <w:r w:rsidRPr="007C45C4">
        <w:rPr>
          <w:rFonts w:cs="Arial"/>
          <w:bCs/>
          <w:szCs w:val="15"/>
          <w:vertAlign w:val="superscript"/>
          <w:lang w:val="en-US"/>
        </w:rPr>
        <w:t>2</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6.5 Hz, 1H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4.22 (d, </w:t>
      </w:r>
      <w:r w:rsidRPr="007C45C4">
        <w:rPr>
          <w:rFonts w:cs="Arial"/>
          <w:bCs/>
          <w:szCs w:val="15"/>
          <w:vertAlign w:val="superscript"/>
          <w:lang w:val="en-US"/>
        </w:rPr>
        <w:t>2</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6.5 Hz, 1H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1H,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4.79 (d, </w:t>
      </w:r>
      <w:r w:rsidRPr="007C45C4">
        <w:rPr>
          <w:rFonts w:cs="Arial"/>
          <w:bCs/>
          <w:szCs w:val="15"/>
          <w:vertAlign w:val="superscript"/>
          <w:lang w:val="en-US"/>
        </w:rPr>
        <w:t>2</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9.5 Hz, 1H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1H,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xml:space="preserve">), 4.83 (d, </w:t>
      </w:r>
      <w:r w:rsidRPr="007C45C4">
        <w:rPr>
          <w:rFonts w:cs="Arial"/>
          <w:bCs/>
          <w:szCs w:val="15"/>
          <w:vertAlign w:val="superscript"/>
          <w:lang w:val="en-US"/>
        </w:rPr>
        <w:t>2</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9.5 Hz, 1H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,1H, C</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5.47 (s-</w:t>
      </w:r>
      <w:proofErr w:type="spellStart"/>
      <w:r w:rsidRPr="007C45C4">
        <w:rPr>
          <w:rFonts w:cs="Arial"/>
          <w:bCs/>
          <w:szCs w:val="15"/>
          <w:lang w:val="en-US"/>
        </w:rPr>
        <w:t>br</w:t>
      </w:r>
      <w:proofErr w:type="spellEnd"/>
      <w:r w:rsidRPr="007C45C4">
        <w:rPr>
          <w:rFonts w:cs="Arial"/>
          <w:bCs/>
          <w:szCs w:val="15"/>
          <w:lang w:val="en-US"/>
        </w:rPr>
        <w:t xml:space="preserve">, 2H of </w:t>
      </w:r>
      <w:r w:rsidRPr="007C45C4">
        <w:rPr>
          <w:rFonts w:cs="Arial"/>
          <w:b/>
          <w:bCs/>
          <w:szCs w:val="15"/>
          <w:lang w:val="en-US"/>
        </w:rPr>
        <w:t>a</w:t>
      </w:r>
      <w:r w:rsidRPr="007C45C4">
        <w:rPr>
          <w:rFonts w:cs="Arial"/>
          <w:bCs/>
          <w:szCs w:val="15"/>
          <w:lang w:val="en-US"/>
        </w:rPr>
        <w:t xml:space="preserve">, 2H of </w:t>
      </w:r>
      <w:r w:rsidRPr="007C45C4">
        <w:rPr>
          <w:rFonts w:cs="Arial"/>
          <w:b/>
          <w:bCs/>
          <w:szCs w:val="15"/>
          <w:lang w:val="en-US"/>
        </w:rPr>
        <w:t>b</w:t>
      </w:r>
      <w:r w:rsidRPr="007C45C4">
        <w:rPr>
          <w:rFonts w:cs="Arial"/>
          <w:bCs/>
          <w:szCs w:val="15"/>
          <w:lang w:val="en-US"/>
        </w:rPr>
        <w:t>, N</w:t>
      </w:r>
      <w:r w:rsidRPr="007C45C4">
        <w:rPr>
          <w:rFonts w:cs="Arial"/>
          <w:bCs/>
          <w:i/>
          <w:szCs w:val="15"/>
          <w:lang w:val="en-US"/>
        </w:rPr>
        <w:t>H</w:t>
      </w:r>
      <w:r w:rsidRPr="007C45C4">
        <w:rPr>
          <w:rFonts w:cs="Arial"/>
          <w:bCs/>
          <w:szCs w:val="15"/>
          <w:vertAlign w:val="subscript"/>
          <w:lang w:val="en-US"/>
        </w:rPr>
        <w:t>2</w:t>
      </w:r>
      <w:r w:rsidRPr="007C45C4">
        <w:rPr>
          <w:rFonts w:cs="Arial"/>
          <w:bCs/>
          <w:szCs w:val="15"/>
          <w:lang w:val="en-US"/>
        </w:rPr>
        <w:t>,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5.65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2.8 Hz, 1H of </w:t>
      </w:r>
      <w:r w:rsidRPr="007C45C4">
        <w:rPr>
          <w:rFonts w:cs="Arial"/>
          <w:b/>
          <w:bCs/>
          <w:szCs w:val="15"/>
          <w:lang w:val="en-US"/>
        </w:rPr>
        <w:t>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6.30 (m, 1H of </w:t>
      </w:r>
      <w:r w:rsidRPr="007C45C4">
        <w:rPr>
          <w:rFonts w:cs="Arial"/>
          <w:b/>
          <w:bCs/>
          <w:szCs w:val="15"/>
          <w:lang w:val="en-US"/>
        </w:rPr>
        <w:t>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xml:space="preserve"> H</w:t>
      </w:r>
      <w:r w:rsidRPr="007C45C4">
        <w:rPr>
          <w:rFonts w:cs="Arial"/>
          <w:bCs/>
          <w:szCs w:val="15"/>
          <w:vertAlign w:val="superscript"/>
          <w:lang w:val="en-US"/>
        </w:rPr>
        <w:t>5</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6.38 (m, 1H of </w:t>
      </w:r>
      <w:r w:rsidRPr="007C45C4">
        <w:rPr>
          <w:rFonts w:cs="Arial"/>
          <w:b/>
          <w:bCs/>
          <w:szCs w:val="15"/>
          <w:lang w:val="en-US"/>
        </w:rPr>
        <w:t>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xml:space="preserve"> H</w:t>
      </w:r>
      <w:r w:rsidRPr="007C45C4">
        <w:rPr>
          <w:rFonts w:cs="Arial"/>
          <w:bCs/>
          <w:szCs w:val="15"/>
          <w:vertAlign w:val="superscript"/>
          <w:lang w:val="en-US"/>
        </w:rPr>
        <w:t>6</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6.51 (m, 1H of </w:t>
      </w:r>
      <w:r w:rsidRPr="007C45C4">
        <w:rPr>
          <w:rFonts w:cs="Arial"/>
          <w:b/>
          <w:bCs/>
          <w:szCs w:val="15"/>
          <w:lang w:val="en-US"/>
        </w:rPr>
        <w:t>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3</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6.69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8.3 Hz, 1H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7</w:t>
      </w:r>
      <w:r w:rsidRPr="007C45C4">
        <w:rPr>
          <w:rFonts w:cs="Arial"/>
          <w:bCs/>
          <w:szCs w:val="15"/>
          <w:lang w:val="en-US"/>
        </w:rPr>
        <w:t xml:space="preserve">), 6.72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8.3 Hz, 1H of </w:t>
      </w:r>
      <w:r w:rsidRPr="007C45C4">
        <w:rPr>
          <w:rFonts w:cs="Arial"/>
          <w:b/>
          <w:bCs/>
          <w:szCs w:val="15"/>
          <w:lang w:val="en-US"/>
        </w:rPr>
        <w:t>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4</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7</w:t>
      </w:r>
      <w:r w:rsidRPr="007C45C4">
        <w:rPr>
          <w:rFonts w:cs="Arial"/>
          <w:bCs/>
          <w:szCs w:val="15"/>
          <w:lang w:val="en-US"/>
        </w:rPr>
        <w:t xml:space="preserve">), 6.89 (t,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color w:val="000000" w:themeColor="text1"/>
          <w:szCs w:val="15"/>
          <w:vertAlign w:val="superscript"/>
          <w:lang w:val="en-US"/>
        </w:rPr>
        <w:t>1</w:t>
      </w:r>
      <w:r w:rsidRPr="007C45C4">
        <w:rPr>
          <w:rFonts w:cs="Arial"/>
          <w:bCs/>
          <w:color w:val="000000" w:themeColor="text1"/>
          <w:szCs w:val="15"/>
          <w:lang w:val="en-US"/>
        </w:rPr>
        <w:t xml:space="preserve">H) = 5.0 Hz, 1H of </w:t>
      </w:r>
      <w:r w:rsidRPr="007C45C4">
        <w:rPr>
          <w:rFonts w:cs="Arial"/>
          <w:b/>
          <w:bCs/>
          <w:color w:val="000000" w:themeColor="text1"/>
          <w:szCs w:val="15"/>
          <w:lang w:val="en-US"/>
        </w:rPr>
        <w:t>a</w:t>
      </w:r>
      <w:r w:rsidRPr="007C45C4">
        <w:rPr>
          <w:rFonts w:cs="Arial"/>
          <w:bCs/>
          <w:color w:val="000000" w:themeColor="text1"/>
          <w:szCs w:val="15"/>
          <w:lang w:val="en-US"/>
        </w:rPr>
        <w:t xml:space="preserve">, 1H of </w:t>
      </w:r>
      <w:r w:rsidRPr="007C45C4">
        <w:rPr>
          <w:rFonts w:cs="Arial"/>
          <w:b/>
          <w:bCs/>
          <w:color w:val="000000" w:themeColor="text1"/>
          <w:szCs w:val="15"/>
          <w:lang w:val="en-US"/>
        </w:rPr>
        <w:t>b</w:t>
      </w:r>
      <w:r w:rsidRPr="007C45C4">
        <w:rPr>
          <w:rFonts w:cs="Arial"/>
          <w:bCs/>
          <w:color w:val="000000" w:themeColor="text1"/>
          <w:szCs w:val="15"/>
          <w:lang w:val="en-US"/>
        </w:rPr>
        <w:t>, H</w:t>
      </w:r>
      <w:r w:rsidRPr="007C45C4">
        <w:rPr>
          <w:rFonts w:cs="Arial"/>
          <w:bCs/>
          <w:color w:val="000000" w:themeColor="text1"/>
          <w:szCs w:val="15"/>
          <w:vertAlign w:val="superscript"/>
          <w:lang w:val="en-US"/>
        </w:rPr>
        <w:t>3</w:t>
      </w:r>
      <w:r w:rsidRPr="007C45C4">
        <w:rPr>
          <w:rFonts w:cs="Arial"/>
          <w:bCs/>
          <w:color w:val="000000" w:themeColor="text1"/>
          <w:szCs w:val="15"/>
          <w:lang w:val="en-US"/>
        </w:rPr>
        <w:t>, C</w:t>
      </w:r>
      <w:r w:rsidRPr="007C45C4">
        <w:rPr>
          <w:rFonts w:cs="Arial"/>
          <w:bCs/>
          <w:color w:val="000000" w:themeColor="text1"/>
          <w:szCs w:val="15"/>
          <w:vertAlign w:val="subscript"/>
          <w:lang w:val="en-US"/>
        </w:rPr>
        <w:t>4</w:t>
      </w:r>
      <w:r w:rsidRPr="007C45C4">
        <w:rPr>
          <w:rFonts w:cs="Arial"/>
          <w:bCs/>
          <w:i/>
          <w:color w:val="000000" w:themeColor="text1"/>
          <w:szCs w:val="15"/>
          <w:lang w:val="en-US"/>
        </w:rPr>
        <w:t>H</w:t>
      </w:r>
      <w:r w:rsidRPr="007C45C4">
        <w:rPr>
          <w:rFonts w:cs="Arial"/>
          <w:bCs/>
          <w:color w:val="000000" w:themeColor="text1"/>
          <w:szCs w:val="15"/>
          <w:vertAlign w:val="subscript"/>
          <w:lang w:val="en-US"/>
        </w:rPr>
        <w:t>3</w:t>
      </w:r>
      <w:r w:rsidRPr="007C45C4">
        <w:rPr>
          <w:rFonts w:cs="Arial"/>
          <w:bCs/>
          <w:color w:val="000000" w:themeColor="text1"/>
          <w:szCs w:val="15"/>
          <w:lang w:val="en-US"/>
        </w:rPr>
        <w:t xml:space="preserve">S), 6.93 (s, 1H of </w:t>
      </w:r>
      <w:r w:rsidRPr="007C45C4">
        <w:rPr>
          <w:rFonts w:cs="Arial"/>
          <w:b/>
          <w:bCs/>
          <w:color w:val="000000" w:themeColor="text1"/>
          <w:szCs w:val="15"/>
          <w:lang w:val="en-US"/>
        </w:rPr>
        <w:t>a</w:t>
      </w:r>
      <w:r w:rsidRPr="007C45C4">
        <w:rPr>
          <w:rFonts w:cs="Arial"/>
          <w:bCs/>
          <w:color w:val="000000" w:themeColor="text1"/>
          <w:szCs w:val="15"/>
          <w:lang w:val="en-US"/>
        </w:rPr>
        <w:t>/</w:t>
      </w:r>
      <w:r w:rsidRPr="007C45C4">
        <w:rPr>
          <w:rFonts w:cs="Arial"/>
          <w:b/>
          <w:bCs/>
          <w:color w:val="000000" w:themeColor="text1"/>
          <w:szCs w:val="15"/>
          <w:lang w:val="en-US"/>
        </w:rPr>
        <w:t>b</w:t>
      </w:r>
      <w:r w:rsidRPr="007C45C4">
        <w:rPr>
          <w:rFonts w:cs="Arial"/>
          <w:bCs/>
          <w:color w:val="000000" w:themeColor="text1"/>
          <w:szCs w:val="15"/>
          <w:lang w:val="en-US"/>
        </w:rPr>
        <w:t>, H</w:t>
      </w:r>
      <w:r w:rsidRPr="007C45C4">
        <w:rPr>
          <w:rFonts w:cs="Arial"/>
          <w:bCs/>
          <w:color w:val="000000" w:themeColor="text1"/>
          <w:szCs w:val="15"/>
          <w:vertAlign w:val="superscript"/>
          <w:lang w:val="en-US"/>
        </w:rPr>
        <w:t>5</w:t>
      </w:r>
      <w:r w:rsidRPr="007C45C4">
        <w:rPr>
          <w:rFonts w:cs="Arial"/>
          <w:bCs/>
          <w:color w:val="000000" w:themeColor="text1"/>
          <w:szCs w:val="15"/>
          <w:lang w:val="en-US"/>
        </w:rPr>
        <w:t xml:space="preserve">, </w:t>
      </w:r>
      <w:r w:rsidRPr="007C45C4">
        <w:rPr>
          <w:rFonts w:cs="Arial"/>
          <w:bCs/>
          <w:szCs w:val="15"/>
          <w:lang w:val="en-US"/>
        </w:rPr>
        <w:t>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6.94 </w:t>
      </w:r>
      <w:r w:rsidRPr="007C45C4">
        <w:rPr>
          <w:rFonts w:cs="Arial"/>
          <w:bCs/>
          <w:color w:val="000000" w:themeColor="text1"/>
          <w:szCs w:val="15"/>
          <w:lang w:val="en-US"/>
        </w:rPr>
        <w:t xml:space="preserve">(s, 1H of </w:t>
      </w:r>
      <w:r w:rsidRPr="007C45C4">
        <w:rPr>
          <w:rFonts w:cs="Arial"/>
          <w:b/>
          <w:bCs/>
          <w:color w:val="000000" w:themeColor="text1"/>
          <w:szCs w:val="15"/>
          <w:lang w:val="en-US"/>
        </w:rPr>
        <w:t>a</w:t>
      </w:r>
      <w:r w:rsidRPr="007C45C4">
        <w:rPr>
          <w:rFonts w:cs="Arial"/>
          <w:bCs/>
          <w:color w:val="000000" w:themeColor="text1"/>
          <w:szCs w:val="15"/>
          <w:lang w:val="en-US"/>
        </w:rPr>
        <w:t>/</w:t>
      </w:r>
      <w:r w:rsidRPr="007C45C4">
        <w:rPr>
          <w:rFonts w:cs="Arial"/>
          <w:b/>
          <w:bCs/>
          <w:color w:val="000000" w:themeColor="text1"/>
          <w:szCs w:val="15"/>
          <w:lang w:val="en-US"/>
        </w:rPr>
        <w:t>b</w:t>
      </w:r>
      <w:r w:rsidRPr="007C45C4">
        <w:rPr>
          <w:rFonts w:cs="Arial"/>
          <w:bCs/>
          <w:color w:val="000000" w:themeColor="text1"/>
          <w:szCs w:val="15"/>
          <w:lang w:val="en-US"/>
        </w:rPr>
        <w:t>, H</w:t>
      </w:r>
      <w:r w:rsidRPr="007C45C4">
        <w:rPr>
          <w:rFonts w:cs="Arial"/>
          <w:bCs/>
          <w:color w:val="000000" w:themeColor="text1"/>
          <w:szCs w:val="15"/>
          <w:vertAlign w:val="superscript"/>
          <w:lang w:val="en-US"/>
        </w:rPr>
        <w:t>5</w:t>
      </w:r>
      <w:r w:rsidRPr="007C45C4">
        <w:rPr>
          <w:rFonts w:cs="Arial"/>
          <w:bCs/>
          <w:color w:val="000000" w:themeColor="text1"/>
          <w:szCs w:val="15"/>
          <w:lang w:val="en-US"/>
        </w:rPr>
        <w:t xml:space="preserve">, </w:t>
      </w:r>
      <w:r w:rsidRPr="007C45C4">
        <w:rPr>
          <w:rFonts w:cs="Arial"/>
          <w:bCs/>
          <w:szCs w:val="15"/>
          <w:lang w:val="en-US"/>
        </w:rPr>
        <w:t>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6.97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5.0 Hz, 1H of </w:t>
      </w:r>
      <w:r w:rsidRPr="007C45C4">
        <w:rPr>
          <w:rFonts w:cs="Arial"/>
          <w:b/>
          <w:bCs/>
          <w:szCs w:val="15"/>
          <w:lang w:val="en-US"/>
        </w:rPr>
        <w:t>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2</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7.01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8.3 Hz, 1H of </w:t>
      </w:r>
      <w:r w:rsidRPr="007C45C4">
        <w:rPr>
          <w:rFonts w:cs="Arial"/>
          <w:b/>
          <w:bCs/>
          <w:szCs w:val="15"/>
          <w:lang w:val="en-US"/>
        </w:rPr>
        <w:t>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7</w:t>
      </w:r>
      <w:r w:rsidRPr="007C45C4">
        <w:rPr>
          <w:rFonts w:cs="Arial"/>
          <w:bCs/>
          <w:szCs w:val="15"/>
          <w:lang w:val="en-US"/>
        </w:rPr>
        <w:t>, C</w:t>
      </w:r>
      <w:r w:rsidRPr="007C45C4">
        <w:rPr>
          <w:rFonts w:cs="Arial"/>
          <w:bCs/>
          <w:szCs w:val="15"/>
          <w:vertAlign w:val="subscript"/>
          <w:lang w:val="en-US"/>
        </w:rPr>
        <w:t>9</w:t>
      </w:r>
      <w:r w:rsidRPr="007C45C4">
        <w:rPr>
          <w:rFonts w:cs="Arial"/>
          <w:bCs/>
          <w:i/>
          <w:szCs w:val="15"/>
          <w:lang w:val="en-US"/>
        </w:rPr>
        <w:t>H</w:t>
      </w:r>
      <w:r w:rsidRPr="007C45C4">
        <w:rPr>
          <w:rFonts w:cs="Arial"/>
          <w:bCs/>
          <w:szCs w:val="15"/>
          <w:vertAlign w:val="subscript"/>
          <w:lang w:val="en-US"/>
        </w:rPr>
        <w:t>6</w:t>
      </w:r>
      <w:r w:rsidRPr="007C45C4">
        <w:rPr>
          <w:rFonts w:cs="Arial"/>
          <w:bCs/>
          <w:szCs w:val="15"/>
          <w:lang w:val="en-US"/>
        </w:rPr>
        <w:t xml:space="preserve">), 7.19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00F633EC" w:rsidRPr="007C45C4">
        <w:rPr>
          <w:rFonts w:cs="Arial"/>
          <w:bCs/>
          <w:szCs w:val="15"/>
          <w:lang w:val="en-US"/>
        </w:rPr>
        <w:t>H) = 5.0 Hz, 1H of</w:t>
      </w:r>
      <w:r w:rsidRPr="007C45C4">
        <w:rPr>
          <w:rFonts w:cs="Arial"/>
          <w:b/>
          <w:bCs/>
          <w:szCs w:val="15"/>
          <w:lang w:val="en-US"/>
        </w:rPr>
        <w:t xml:space="preserve"> 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4</w:t>
      </w:r>
      <w:r w:rsidRPr="007C45C4">
        <w:rPr>
          <w:rFonts w:cs="Arial"/>
          <w:bCs/>
          <w:szCs w:val="15"/>
          <w:lang w:val="en-US"/>
        </w:rPr>
        <w:t>, C</w:t>
      </w:r>
      <w:r w:rsidRPr="007C45C4">
        <w:rPr>
          <w:rFonts w:cs="Arial"/>
          <w:bCs/>
          <w:szCs w:val="15"/>
          <w:vertAlign w:val="subscript"/>
          <w:lang w:val="en-US"/>
        </w:rPr>
        <w:t>4</w:t>
      </w:r>
      <w:r w:rsidRPr="007C45C4">
        <w:rPr>
          <w:rFonts w:cs="Arial"/>
          <w:bCs/>
          <w:i/>
          <w:szCs w:val="15"/>
          <w:lang w:val="en-US"/>
        </w:rPr>
        <w:t>H</w:t>
      </w:r>
      <w:r w:rsidRPr="007C45C4">
        <w:rPr>
          <w:rFonts w:cs="Arial"/>
          <w:bCs/>
          <w:szCs w:val="15"/>
          <w:vertAlign w:val="subscript"/>
          <w:lang w:val="en-US"/>
        </w:rPr>
        <w:t>3</w:t>
      </w:r>
      <w:r w:rsidRPr="007C45C4">
        <w:rPr>
          <w:rFonts w:cs="Arial"/>
          <w:bCs/>
          <w:szCs w:val="15"/>
          <w:lang w:val="en-US"/>
        </w:rPr>
        <w:t xml:space="preserve">S), 7.69 (m, 1H of </w:t>
      </w:r>
      <w:r w:rsidRPr="007C45C4">
        <w:rPr>
          <w:rFonts w:cs="Arial"/>
          <w:b/>
          <w:bCs/>
          <w:szCs w:val="15"/>
          <w:lang w:val="en-US"/>
        </w:rPr>
        <w:t>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3/8</w:t>
      </w:r>
      <w:r w:rsidRPr="007C45C4">
        <w:rPr>
          <w:rFonts w:cs="Arial"/>
          <w:bCs/>
          <w:szCs w:val="15"/>
          <w:lang w:val="en-US"/>
        </w:rPr>
        <w:t>,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7.91 (m, 1H of </w:t>
      </w:r>
      <w:r w:rsidRPr="007C45C4">
        <w:rPr>
          <w:rFonts w:cs="Arial"/>
          <w:b/>
          <w:bCs/>
          <w:szCs w:val="15"/>
          <w:lang w:val="en-US"/>
        </w:rPr>
        <w:t>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3/8</w:t>
      </w:r>
      <w:r w:rsidRPr="007C45C4">
        <w:rPr>
          <w:rFonts w:cs="Arial"/>
          <w:bCs/>
          <w:szCs w:val="15"/>
          <w:lang w:val="en-US"/>
        </w:rPr>
        <w:t>,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8.21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8.0 Hz, 1H of </w:t>
      </w:r>
      <w:r w:rsidRPr="007C45C4">
        <w:rPr>
          <w:rFonts w:cs="Arial"/>
          <w:b/>
          <w:bCs/>
          <w:szCs w:val="15"/>
          <w:lang w:val="en-US"/>
        </w:rPr>
        <w:t>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2/9</w:t>
      </w:r>
      <w:r w:rsidRPr="007C45C4">
        <w:rPr>
          <w:rFonts w:cs="Arial"/>
          <w:bCs/>
          <w:szCs w:val="15"/>
          <w:lang w:val="en-US"/>
        </w:rPr>
        <w:t>,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8.64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8.4 Hz, 1H of </w:t>
      </w:r>
      <w:r w:rsidRPr="007C45C4">
        <w:rPr>
          <w:rFonts w:cs="Arial"/>
          <w:b/>
          <w:bCs/>
          <w:szCs w:val="15"/>
          <w:lang w:val="en-US"/>
        </w:rPr>
        <w:t>a</w:t>
      </w:r>
      <w:r w:rsidRPr="007C45C4">
        <w:rPr>
          <w:rFonts w:cs="Arial"/>
          <w:bCs/>
          <w:szCs w:val="15"/>
          <w:lang w:val="en-US"/>
        </w:rPr>
        <w:t xml:space="preserve">, 1H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2/9</w:t>
      </w:r>
      <w:r w:rsidRPr="007C45C4">
        <w:rPr>
          <w:rFonts w:cs="Arial"/>
          <w:bCs/>
          <w:szCs w:val="15"/>
          <w:lang w:val="en-US"/>
        </w:rPr>
        <w:t>,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9.18, 9.29, 9.54, 9.64 (d, </w:t>
      </w:r>
      <w:r w:rsidRPr="007C45C4">
        <w:rPr>
          <w:rFonts w:cs="Arial"/>
          <w:bCs/>
          <w:szCs w:val="15"/>
          <w:vertAlign w:val="superscript"/>
          <w:lang w:val="en-US"/>
        </w:rPr>
        <w:t>3</w:t>
      </w:r>
      <w:r w:rsidRPr="007C45C4">
        <w:rPr>
          <w:rFonts w:cs="Arial"/>
          <w:bCs/>
          <w:i/>
          <w:szCs w:val="15"/>
          <w:lang w:val="en-US"/>
        </w:rPr>
        <w:t>J</w:t>
      </w:r>
      <w:r w:rsidRPr="007C45C4">
        <w:rPr>
          <w:rFonts w:cs="Arial"/>
          <w:bCs/>
          <w:szCs w:val="15"/>
          <w:lang w:val="en-US"/>
        </w:rPr>
        <w:t>(</w:t>
      </w:r>
      <w:r w:rsidRPr="007C45C4">
        <w:rPr>
          <w:rFonts w:cs="Arial"/>
          <w:bCs/>
          <w:szCs w:val="15"/>
          <w:vertAlign w:val="superscript"/>
          <w:lang w:val="en-US"/>
        </w:rPr>
        <w:t>1</w:t>
      </w:r>
      <w:r w:rsidRPr="007C45C4">
        <w:rPr>
          <w:rFonts w:cs="Arial"/>
          <w:bCs/>
          <w:szCs w:val="15"/>
          <w:lang w:val="en-US"/>
        </w:rPr>
        <w:t>H,</w:t>
      </w:r>
      <w:r w:rsidRPr="007C45C4">
        <w:rPr>
          <w:rFonts w:cs="Arial"/>
          <w:bCs/>
          <w:szCs w:val="15"/>
          <w:vertAlign w:val="superscript"/>
          <w:lang w:val="en-US"/>
        </w:rPr>
        <w:t>1</w:t>
      </w:r>
      <w:r w:rsidRPr="007C45C4">
        <w:rPr>
          <w:rFonts w:cs="Arial"/>
          <w:bCs/>
          <w:szCs w:val="15"/>
          <w:lang w:val="en-US"/>
        </w:rPr>
        <w:t xml:space="preserve">H) = 5.3 Hz, 2H of </w:t>
      </w:r>
      <w:r w:rsidRPr="007C45C4">
        <w:rPr>
          <w:rFonts w:cs="Arial"/>
          <w:b/>
          <w:bCs/>
          <w:szCs w:val="15"/>
          <w:lang w:val="en-US"/>
        </w:rPr>
        <w:t>a</w:t>
      </w:r>
      <w:r w:rsidRPr="007C45C4">
        <w:rPr>
          <w:rFonts w:cs="Arial"/>
          <w:bCs/>
          <w:szCs w:val="15"/>
          <w:lang w:val="en-US"/>
        </w:rPr>
        <w:t xml:space="preserve">, 2H of </w:t>
      </w:r>
      <w:r w:rsidRPr="007C45C4">
        <w:rPr>
          <w:rFonts w:cs="Arial"/>
          <w:b/>
          <w:bCs/>
          <w:szCs w:val="15"/>
          <w:lang w:val="en-US"/>
        </w:rPr>
        <w:t>b</w:t>
      </w:r>
      <w:r w:rsidRPr="007C45C4">
        <w:rPr>
          <w:rFonts w:cs="Arial"/>
          <w:bCs/>
          <w:szCs w:val="15"/>
          <w:lang w:val="en-US"/>
        </w:rPr>
        <w:t>, H</w:t>
      </w:r>
      <w:r w:rsidRPr="007C45C4">
        <w:rPr>
          <w:rFonts w:cs="Arial"/>
          <w:bCs/>
          <w:szCs w:val="15"/>
          <w:vertAlign w:val="superscript"/>
          <w:lang w:val="en-US"/>
        </w:rPr>
        <w:t>4,7</w:t>
      </w:r>
      <w:r w:rsidRPr="007C45C4">
        <w:rPr>
          <w:rFonts w:cs="Arial"/>
          <w:bCs/>
          <w:szCs w:val="15"/>
          <w:lang w:val="en-US"/>
        </w:rPr>
        <w:t>, C</w:t>
      </w:r>
      <w:r w:rsidRPr="007C45C4">
        <w:rPr>
          <w:rFonts w:cs="Arial"/>
          <w:bCs/>
          <w:szCs w:val="15"/>
          <w:vertAlign w:val="subscript"/>
          <w:lang w:val="en-US"/>
        </w:rPr>
        <w:t>12</w:t>
      </w:r>
      <w:r w:rsidRPr="007C45C4">
        <w:rPr>
          <w:rFonts w:cs="Arial"/>
          <w:bCs/>
          <w:i/>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w:t>
      </w:r>
      <w:r w:rsidRPr="007C45C4">
        <w:rPr>
          <w:rFonts w:cs="Arial"/>
          <w:bCs/>
          <w:szCs w:val="15"/>
          <w:vertAlign w:val="superscript"/>
          <w:lang w:val="en-US"/>
        </w:rPr>
        <w:t>13</w:t>
      </w:r>
      <w:r w:rsidRPr="007C45C4">
        <w:rPr>
          <w:rFonts w:cs="Arial"/>
          <w:bCs/>
          <w:szCs w:val="15"/>
          <w:lang w:val="en-US"/>
        </w:rPr>
        <w:t>C {</w:t>
      </w:r>
      <w:r w:rsidRPr="007C45C4">
        <w:rPr>
          <w:rFonts w:cs="Arial"/>
          <w:bCs/>
          <w:szCs w:val="15"/>
          <w:vertAlign w:val="superscript"/>
          <w:lang w:val="en-US"/>
        </w:rPr>
        <w:t>1</w:t>
      </w:r>
      <w:r w:rsidRPr="007C45C4">
        <w:rPr>
          <w:rFonts w:cs="Arial"/>
          <w:bCs/>
          <w:szCs w:val="15"/>
          <w:lang w:val="en-US"/>
        </w:rPr>
        <w:t>H} NMR (CD</w:t>
      </w:r>
      <w:r w:rsidRPr="007C45C4">
        <w:rPr>
          <w:rFonts w:cs="Arial"/>
          <w:bCs/>
          <w:szCs w:val="15"/>
          <w:vertAlign w:val="subscript"/>
          <w:lang w:val="en-US"/>
        </w:rPr>
        <w:t>3</w:t>
      </w:r>
      <w:r w:rsidRPr="007C45C4">
        <w:rPr>
          <w:rFonts w:cs="Arial"/>
          <w:bCs/>
          <w:szCs w:val="15"/>
          <w:lang w:val="en-US"/>
        </w:rPr>
        <w:t xml:space="preserve">CN; 125.77 MHz; δ ppm): 26.9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xml:space="preserve">, </w:t>
      </w:r>
      <w:r w:rsidRPr="007C45C4">
        <w:rPr>
          <w:rFonts w:cs="Arial"/>
          <w:bCs/>
          <w:i/>
          <w:szCs w:val="15"/>
          <w:lang w:val="en-US"/>
        </w:rPr>
        <w:t>C</w:t>
      </w:r>
      <w:r w:rsidRPr="007C45C4">
        <w:rPr>
          <w:rFonts w:cs="Arial"/>
          <w:bCs/>
          <w:szCs w:val="15"/>
          <w:lang w:val="en-US"/>
        </w:rPr>
        <w:t>H</w:t>
      </w:r>
      <w:r w:rsidRPr="007C45C4">
        <w:rPr>
          <w:rFonts w:cs="Arial"/>
          <w:bCs/>
          <w:szCs w:val="15"/>
          <w:vertAlign w:val="subscript"/>
          <w:lang w:val="en-US"/>
        </w:rPr>
        <w:t>2</w:t>
      </w:r>
      <w:r w:rsidRPr="007C45C4">
        <w:rPr>
          <w:rFonts w:cs="Arial"/>
          <w:bCs/>
          <w:szCs w:val="15"/>
          <w:lang w:val="en-US"/>
        </w:rPr>
        <w:t xml:space="preserve">), 78.1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91.8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98.7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1</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w:t>
      </w:r>
      <w:r w:rsidRPr="007C45C4">
        <w:rPr>
          <w:rFonts w:cs="Arial"/>
          <w:bCs/>
          <w:color w:val="000000" w:themeColor="text1"/>
          <w:szCs w:val="15"/>
          <w:lang w:val="en-US"/>
        </w:rPr>
        <w:t xml:space="preserve">102.4 (1C of </w:t>
      </w:r>
      <w:r w:rsidRPr="007C45C4">
        <w:rPr>
          <w:rFonts w:cs="Arial"/>
          <w:b/>
          <w:bCs/>
          <w:color w:val="000000" w:themeColor="text1"/>
          <w:szCs w:val="15"/>
          <w:lang w:val="en-US"/>
        </w:rPr>
        <w:t>a</w:t>
      </w:r>
      <w:r w:rsidRPr="007C45C4">
        <w:rPr>
          <w:rFonts w:cs="Arial"/>
          <w:bCs/>
          <w:color w:val="000000" w:themeColor="text1"/>
          <w:szCs w:val="15"/>
          <w:lang w:val="en-US"/>
        </w:rPr>
        <w:t>/</w:t>
      </w:r>
      <w:r w:rsidRPr="007C45C4">
        <w:rPr>
          <w:rFonts w:cs="Arial"/>
          <w:b/>
          <w:bCs/>
          <w:color w:val="000000" w:themeColor="text1"/>
          <w:szCs w:val="15"/>
          <w:lang w:val="en-US"/>
        </w:rPr>
        <w:t>b</w:t>
      </w:r>
      <w:r w:rsidRPr="007C45C4">
        <w:rPr>
          <w:rFonts w:cs="Arial"/>
          <w:bCs/>
          <w:color w:val="000000" w:themeColor="text1"/>
          <w:szCs w:val="15"/>
          <w:lang w:val="en-US"/>
        </w:rPr>
        <w:t>, C</w:t>
      </w:r>
      <w:r w:rsidRPr="007C45C4">
        <w:rPr>
          <w:rFonts w:cs="Arial"/>
          <w:bCs/>
          <w:color w:val="000000" w:themeColor="text1"/>
          <w:szCs w:val="15"/>
          <w:vertAlign w:val="superscript"/>
          <w:lang w:val="en-US"/>
        </w:rPr>
        <w:t>6</w:t>
      </w:r>
      <w:r w:rsidRPr="007C45C4">
        <w:rPr>
          <w:rFonts w:cs="Arial"/>
          <w:bCs/>
          <w:color w:val="000000" w:themeColor="text1"/>
          <w:szCs w:val="15"/>
          <w:lang w:val="en-US"/>
        </w:rPr>
        <w:t xml:space="preserve">, </w:t>
      </w:r>
      <w:r w:rsidRPr="007C45C4">
        <w:rPr>
          <w:rFonts w:cs="Arial"/>
          <w:bCs/>
          <w:i/>
          <w:color w:val="000000" w:themeColor="text1"/>
          <w:szCs w:val="15"/>
          <w:lang w:val="en-US"/>
        </w:rPr>
        <w:t>C</w:t>
      </w:r>
      <w:r w:rsidRPr="007C45C4">
        <w:rPr>
          <w:rFonts w:cs="Arial"/>
          <w:bCs/>
          <w:color w:val="000000" w:themeColor="text1"/>
          <w:szCs w:val="15"/>
          <w:vertAlign w:val="subscript"/>
          <w:lang w:val="en-US"/>
        </w:rPr>
        <w:t>12</w:t>
      </w:r>
      <w:r w:rsidRPr="007C45C4">
        <w:rPr>
          <w:rFonts w:cs="Arial"/>
          <w:bCs/>
          <w:color w:val="000000" w:themeColor="text1"/>
          <w:szCs w:val="15"/>
          <w:lang w:val="en-US"/>
        </w:rPr>
        <w:t>H</w:t>
      </w:r>
      <w:r w:rsidRPr="007C45C4">
        <w:rPr>
          <w:rFonts w:cs="Arial"/>
          <w:bCs/>
          <w:color w:val="000000" w:themeColor="text1"/>
          <w:szCs w:val="15"/>
          <w:vertAlign w:val="subscript"/>
          <w:lang w:val="en-US"/>
        </w:rPr>
        <w:t>9</w:t>
      </w:r>
      <w:r w:rsidRPr="007C45C4">
        <w:rPr>
          <w:rFonts w:cs="Arial"/>
          <w:bCs/>
          <w:color w:val="000000" w:themeColor="text1"/>
          <w:szCs w:val="15"/>
          <w:lang w:val="en-US"/>
        </w:rPr>
        <w:t>N</w:t>
      </w:r>
      <w:r w:rsidRPr="007C45C4">
        <w:rPr>
          <w:rFonts w:cs="Arial"/>
          <w:bCs/>
          <w:color w:val="000000" w:themeColor="text1"/>
          <w:szCs w:val="15"/>
          <w:vertAlign w:val="subscript"/>
          <w:lang w:val="en-US"/>
        </w:rPr>
        <w:t>3</w:t>
      </w:r>
      <w:r w:rsidRPr="007C45C4">
        <w:rPr>
          <w:rFonts w:cs="Arial"/>
          <w:bCs/>
          <w:color w:val="000000" w:themeColor="text1"/>
          <w:szCs w:val="15"/>
          <w:lang w:val="en-US"/>
        </w:rPr>
        <w:t xml:space="preserve">), 102.5 (1C of </w:t>
      </w:r>
      <w:r w:rsidRPr="007C45C4">
        <w:rPr>
          <w:rFonts w:cs="Arial"/>
          <w:b/>
          <w:bCs/>
          <w:color w:val="000000" w:themeColor="text1"/>
          <w:szCs w:val="15"/>
          <w:lang w:val="en-US"/>
        </w:rPr>
        <w:t>a</w:t>
      </w:r>
      <w:r w:rsidRPr="007C45C4">
        <w:rPr>
          <w:rFonts w:cs="Arial"/>
          <w:bCs/>
          <w:color w:val="000000" w:themeColor="text1"/>
          <w:szCs w:val="15"/>
          <w:lang w:val="en-US"/>
        </w:rPr>
        <w:t>/</w:t>
      </w:r>
      <w:r w:rsidRPr="007C45C4">
        <w:rPr>
          <w:rFonts w:cs="Arial"/>
          <w:b/>
          <w:bCs/>
          <w:color w:val="000000" w:themeColor="text1"/>
          <w:szCs w:val="15"/>
          <w:lang w:val="en-US"/>
        </w:rPr>
        <w:t>b</w:t>
      </w:r>
      <w:r w:rsidRPr="007C45C4">
        <w:rPr>
          <w:rFonts w:cs="Arial"/>
          <w:bCs/>
          <w:color w:val="000000" w:themeColor="text1"/>
          <w:szCs w:val="15"/>
          <w:lang w:val="en-US"/>
        </w:rPr>
        <w:t>, C</w:t>
      </w:r>
      <w:r w:rsidRPr="007C45C4">
        <w:rPr>
          <w:rFonts w:cs="Arial"/>
          <w:bCs/>
          <w:color w:val="000000" w:themeColor="text1"/>
          <w:szCs w:val="15"/>
          <w:vertAlign w:val="superscript"/>
          <w:lang w:val="en-US"/>
        </w:rPr>
        <w:t>6</w:t>
      </w:r>
      <w:r w:rsidRPr="007C45C4">
        <w:rPr>
          <w:rFonts w:cs="Arial"/>
          <w:bCs/>
          <w:color w:val="000000" w:themeColor="text1"/>
          <w:szCs w:val="15"/>
          <w:lang w:val="en-US"/>
        </w:rPr>
        <w:t xml:space="preserve">, </w:t>
      </w:r>
      <w:r w:rsidRPr="007C45C4">
        <w:rPr>
          <w:rFonts w:cs="Arial"/>
          <w:bCs/>
          <w:i/>
          <w:color w:val="000000" w:themeColor="text1"/>
          <w:szCs w:val="15"/>
          <w:lang w:val="en-US"/>
        </w:rPr>
        <w:t>C</w:t>
      </w:r>
      <w:r w:rsidRPr="007C45C4">
        <w:rPr>
          <w:rFonts w:cs="Arial"/>
          <w:bCs/>
          <w:color w:val="000000" w:themeColor="text1"/>
          <w:szCs w:val="15"/>
          <w:vertAlign w:val="subscript"/>
          <w:lang w:val="en-US"/>
        </w:rPr>
        <w:t>12</w:t>
      </w:r>
      <w:r w:rsidRPr="007C45C4">
        <w:rPr>
          <w:rFonts w:cs="Arial"/>
          <w:bCs/>
          <w:color w:val="000000" w:themeColor="text1"/>
          <w:szCs w:val="15"/>
          <w:lang w:val="en-US"/>
        </w:rPr>
        <w:t>H</w:t>
      </w:r>
      <w:r w:rsidRPr="007C45C4">
        <w:rPr>
          <w:rFonts w:cs="Arial"/>
          <w:bCs/>
          <w:color w:val="000000" w:themeColor="text1"/>
          <w:szCs w:val="15"/>
          <w:vertAlign w:val="subscript"/>
          <w:lang w:val="en-US"/>
        </w:rPr>
        <w:t>9</w:t>
      </w:r>
      <w:r w:rsidRPr="007C45C4">
        <w:rPr>
          <w:rFonts w:cs="Arial"/>
          <w:bCs/>
          <w:color w:val="000000" w:themeColor="text1"/>
          <w:szCs w:val="15"/>
          <w:lang w:val="en-US"/>
        </w:rPr>
        <w:t>N</w:t>
      </w:r>
      <w:r w:rsidRPr="007C45C4">
        <w:rPr>
          <w:rFonts w:cs="Arial"/>
          <w:bCs/>
          <w:color w:val="000000" w:themeColor="text1"/>
          <w:szCs w:val="15"/>
          <w:vertAlign w:val="subscript"/>
          <w:lang w:val="en-US"/>
        </w:rPr>
        <w:t>3</w:t>
      </w:r>
      <w:r w:rsidRPr="007C45C4">
        <w:rPr>
          <w:rFonts w:cs="Arial"/>
          <w:bCs/>
          <w:color w:val="000000" w:themeColor="text1"/>
          <w:szCs w:val="15"/>
          <w:lang w:val="en-US"/>
        </w:rPr>
        <w:t xml:space="preserve">), </w:t>
      </w:r>
      <w:r w:rsidRPr="007C45C4">
        <w:rPr>
          <w:rFonts w:cs="Arial"/>
          <w:bCs/>
          <w:szCs w:val="15"/>
          <w:lang w:val="en-US"/>
        </w:rPr>
        <w:t xml:space="preserve">117.9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118.1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3a/7a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123.4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3/8</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123.5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123.6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5</w:t>
      </w:r>
      <w:r w:rsidRPr="007C45C4">
        <w:rPr>
          <w:rFonts w:cs="Arial"/>
          <w:bCs/>
          <w:szCs w:val="15"/>
          <w:lang w:val="en-US"/>
        </w:rPr>
        <w:t xml:space="preserve">, </w:t>
      </w:r>
      <w:r w:rsidRPr="007C45C4">
        <w:rPr>
          <w:rFonts w:cs="Arial"/>
          <w:bCs/>
          <w:i/>
          <w:color w:val="000000" w:themeColor="text1"/>
          <w:szCs w:val="15"/>
          <w:lang w:val="en-US"/>
        </w:rPr>
        <w:t>C</w:t>
      </w:r>
      <w:r w:rsidRPr="007C45C4">
        <w:rPr>
          <w:rFonts w:cs="Arial"/>
          <w:bCs/>
          <w:color w:val="000000" w:themeColor="text1"/>
          <w:szCs w:val="15"/>
          <w:vertAlign w:val="subscript"/>
          <w:lang w:val="en-US"/>
        </w:rPr>
        <w:t>9</w:t>
      </w:r>
      <w:r w:rsidRPr="007C45C4">
        <w:rPr>
          <w:rFonts w:cs="Arial"/>
          <w:bCs/>
          <w:color w:val="000000" w:themeColor="text1"/>
          <w:szCs w:val="15"/>
          <w:lang w:val="en-US"/>
        </w:rPr>
        <w:t>H</w:t>
      </w:r>
      <w:r w:rsidRPr="007C45C4">
        <w:rPr>
          <w:rFonts w:cs="Arial"/>
          <w:bCs/>
          <w:color w:val="000000" w:themeColor="text1"/>
          <w:szCs w:val="15"/>
          <w:vertAlign w:val="subscript"/>
          <w:lang w:val="en-US"/>
        </w:rPr>
        <w:t>6</w:t>
      </w:r>
      <w:r w:rsidRPr="007C45C4">
        <w:rPr>
          <w:rFonts w:cs="Arial"/>
          <w:bCs/>
          <w:szCs w:val="15"/>
          <w:lang w:val="en-US"/>
        </w:rPr>
        <w:t xml:space="preserve">), 123.7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5</w:t>
      </w:r>
      <w:r w:rsidRPr="007C45C4">
        <w:rPr>
          <w:rFonts w:cs="Arial"/>
          <w:bCs/>
          <w:szCs w:val="15"/>
          <w:lang w:val="en-US"/>
        </w:rPr>
        <w:t xml:space="preserve">, </w:t>
      </w:r>
      <w:r w:rsidRPr="007C45C4">
        <w:rPr>
          <w:rFonts w:cs="Arial"/>
          <w:bCs/>
          <w:i/>
          <w:color w:val="000000" w:themeColor="text1"/>
          <w:szCs w:val="15"/>
          <w:lang w:val="en-US"/>
        </w:rPr>
        <w:t>C</w:t>
      </w:r>
      <w:r w:rsidRPr="007C45C4">
        <w:rPr>
          <w:rFonts w:cs="Arial"/>
          <w:bCs/>
          <w:color w:val="000000" w:themeColor="text1"/>
          <w:szCs w:val="15"/>
          <w:vertAlign w:val="subscript"/>
          <w:lang w:val="en-US"/>
        </w:rPr>
        <w:t>9</w:t>
      </w:r>
      <w:r w:rsidRPr="007C45C4">
        <w:rPr>
          <w:rFonts w:cs="Arial"/>
          <w:bCs/>
          <w:color w:val="000000" w:themeColor="text1"/>
          <w:szCs w:val="15"/>
          <w:lang w:val="en-US"/>
        </w:rPr>
        <w:t>H</w:t>
      </w:r>
      <w:r w:rsidRPr="007C45C4">
        <w:rPr>
          <w:rFonts w:cs="Arial"/>
          <w:bCs/>
          <w:color w:val="000000" w:themeColor="text1"/>
          <w:szCs w:val="15"/>
          <w:vertAlign w:val="subscript"/>
          <w:lang w:val="en-US"/>
        </w:rPr>
        <w:t>6</w:t>
      </w:r>
      <w:r w:rsidRPr="007C45C4">
        <w:rPr>
          <w:rFonts w:cs="Arial"/>
          <w:bCs/>
          <w:szCs w:val="15"/>
          <w:lang w:val="en-US"/>
        </w:rPr>
        <w:t xml:space="preserve">), 124.6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3/8</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w:t>
      </w:r>
      <w:r w:rsidRPr="007C45C4">
        <w:rPr>
          <w:rFonts w:cs="Arial"/>
          <w:bCs/>
          <w:color w:val="000000" w:themeColor="text1"/>
          <w:szCs w:val="15"/>
          <w:lang w:val="en-US"/>
        </w:rPr>
        <w:t xml:space="preserve">124.8 </w:t>
      </w:r>
      <w:r w:rsidRPr="007C45C4">
        <w:rPr>
          <w:rFonts w:cs="Arial"/>
          <w:bCs/>
          <w:szCs w:val="15"/>
          <w:lang w:val="en-US"/>
        </w:rPr>
        <w:t xml:space="preserve">(1C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4</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 xml:space="preserve">S), 125.5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2</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 xml:space="preserve">S), 125.8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4</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125.9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4</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127.0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3</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 xml:space="preserve">S), 128.8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5/6</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129.0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5/6</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9</w:t>
      </w:r>
      <w:r w:rsidRPr="007C45C4">
        <w:rPr>
          <w:rFonts w:cs="Arial"/>
          <w:bCs/>
          <w:szCs w:val="15"/>
          <w:lang w:val="en-US"/>
        </w:rPr>
        <w:t>H</w:t>
      </w:r>
      <w:r w:rsidRPr="007C45C4">
        <w:rPr>
          <w:rFonts w:cs="Arial"/>
          <w:bCs/>
          <w:szCs w:val="15"/>
          <w:vertAlign w:val="subscript"/>
          <w:lang w:val="en-US"/>
        </w:rPr>
        <w:t>6</w:t>
      </w:r>
      <w:r w:rsidRPr="007C45C4">
        <w:rPr>
          <w:rFonts w:cs="Arial"/>
          <w:bCs/>
          <w:szCs w:val="15"/>
          <w:lang w:val="en-US"/>
        </w:rPr>
        <w:t xml:space="preserve">), 133.7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2/9</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),135.2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2/9</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138.3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5</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138.6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5</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143.3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1</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4</w:t>
      </w:r>
      <w:r w:rsidRPr="007C45C4">
        <w:rPr>
          <w:rFonts w:cs="Arial"/>
          <w:bCs/>
          <w:szCs w:val="15"/>
          <w:lang w:val="en-US"/>
        </w:rPr>
        <w:t>H</w:t>
      </w:r>
      <w:r w:rsidRPr="007C45C4">
        <w:rPr>
          <w:rFonts w:cs="Arial"/>
          <w:bCs/>
          <w:szCs w:val="15"/>
          <w:vertAlign w:val="subscript"/>
          <w:lang w:val="en-US"/>
        </w:rPr>
        <w:t>3</w:t>
      </w:r>
      <w:r w:rsidRPr="007C45C4">
        <w:rPr>
          <w:rFonts w:cs="Arial"/>
          <w:bCs/>
          <w:szCs w:val="15"/>
          <w:lang w:val="en-US"/>
        </w:rPr>
        <w:t xml:space="preserve">S), 143.4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4a/6a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143.5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4a/6a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144.3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10a/11a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144.6 (1C of </w:t>
      </w:r>
      <w:r w:rsidRPr="007C45C4">
        <w:rPr>
          <w:rFonts w:cs="Arial"/>
          <w:b/>
          <w:bCs/>
          <w:szCs w:val="15"/>
          <w:lang w:val="en-US"/>
        </w:rPr>
        <w:t>a</w:t>
      </w:r>
      <w:r w:rsidRPr="007C45C4">
        <w:rPr>
          <w:rFonts w:cs="Arial"/>
          <w:bCs/>
          <w:szCs w:val="15"/>
          <w:lang w:val="en-US"/>
        </w:rPr>
        <w:t xml:space="preserve">, 1C of </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10a/11a</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151.2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4/7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152.1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4/7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155.6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4/7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156.5 (1C of </w:t>
      </w:r>
      <w:r w:rsidRPr="007C45C4">
        <w:rPr>
          <w:rFonts w:cs="Arial"/>
          <w:b/>
          <w:bCs/>
          <w:szCs w:val="15"/>
          <w:lang w:val="en-US"/>
        </w:rPr>
        <w:t>a</w:t>
      </w:r>
      <w:r w:rsidRPr="007C45C4">
        <w:rPr>
          <w:rFonts w:cs="Arial"/>
          <w:bCs/>
          <w:szCs w:val="15"/>
          <w:lang w:val="en-US"/>
        </w:rPr>
        <w:t>/</w:t>
      </w:r>
      <w:r w:rsidRPr="007C45C4">
        <w:rPr>
          <w:rFonts w:cs="Arial"/>
          <w:b/>
          <w:bCs/>
          <w:szCs w:val="15"/>
          <w:lang w:val="en-US"/>
        </w:rPr>
        <w:t>b</w:t>
      </w:r>
      <w:r w:rsidRPr="007C45C4">
        <w:rPr>
          <w:rFonts w:cs="Arial"/>
          <w:bCs/>
          <w:szCs w:val="15"/>
          <w:lang w:val="en-US"/>
        </w:rPr>
        <w:t>, C</w:t>
      </w:r>
      <w:r w:rsidRPr="007C45C4">
        <w:rPr>
          <w:rFonts w:cs="Arial"/>
          <w:bCs/>
          <w:szCs w:val="15"/>
          <w:vertAlign w:val="superscript"/>
          <w:lang w:val="en-US"/>
        </w:rPr>
        <w:t>4/7</w:t>
      </w:r>
      <w:r w:rsidRPr="007C45C4">
        <w:rPr>
          <w:rFonts w:cs="Arial"/>
          <w:bCs/>
          <w:szCs w:val="15"/>
          <w:lang w:val="en-US"/>
        </w:rPr>
        <w:t xml:space="preserve">, </w:t>
      </w:r>
      <w:r w:rsidRPr="007C45C4">
        <w:rPr>
          <w:rFonts w:cs="Arial"/>
          <w:bCs/>
          <w:i/>
          <w:szCs w:val="15"/>
          <w:lang w:val="en-US"/>
        </w:rPr>
        <w:t>C</w:t>
      </w:r>
      <w:r w:rsidRPr="007C45C4">
        <w:rPr>
          <w:rFonts w:cs="Arial"/>
          <w:bCs/>
          <w:szCs w:val="15"/>
          <w:vertAlign w:val="subscript"/>
          <w:lang w:val="en-US"/>
        </w:rPr>
        <w:t>12</w:t>
      </w:r>
      <w:r w:rsidRPr="007C45C4">
        <w:rPr>
          <w:rFonts w:cs="Arial"/>
          <w:bCs/>
          <w:szCs w:val="15"/>
          <w:lang w:val="en-US"/>
        </w:rPr>
        <w:t>H</w:t>
      </w:r>
      <w:r w:rsidRPr="007C45C4">
        <w:rPr>
          <w:rFonts w:cs="Arial"/>
          <w:bCs/>
          <w:szCs w:val="15"/>
          <w:vertAlign w:val="subscript"/>
          <w:lang w:val="en-US"/>
        </w:rPr>
        <w:t>9</w:t>
      </w:r>
      <w:r w:rsidRPr="007C45C4">
        <w:rPr>
          <w:rFonts w:cs="Arial"/>
          <w:bCs/>
          <w:szCs w:val="15"/>
          <w:lang w:val="en-US"/>
        </w:rPr>
        <w:t>N</w:t>
      </w:r>
      <w:r w:rsidRPr="007C45C4">
        <w:rPr>
          <w:rFonts w:cs="Arial"/>
          <w:bCs/>
          <w:szCs w:val="15"/>
          <w:vertAlign w:val="subscript"/>
          <w:lang w:val="en-US"/>
        </w:rPr>
        <w:t>3</w:t>
      </w:r>
      <w:r w:rsidRPr="007C45C4">
        <w:rPr>
          <w:rFonts w:cs="Arial"/>
          <w:bCs/>
          <w:szCs w:val="15"/>
          <w:lang w:val="en-US"/>
        </w:rPr>
        <w:t xml:space="preserve">), 250.3, 250.5, 252.8, 253.0 (2C of </w:t>
      </w:r>
      <w:r w:rsidRPr="007C45C4">
        <w:rPr>
          <w:rFonts w:cs="Arial"/>
          <w:b/>
          <w:bCs/>
          <w:szCs w:val="15"/>
          <w:lang w:val="en-US"/>
        </w:rPr>
        <w:t>a</w:t>
      </w:r>
      <w:r w:rsidRPr="007C45C4">
        <w:rPr>
          <w:rFonts w:cs="Arial"/>
          <w:bCs/>
          <w:szCs w:val="15"/>
          <w:lang w:val="en-US"/>
        </w:rPr>
        <w:t xml:space="preserve">, 2C of </w:t>
      </w:r>
      <w:r w:rsidRPr="007C45C4">
        <w:rPr>
          <w:rFonts w:cs="Arial"/>
          <w:b/>
          <w:bCs/>
          <w:szCs w:val="15"/>
          <w:lang w:val="en-US"/>
        </w:rPr>
        <w:t>b</w:t>
      </w:r>
      <w:r w:rsidRPr="007C45C4">
        <w:rPr>
          <w:rFonts w:cs="Arial"/>
          <w:bCs/>
          <w:szCs w:val="15"/>
          <w:lang w:val="en-US"/>
        </w:rPr>
        <w:t xml:space="preserve">, </w:t>
      </w:r>
      <w:r w:rsidRPr="007C45C4">
        <w:rPr>
          <w:rFonts w:cs="Arial"/>
          <w:bCs/>
          <w:i/>
          <w:szCs w:val="15"/>
          <w:lang w:val="en-US"/>
        </w:rPr>
        <w:t>C</w:t>
      </w:r>
      <w:r w:rsidRPr="007C45C4">
        <w:rPr>
          <w:rFonts w:cs="Arial"/>
          <w:bCs/>
          <w:szCs w:val="15"/>
          <w:lang w:val="en-US"/>
        </w:rPr>
        <w:t>O).</w:t>
      </w:r>
      <w:proofErr w:type="gramEnd"/>
      <w:r w:rsidRPr="007C45C4">
        <w:rPr>
          <w:rFonts w:cs="Arial"/>
          <w:bCs/>
          <w:szCs w:val="15"/>
          <w:lang w:val="en-US"/>
        </w:rPr>
        <w:t xml:space="preserve"> </w:t>
      </w:r>
      <w:proofErr w:type="gramStart"/>
      <w:r w:rsidRPr="007C45C4">
        <w:rPr>
          <w:rFonts w:cs="Arial"/>
          <w:szCs w:val="15"/>
          <w:lang w:val="en-US"/>
        </w:rPr>
        <w:t>IR(</w:t>
      </w:r>
      <w:proofErr w:type="gramEnd"/>
      <w:r w:rsidRPr="007C45C4">
        <w:rPr>
          <w:rFonts w:cs="Arial"/>
          <w:szCs w:val="15"/>
          <w:lang w:val="en-US"/>
        </w:rPr>
        <w:t>ATR; cm</w:t>
      </w:r>
      <w:r w:rsidRPr="007C45C4">
        <w:rPr>
          <w:rFonts w:cs="Arial"/>
          <w:szCs w:val="15"/>
          <w:vertAlign w:val="superscript"/>
          <w:lang w:val="en-US"/>
        </w:rPr>
        <w:t>–1</w:t>
      </w:r>
      <w:r w:rsidRPr="007C45C4">
        <w:rPr>
          <w:rFonts w:cs="Arial"/>
          <w:szCs w:val="15"/>
          <w:lang w:val="en-US"/>
        </w:rPr>
        <w:t>):</w:t>
      </w:r>
      <w:r w:rsidRPr="007C45C4">
        <w:rPr>
          <w:rFonts w:cs="Arial"/>
          <w:bCs/>
          <w:szCs w:val="15"/>
          <w:lang w:val="en-US"/>
        </w:rPr>
        <w:t xml:space="preserve"> 1966 vs [</w:t>
      </w:r>
      <w:proofErr w:type="spellStart"/>
      <w:r w:rsidRPr="007C45C4">
        <w:rPr>
          <w:rFonts w:cs="Arial"/>
          <w:bCs/>
          <w:szCs w:val="15"/>
          <w:lang w:val="en-US"/>
        </w:rPr>
        <w:t>ν</w:t>
      </w:r>
      <w:r w:rsidRPr="007C45C4">
        <w:rPr>
          <w:rFonts w:cs="Arial"/>
          <w:bCs/>
          <w:szCs w:val="15"/>
          <w:vertAlign w:val="subscript"/>
          <w:lang w:val="en-US"/>
        </w:rPr>
        <w:t>a</w:t>
      </w:r>
      <w:proofErr w:type="spellEnd"/>
      <w:r w:rsidRPr="007C45C4">
        <w:rPr>
          <w:rFonts w:cs="Arial"/>
          <w:bCs/>
          <w:szCs w:val="15"/>
          <w:lang w:val="en-US"/>
        </w:rPr>
        <w:t>(CO)], 1892 vs [</w:t>
      </w:r>
      <w:proofErr w:type="spellStart"/>
      <w:r w:rsidRPr="007C45C4">
        <w:rPr>
          <w:rFonts w:cs="Arial"/>
          <w:bCs/>
          <w:szCs w:val="15"/>
          <w:lang w:val="en-US"/>
        </w:rPr>
        <w:t>ν</w:t>
      </w:r>
      <w:r w:rsidRPr="007C45C4">
        <w:rPr>
          <w:rFonts w:cs="Arial"/>
          <w:bCs/>
          <w:szCs w:val="15"/>
          <w:vertAlign w:val="subscript"/>
          <w:lang w:val="en-US"/>
        </w:rPr>
        <w:t>s</w:t>
      </w:r>
      <w:proofErr w:type="spellEnd"/>
      <w:r w:rsidRPr="007C45C4">
        <w:rPr>
          <w:rFonts w:cs="Arial"/>
          <w:bCs/>
          <w:szCs w:val="15"/>
          <w:lang w:val="en-US"/>
        </w:rPr>
        <w:t>(CO)], 1062 vs, br. [ν(BF)].</w:t>
      </w:r>
    </w:p>
    <w:p w14:paraId="78C49E62" w14:textId="77777777" w:rsidR="005A5FB8" w:rsidRPr="007C45C4" w:rsidRDefault="00AE37FC" w:rsidP="005A5FB8">
      <w:pPr>
        <w:pStyle w:val="RSCB06BHeadingSub-Section"/>
        <w:rPr>
          <w:lang w:val="en-US"/>
        </w:rPr>
      </w:pPr>
      <w:r w:rsidRPr="007C45C4">
        <w:rPr>
          <w:lang w:val="en-US"/>
        </w:rPr>
        <w:t>Crystallography</w:t>
      </w:r>
    </w:p>
    <w:p w14:paraId="29FD20AC" w14:textId="719D023B" w:rsidR="00AE37FC" w:rsidRPr="0066192E" w:rsidRDefault="00AE37FC" w:rsidP="005A5FB8">
      <w:pPr>
        <w:pStyle w:val="RSCB02ArticleText"/>
        <w:rPr>
          <w:lang w:val="en-US"/>
        </w:rPr>
      </w:pPr>
      <w:r w:rsidRPr="007C45C4">
        <w:rPr>
          <w:rFonts w:cs="Arial"/>
          <w:bCs/>
          <w:szCs w:val="24"/>
          <w:lang w:val="en-US"/>
        </w:rPr>
        <w:t xml:space="preserve">The X-ray data for the single-crystals of the compounds </w:t>
      </w:r>
      <w:r w:rsidRPr="007C45C4">
        <w:rPr>
          <w:rFonts w:cs="Arial"/>
          <w:b/>
          <w:bCs/>
          <w:szCs w:val="24"/>
          <w:lang w:val="en-US"/>
        </w:rPr>
        <w:t>2</w:t>
      </w:r>
      <w:r w:rsidRPr="007C45C4">
        <w:rPr>
          <w:rFonts w:cs="Arial"/>
          <w:bCs/>
          <w:szCs w:val="24"/>
          <w:lang w:val="en-US"/>
        </w:rPr>
        <w:t xml:space="preserve"> and </w:t>
      </w:r>
      <w:r w:rsidRPr="007C45C4">
        <w:rPr>
          <w:rFonts w:cs="Arial"/>
          <w:b/>
          <w:bCs/>
          <w:szCs w:val="24"/>
          <w:lang w:val="en-US"/>
        </w:rPr>
        <w:t>4</w:t>
      </w:r>
      <w:r w:rsidRPr="007C45C4">
        <w:rPr>
          <w:rFonts w:cs="Arial"/>
          <w:bCs/>
          <w:szCs w:val="24"/>
          <w:lang w:val="en-US"/>
        </w:rPr>
        <w:t xml:space="preserve"> were collected on Bruker D8 VENTURE Kappa Duo PHOTON100 by </w:t>
      </w:r>
      <w:proofErr w:type="spellStart"/>
      <w:r w:rsidRPr="007C45C4">
        <w:rPr>
          <w:rFonts w:cs="Arial"/>
          <w:bCs/>
          <w:szCs w:val="24"/>
          <w:lang w:val="en-US"/>
        </w:rPr>
        <w:t>IμS</w:t>
      </w:r>
      <w:proofErr w:type="spellEnd"/>
      <w:r w:rsidRPr="007C45C4">
        <w:rPr>
          <w:rFonts w:cs="Arial"/>
          <w:bCs/>
          <w:szCs w:val="24"/>
          <w:lang w:val="en-US"/>
        </w:rPr>
        <w:t xml:space="preserve"> micro-focus sealed tube </w:t>
      </w:r>
      <w:proofErr w:type="spellStart"/>
      <w:r w:rsidRPr="007C45C4">
        <w:rPr>
          <w:rFonts w:cs="Arial"/>
          <w:bCs/>
          <w:szCs w:val="24"/>
          <w:lang w:val="en-US"/>
        </w:rPr>
        <w:t>MoK</w:t>
      </w:r>
      <w:proofErr w:type="spellEnd"/>
      <w:r w:rsidRPr="007C45C4">
        <w:rPr>
          <w:rFonts w:cs="Arial"/>
          <w:bCs/>
          <w:szCs w:val="24"/>
          <w:lang w:val="en-US"/>
        </w:rPr>
        <w:t>α (λ = 0.77015 Å) at a temperature of 150(2)K. The structures were solved by direct methods (SHELXL 2014/7)</w:t>
      </w:r>
      <w:r w:rsidR="000D21C1" w:rsidRPr="007C45C4">
        <w:rPr>
          <w:rFonts w:cs="Arial"/>
          <w:bCs/>
          <w:szCs w:val="24"/>
          <w:lang w:val="en-US"/>
        </w:rPr>
        <w:fldChar w:fldCharType="begin" w:fldLock="1"/>
      </w:r>
      <w:r w:rsidR="00357335" w:rsidRPr="007C45C4">
        <w:rPr>
          <w:rFonts w:cs="Arial"/>
          <w:bCs/>
          <w:szCs w:val="24"/>
          <w:lang w:val="en-US"/>
        </w:rPr>
        <w:instrText>ADDIN CSL_CITATION {"citationItems":[{"id":"ITEM-1","itemData":{"author":[{"dropping-particle":"","family":"Sheldrick","given":"G.M.","non-dropping-particle":"","parse-names":false,"suffix":""}],"id":"ITEM-1","issued":{"date-parts":[["1997"]]},"publisher":"SHELXL97, University of Göttingen, Germany","title":"SHELXL97, University of Göttingen, Germany","type":"article"},"uris":["http://www.mendeley.com/documents/?uuid=72510c89-aa21-4339-b255-7b0f46317fd9"]}],"mendeley":{"formattedCitation":"&lt;sup&gt;43&lt;/sup&gt;","plainTextFormattedCitation":"43","previouslyFormattedCitation":"&lt;sup&gt;43&lt;/sup&gt;"},"properties":{"noteIndex":0},"schema":"https://github.com/citation-style-language/schema/raw/master/csl-citation.json"}</w:instrText>
      </w:r>
      <w:r w:rsidR="000D21C1" w:rsidRPr="007C45C4">
        <w:rPr>
          <w:rFonts w:cs="Arial"/>
          <w:bCs/>
          <w:szCs w:val="24"/>
          <w:lang w:val="en-US"/>
        </w:rPr>
        <w:fldChar w:fldCharType="separate"/>
      </w:r>
      <w:r w:rsidR="00104ACB" w:rsidRPr="007C45C4">
        <w:rPr>
          <w:rFonts w:cs="Arial"/>
          <w:bCs/>
          <w:noProof/>
          <w:szCs w:val="24"/>
          <w:vertAlign w:val="superscript"/>
          <w:lang w:val="en-US"/>
        </w:rPr>
        <w:t>43</w:t>
      </w:r>
      <w:r w:rsidR="000D21C1" w:rsidRPr="007C45C4">
        <w:rPr>
          <w:rFonts w:cs="Arial"/>
          <w:bCs/>
          <w:szCs w:val="24"/>
          <w:lang w:val="en-US"/>
        </w:rPr>
        <w:fldChar w:fldCharType="end"/>
      </w:r>
      <w:r w:rsidRPr="007C45C4">
        <w:rPr>
          <w:rFonts w:cs="Arial"/>
          <w:bCs/>
          <w:szCs w:val="24"/>
          <w:lang w:val="en-US"/>
        </w:rPr>
        <w:t xml:space="preserve"> </w:t>
      </w:r>
      <w:r w:rsidRPr="0066192E">
        <w:rPr>
          <w:rFonts w:cs="Arial"/>
          <w:bCs/>
          <w:szCs w:val="24"/>
          <w:lang w:val="en-US"/>
        </w:rPr>
        <w:t>and reﬁned by full matrix least squares based on F2(SHELXL97).</w:t>
      </w:r>
      <w:r w:rsidR="000D21C1" w:rsidRPr="0066192E">
        <w:rPr>
          <w:rFonts w:cs="Arial"/>
          <w:bCs/>
          <w:szCs w:val="24"/>
          <w:lang w:val="en-US"/>
        </w:rPr>
        <w:fldChar w:fldCharType="begin" w:fldLock="1"/>
      </w:r>
      <w:r w:rsidR="00357335" w:rsidRPr="0066192E">
        <w:rPr>
          <w:rFonts w:cs="Arial"/>
          <w:bCs/>
          <w:szCs w:val="24"/>
          <w:lang w:val="en-US"/>
        </w:rPr>
        <w:instrText>ADDIN CSL_CITATION {"citationItems":[{"id":"ITEM-1","itemData":{"DOI":"10.1107/S0108767307043930","abstract":"An account is given of the development of the {\\it SHELX} system of computer programs from {\\it SHELX}-76 to the present day. In addition to identifying useful innovations that have come into general use through their implementation in {\\it SHELX}, a critical analysis is presented of the less-successful features, missed opportunities and desirable improvements for future releases of the software. An attempt is made to understand how a program originally designed for photographic intensity data, punched cards and computers over 10000 times slower than an average modern personal computer has managed to survive for~so~long. {\\it SHELXL} is the most widely used program for small-molecule refinement and {\\it SHELXS} and {\\it SHELXD} are often employed for structure solution despite the availability of objectively superior programs. {\\it SHELXL} also finds a niche for the refinement of macromolecules against high-resolution or twinned data; {\\it SHELXPRO} acts as an interface for macromolecular applications. {\\it SHELXC}, {\\it SHELXD} and {\\it SHELXE} are proving useful for the experimental phasing of macromolecules, especially because they are fast and robust and so are often employed in pipelines for {\\it high-throughput} phasing. This paper could serve as a general literature citation when one or more of the open-source {\\it SHELX} programs (and the Bruker AXS version {\\it SHELXTL}) are employed in the course of a crystal-structure determination.","author":[{"dropping-particle":"","family":"Sheldrick","given":"George M","non-dropping-particle":"","parse-names":false,"suffix":""}],"container-title":"Acta Crystallographica Section A","id":"ITEM-1","issue":"1","issued":{"date-parts":[["2008","1"]]},"page":"112-122","title":"A short history of SHELX","type":"article-journal","volume":"64"},"uris":["http://www.mendeley.com/documents/?uuid=704ef7d1-ebd0-4f82-a96b-b308a7d161ea"]}],"mendeley":{"formattedCitation":"&lt;sup&gt;44&lt;/sup&gt;","plainTextFormattedCitation":"44","previouslyFormattedCitation":"&lt;sup&gt;44&lt;/sup&gt;"},"properties":{"noteIndex":0},"schema":"https://github.com/citation-style-language/schema/raw/master/csl-citation.json"}</w:instrText>
      </w:r>
      <w:r w:rsidR="000D21C1" w:rsidRPr="0066192E">
        <w:rPr>
          <w:rFonts w:cs="Arial"/>
          <w:bCs/>
          <w:szCs w:val="24"/>
          <w:lang w:val="en-US"/>
        </w:rPr>
        <w:fldChar w:fldCharType="separate"/>
      </w:r>
      <w:r w:rsidR="00104ACB" w:rsidRPr="0066192E">
        <w:rPr>
          <w:rFonts w:cs="Arial"/>
          <w:bCs/>
          <w:noProof/>
          <w:szCs w:val="24"/>
          <w:vertAlign w:val="superscript"/>
          <w:lang w:val="en-US"/>
        </w:rPr>
        <w:t>44</w:t>
      </w:r>
      <w:r w:rsidR="000D21C1" w:rsidRPr="0066192E">
        <w:rPr>
          <w:rFonts w:cs="Arial"/>
          <w:bCs/>
          <w:szCs w:val="24"/>
          <w:lang w:val="en-US"/>
        </w:rPr>
        <w:fldChar w:fldCharType="end"/>
      </w:r>
    </w:p>
    <w:p w14:paraId="6EDB1EC1" w14:textId="77777777" w:rsidR="00AE37FC" w:rsidRPr="007C45C4" w:rsidRDefault="00AE37FC" w:rsidP="00AE37FC">
      <w:pPr>
        <w:pStyle w:val="RSCB02ArticleText"/>
        <w:rPr>
          <w:rFonts w:cs="Arial"/>
          <w:bCs/>
          <w:szCs w:val="24"/>
          <w:lang w:val="en-US"/>
        </w:rPr>
      </w:pPr>
      <w:r w:rsidRPr="0066192E">
        <w:rPr>
          <w:rFonts w:cs="Arial"/>
          <w:bCs/>
          <w:szCs w:val="24"/>
          <w:lang w:val="en-US"/>
        </w:rPr>
        <w:t xml:space="preserve">CCDC-1853493 (for </w:t>
      </w:r>
      <w:r w:rsidRPr="0066192E">
        <w:rPr>
          <w:rFonts w:cs="Arial"/>
          <w:b/>
          <w:bCs/>
          <w:szCs w:val="24"/>
          <w:lang w:val="en-US"/>
        </w:rPr>
        <w:t>2</w:t>
      </w:r>
      <w:r w:rsidRPr="0066192E">
        <w:rPr>
          <w:rFonts w:cs="Arial"/>
          <w:bCs/>
          <w:szCs w:val="24"/>
          <w:lang w:val="en-US"/>
        </w:rPr>
        <w:t xml:space="preserve">) -1853492 (for </w:t>
      </w:r>
      <w:r w:rsidRPr="0066192E">
        <w:rPr>
          <w:rFonts w:cs="Arial"/>
          <w:b/>
          <w:bCs/>
          <w:szCs w:val="24"/>
          <w:lang w:val="en-US"/>
        </w:rPr>
        <w:t>4</w:t>
      </w:r>
      <w:r w:rsidRPr="0066192E">
        <w:rPr>
          <w:rFonts w:cs="Arial"/>
          <w:bCs/>
          <w:szCs w:val="24"/>
          <w:lang w:val="en-US"/>
        </w:rPr>
        <w:t xml:space="preserve">) contain the supplementary crystallographic data for this paper. These data </w:t>
      </w:r>
      <w:r w:rsidRPr="0066192E">
        <w:rPr>
          <w:rFonts w:cs="Arial"/>
          <w:bCs/>
          <w:szCs w:val="24"/>
          <w:lang w:val="en-US"/>
        </w:rPr>
        <w:t xml:space="preserve">can be obtained free of charge from Cambridge Crystallographic Data Centre via </w:t>
      </w:r>
      <w:hyperlink r:id="rId27" w:history="1">
        <w:r w:rsidR="005A5FB8" w:rsidRPr="0066192E">
          <w:rPr>
            <w:rStyle w:val="Hypertextovodkaz"/>
            <w:rFonts w:cs="Arial"/>
            <w:bCs/>
            <w:szCs w:val="24"/>
            <w:lang w:val="en-US"/>
          </w:rPr>
          <w:t>www.ccdc.cam.ac.uk/data_request/cif</w:t>
        </w:r>
      </w:hyperlink>
      <w:r w:rsidRPr="0066192E">
        <w:rPr>
          <w:rFonts w:cs="Arial"/>
          <w:bCs/>
          <w:szCs w:val="24"/>
          <w:lang w:val="en-US"/>
        </w:rPr>
        <w:t>.</w:t>
      </w:r>
    </w:p>
    <w:p w14:paraId="6737BBC3" w14:textId="77777777" w:rsidR="005A5FB8" w:rsidRPr="007C45C4" w:rsidRDefault="005A5FB8" w:rsidP="005A5FB8">
      <w:pPr>
        <w:pStyle w:val="RSCB06BHeadingSub-Section"/>
        <w:rPr>
          <w:lang w:val="en-US"/>
        </w:rPr>
      </w:pPr>
      <w:r w:rsidRPr="007C45C4">
        <w:rPr>
          <w:lang w:val="en-US"/>
        </w:rPr>
        <w:t>Preparing of complexes for biological test</w:t>
      </w:r>
    </w:p>
    <w:p w14:paraId="602B062C" w14:textId="18296CDC" w:rsidR="00246271" w:rsidRPr="007C45C4" w:rsidRDefault="005A5FB8" w:rsidP="005A5FB8">
      <w:pPr>
        <w:pStyle w:val="RSCB02ArticleText"/>
        <w:rPr>
          <w:lang w:val="en-US"/>
        </w:rPr>
      </w:pPr>
      <w:r w:rsidRPr="007C45C4">
        <w:rPr>
          <w:lang w:val="en-US"/>
        </w:rPr>
        <w:t xml:space="preserve">The culture media and dimethyl sulfoxide (DMSO) (Sigma-Aldrich, USA) were used to prepare the solution of the test complexes. Each test complex was dissolved just before the cells were affected. The maximal used concentration of </w:t>
      </w:r>
      <w:r w:rsidR="00E34A45" w:rsidRPr="007C45C4">
        <w:rPr>
          <w:lang w:val="en-US"/>
        </w:rPr>
        <w:t>DMSO</w:t>
      </w:r>
      <w:r w:rsidRPr="007C45C4">
        <w:rPr>
          <w:lang w:val="en-US"/>
        </w:rPr>
        <w:t xml:space="preserve"> was 0.5% w/v because this concentration did not exhibit any signif</w:t>
      </w:r>
      <w:r w:rsidR="00246271" w:rsidRPr="007C45C4">
        <w:rPr>
          <w:lang w:val="en-US"/>
        </w:rPr>
        <w:t>icant negative effect on cells.</w:t>
      </w:r>
    </w:p>
    <w:p w14:paraId="6D98BA1F" w14:textId="77777777" w:rsidR="005A5FB8" w:rsidRPr="007C45C4" w:rsidRDefault="005A5FB8" w:rsidP="00246271">
      <w:pPr>
        <w:pStyle w:val="RSCB06BHeadingSub-Section"/>
        <w:rPr>
          <w:lang w:val="en-US"/>
        </w:rPr>
      </w:pPr>
      <w:r w:rsidRPr="007C45C4">
        <w:rPr>
          <w:lang w:val="en-US"/>
        </w:rPr>
        <w:t>Screening of cytotoxicity of the test complexes and cytotoxicity assay over the broad concentration range</w:t>
      </w:r>
    </w:p>
    <w:p w14:paraId="172925EF" w14:textId="65EE13B3" w:rsidR="00AC3A92" w:rsidRPr="007C45C4" w:rsidRDefault="005A5FB8" w:rsidP="005A5FB8">
      <w:pPr>
        <w:pStyle w:val="RSCB02ArticleText"/>
        <w:rPr>
          <w:lang w:val="en-US"/>
        </w:rPr>
      </w:pPr>
      <w:r w:rsidRPr="007C45C4">
        <w:rPr>
          <w:lang w:val="en-US"/>
        </w:rPr>
        <w:t xml:space="preserve">Cytotoxicity was quantified using ability of mitochondria dehydrogenase to reduce of WST-1 to a water-soluble formazan. WST-1 Cell Proliferation Reagent was obtained from Roche Applied Science, Switzerland. The MOLT-4 cells and A549 resp. MRC-5 cells were cultivated at a concentration 25 </w:t>
      </w:r>
      <w:r w:rsidR="00246271" w:rsidRPr="007C45C4">
        <w:rPr>
          <w:rFonts w:cstheme="minorHAnsi"/>
          <w:lang w:val="en-US"/>
        </w:rPr>
        <w:t>×</w:t>
      </w:r>
      <w:r w:rsidRPr="007C45C4">
        <w:rPr>
          <w:lang w:val="en-US"/>
        </w:rPr>
        <w:t xml:space="preserve"> 10</w:t>
      </w:r>
      <w:r w:rsidRPr="007C45C4">
        <w:rPr>
          <w:vertAlign w:val="superscript"/>
          <w:lang w:val="en-US"/>
        </w:rPr>
        <w:t>3</w:t>
      </w:r>
      <w:r w:rsidRPr="007C45C4">
        <w:rPr>
          <w:lang w:val="en-US"/>
        </w:rPr>
        <w:t xml:space="preserve"> cells/well of culture medium. The A549 resp. MRC-5 cells were cultivated at a concentration 700 resp. 500 cells/well of culture medium overnight. The MOLT-4 cells were treated in concentration range 0.1, 0.4, 0.7, 1.5, 2.5, 4, 9, 15, 27, 50 in total volume 200 µL, for test complexes </w:t>
      </w:r>
      <w:r w:rsidRPr="007C45C4">
        <w:rPr>
          <w:b/>
          <w:lang w:val="en-US"/>
        </w:rPr>
        <w:t>3</w:t>
      </w:r>
      <w:r w:rsidR="00246271" w:rsidRPr="007C45C4">
        <w:rPr>
          <w:lang w:val="en-US"/>
        </w:rPr>
        <w:t>–</w:t>
      </w:r>
      <w:r w:rsidRPr="007C45C4">
        <w:rPr>
          <w:b/>
          <w:lang w:val="en-US"/>
        </w:rPr>
        <w:t>7</w:t>
      </w:r>
      <w:r w:rsidRPr="007C45C4">
        <w:rPr>
          <w:lang w:val="en-US"/>
        </w:rPr>
        <w:t xml:space="preserve"> and it was used the concentration range 0.01, 0.02, 0.05, 0.1, 0.2, 0.5, 1, 2, 5, 10 µM in total volume 200 µL for the complex </w:t>
      </w:r>
      <w:r w:rsidRPr="007C45C4">
        <w:rPr>
          <w:b/>
          <w:lang w:val="en-US"/>
        </w:rPr>
        <w:t>6</w:t>
      </w:r>
      <w:r w:rsidRPr="007C45C4">
        <w:rPr>
          <w:lang w:val="en-US"/>
        </w:rPr>
        <w:t xml:space="preserve"> on the A549 and MRC-5. The </w:t>
      </w:r>
      <w:proofErr w:type="gramStart"/>
      <w:r w:rsidRPr="007C45C4">
        <w:rPr>
          <w:lang w:val="en-US"/>
        </w:rPr>
        <w:t>well-plate</w:t>
      </w:r>
      <w:proofErr w:type="gramEnd"/>
      <w:r w:rsidRPr="007C45C4">
        <w:rPr>
          <w:lang w:val="en-US"/>
        </w:rPr>
        <w:t xml:space="preserve"> was incubated for 24 h. It was carried out WST-1 assay after incubation time. 50 µL WST-1 solution was pipet</w:t>
      </w:r>
      <w:r w:rsidR="00246271" w:rsidRPr="007C45C4">
        <w:rPr>
          <w:lang w:val="en-US"/>
        </w:rPr>
        <w:t>ted</w:t>
      </w:r>
      <w:r w:rsidRPr="007C45C4">
        <w:rPr>
          <w:lang w:val="en-US"/>
        </w:rPr>
        <w:t xml:space="preserve"> to each well and the plate was incubated following 3 h and then absorbance at 440 nm was measured using multiple reader </w:t>
      </w:r>
      <w:proofErr w:type="spellStart"/>
      <w:r w:rsidRPr="007C45C4">
        <w:rPr>
          <w:lang w:val="en-US"/>
        </w:rPr>
        <w:t>Tecan</w:t>
      </w:r>
      <w:proofErr w:type="spellEnd"/>
      <w:r w:rsidRPr="007C45C4">
        <w:rPr>
          <w:lang w:val="en-US"/>
        </w:rPr>
        <w:t xml:space="preserve"> Infinite M200 (</w:t>
      </w:r>
      <w:proofErr w:type="spellStart"/>
      <w:r w:rsidRPr="007C45C4">
        <w:rPr>
          <w:lang w:val="en-US"/>
        </w:rPr>
        <w:t>Tecan</w:t>
      </w:r>
      <w:proofErr w:type="spellEnd"/>
      <w:r w:rsidRPr="007C45C4">
        <w:rPr>
          <w:lang w:val="en-US"/>
        </w:rPr>
        <w:t xml:space="preserve"> Group, Switzerland). Cytotoxicity was evaluated as</w:t>
      </w:r>
      <w:r w:rsidR="00E34A45" w:rsidRPr="007C45C4">
        <w:rPr>
          <w:lang w:val="en-US"/>
        </w:rPr>
        <w:t xml:space="preserve"> </w:t>
      </w:r>
      <w:r w:rsidRPr="007C45C4">
        <w:rPr>
          <w:lang w:val="en-US"/>
        </w:rPr>
        <w:t>IC</w:t>
      </w:r>
      <w:r w:rsidRPr="007C45C4">
        <w:rPr>
          <w:vertAlign w:val="subscript"/>
          <w:lang w:val="en-US"/>
        </w:rPr>
        <w:t>50</w:t>
      </w:r>
      <w:r w:rsidRPr="007C45C4">
        <w:rPr>
          <w:lang w:val="en-US"/>
        </w:rPr>
        <w:t xml:space="preserve"> value using the statistic software Origin Pro (version 9, </w:t>
      </w:r>
      <w:proofErr w:type="spellStart"/>
      <w:r w:rsidRPr="007C45C4">
        <w:rPr>
          <w:lang w:val="en-US"/>
        </w:rPr>
        <w:t>OriginLabCorporation</w:t>
      </w:r>
      <w:proofErr w:type="spellEnd"/>
      <w:r w:rsidRPr="007C45C4">
        <w:rPr>
          <w:lang w:val="en-US"/>
        </w:rPr>
        <w:t>, USA). Three independent experiments were performed; results are expressed as m</w:t>
      </w:r>
      <w:r w:rsidR="00AC3A92" w:rsidRPr="007C45C4">
        <w:rPr>
          <w:lang w:val="en-US"/>
        </w:rPr>
        <w:t>ean ± standard deviation (SD).</w:t>
      </w:r>
    </w:p>
    <w:p w14:paraId="20A1003E" w14:textId="77777777" w:rsidR="005A5FB8" w:rsidRPr="007C45C4" w:rsidRDefault="005A5FB8" w:rsidP="00AC3A92">
      <w:pPr>
        <w:pStyle w:val="RSCB06BHeadingSub-Section"/>
        <w:rPr>
          <w:lang w:val="en-US"/>
        </w:rPr>
      </w:pPr>
      <w:r w:rsidRPr="007C45C4">
        <w:rPr>
          <w:lang w:val="en-US"/>
        </w:rPr>
        <w:t>Screening of cytotoxicity on the cell lines</w:t>
      </w:r>
    </w:p>
    <w:p w14:paraId="5B9309C3" w14:textId="7711402E" w:rsidR="005A5FB8" w:rsidRPr="007C45C4" w:rsidRDefault="005A5FB8" w:rsidP="005A5FB8">
      <w:pPr>
        <w:pStyle w:val="RSCB02ArticleText"/>
        <w:rPr>
          <w:lang w:val="en-US"/>
        </w:rPr>
      </w:pPr>
      <w:r w:rsidRPr="007C45C4">
        <w:rPr>
          <w:lang w:val="en-US"/>
        </w:rPr>
        <w:t xml:space="preserve">Selected human tumor cell lines (MOLT-4 - leukemic </w:t>
      </w:r>
      <w:proofErr w:type="spellStart"/>
      <w:r w:rsidRPr="007C45C4">
        <w:rPr>
          <w:lang w:val="en-US"/>
        </w:rPr>
        <w:t>lymphoblastoid</w:t>
      </w:r>
      <w:proofErr w:type="spellEnd"/>
      <w:r w:rsidR="00F633EC" w:rsidRPr="007C45C4">
        <w:rPr>
          <w:lang w:val="en-US"/>
        </w:rPr>
        <w:t>, HT-29 - colon adenocarcinoma, A549 - lung adenocarcinoma,</w:t>
      </w:r>
      <w:r w:rsidRPr="007C45C4">
        <w:rPr>
          <w:lang w:val="en-US"/>
        </w:rPr>
        <w:t xml:space="preserve"> A2780 - ovarian adenocarcinoma, A2780cis – </w:t>
      </w:r>
      <w:r w:rsidRPr="007C45C4">
        <w:rPr>
          <w:i/>
          <w:lang w:val="en-US"/>
        </w:rPr>
        <w:t>cis</w:t>
      </w:r>
      <w:r w:rsidRPr="007C45C4">
        <w:rPr>
          <w:lang w:val="en-US"/>
        </w:rPr>
        <w:t>-</w:t>
      </w:r>
      <w:proofErr w:type="spellStart"/>
      <w:r w:rsidRPr="007C45C4">
        <w:rPr>
          <w:lang w:val="en-US"/>
        </w:rPr>
        <w:t>platin</w:t>
      </w:r>
      <w:proofErr w:type="spellEnd"/>
      <w:r w:rsidRPr="007C45C4">
        <w:rPr>
          <w:lang w:val="en-US"/>
        </w:rPr>
        <w:t xml:space="preserve">-resistant ovarian adenocarcinoma) and human non-cancer cell line MRC-5 (human </w:t>
      </w:r>
      <w:proofErr w:type="spellStart"/>
      <w:r w:rsidRPr="007C45C4">
        <w:rPr>
          <w:lang w:val="en-US"/>
        </w:rPr>
        <w:t>foetal</w:t>
      </w:r>
      <w:proofErr w:type="spellEnd"/>
      <w:r w:rsidRPr="007C45C4">
        <w:rPr>
          <w:lang w:val="en-US"/>
        </w:rPr>
        <w:t xml:space="preserve"> lung) were purchased from either ATCC, USA or Sigma Aldrich, USA and cultured according to the provider´s culture method guidelines. The cells were cultivated with final concentration 0.1, 2 and 5 µM of the complex</w:t>
      </w:r>
      <w:r w:rsidR="00E34A45" w:rsidRPr="007C45C4">
        <w:rPr>
          <w:lang w:val="en-US"/>
        </w:rPr>
        <w:t xml:space="preserve"> </w:t>
      </w:r>
      <w:r w:rsidR="00382DA9" w:rsidRPr="007C45C4">
        <w:rPr>
          <w:b/>
          <w:lang w:val="en-US"/>
        </w:rPr>
        <w:t>6</w:t>
      </w:r>
      <w:r w:rsidRPr="007C45C4">
        <w:rPr>
          <w:lang w:val="en-US"/>
        </w:rPr>
        <w:t xml:space="preserve"> after 24 h and 48 h, in a previously established optimal density in 96-well plate. After the incubation time, WST-1 proliferation assay (Roche Applied Science, Switzerland) was performed according to the manufacturer</w:t>
      </w:r>
      <w:r w:rsidR="00382DA9" w:rsidRPr="007C45C4">
        <w:rPr>
          <w:lang w:val="en-US"/>
        </w:rPr>
        <w:t>’</w:t>
      </w:r>
      <w:r w:rsidRPr="007C45C4">
        <w:rPr>
          <w:lang w:val="en-US"/>
        </w:rPr>
        <w:t xml:space="preserve">s instructions and the absorbance was measured using </w:t>
      </w:r>
      <w:proofErr w:type="spellStart"/>
      <w:r w:rsidRPr="007C45C4">
        <w:rPr>
          <w:lang w:val="en-US"/>
        </w:rPr>
        <w:t>Tecan</w:t>
      </w:r>
      <w:proofErr w:type="spellEnd"/>
      <w:r w:rsidRPr="007C45C4">
        <w:rPr>
          <w:lang w:val="en-US"/>
        </w:rPr>
        <w:t xml:space="preserve"> Infinite M200 (</w:t>
      </w:r>
      <w:proofErr w:type="spellStart"/>
      <w:r w:rsidRPr="007C45C4">
        <w:rPr>
          <w:lang w:val="en-US"/>
        </w:rPr>
        <w:t>Tecan</w:t>
      </w:r>
      <w:proofErr w:type="spellEnd"/>
      <w:r w:rsidRPr="007C45C4">
        <w:rPr>
          <w:lang w:val="en-US"/>
        </w:rPr>
        <w:t xml:space="preserve"> Group, Switzerland). The value of cytotoxicity was expressed as a percentage of proliferation/viability of control, non-treated cells (100%), expressed as GP ± SD of absorbance measured from three different experiments.</w:t>
      </w:r>
    </w:p>
    <w:p w14:paraId="32EA635E" w14:textId="77777777" w:rsidR="005A5FB8" w:rsidRPr="007C45C4" w:rsidRDefault="005A5FB8" w:rsidP="00AC3A92">
      <w:pPr>
        <w:pStyle w:val="RSCB06BHeadingSub-Section"/>
        <w:rPr>
          <w:lang w:val="en-US"/>
        </w:rPr>
      </w:pPr>
      <w:r w:rsidRPr="007C45C4">
        <w:rPr>
          <w:lang w:val="en-US"/>
        </w:rPr>
        <w:t>Determination of viability and proliferation</w:t>
      </w:r>
    </w:p>
    <w:p w14:paraId="64F2EBB5" w14:textId="26FD0549" w:rsidR="005A5FB8" w:rsidRPr="007C45C4" w:rsidRDefault="005A5FB8" w:rsidP="005A5FB8">
      <w:pPr>
        <w:pStyle w:val="RSCB02ArticleText"/>
        <w:rPr>
          <w:lang w:val="en-US"/>
        </w:rPr>
      </w:pPr>
      <w:r w:rsidRPr="007C45C4">
        <w:rPr>
          <w:lang w:val="en-US"/>
        </w:rPr>
        <w:t xml:space="preserve">The cells A549 in the amount 15 </w:t>
      </w:r>
      <w:r w:rsidR="00AC3A92" w:rsidRPr="007C45C4">
        <w:rPr>
          <w:rFonts w:cstheme="minorHAnsi"/>
          <w:lang w:val="en-US"/>
        </w:rPr>
        <w:t>×</w:t>
      </w:r>
      <w:r w:rsidRPr="007C45C4">
        <w:rPr>
          <w:lang w:val="en-US"/>
        </w:rPr>
        <w:t xml:space="preserve"> 10</w:t>
      </w:r>
      <w:r w:rsidRPr="007C45C4">
        <w:rPr>
          <w:vertAlign w:val="superscript"/>
          <w:lang w:val="en-US"/>
        </w:rPr>
        <w:t>4</w:t>
      </w:r>
      <w:r w:rsidRPr="007C45C4">
        <w:rPr>
          <w:lang w:val="en-US"/>
        </w:rPr>
        <w:t xml:space="preserve"> and the cells MRC-5 in the amount 3 </w:t>
      </w:r>
      <w:r w:rsidR="00AC3A92" w:rsidRPr="007C45C4">
        <w:rPr>
          <w:rFonts w:cstheme="minorHAnsi"/>
          <w:lang w:val="en-US"/>
        </w:rPr>
        <w:t>×</w:t>
      </w:r>
      <w:r w:rsidRPr="007C45C4">
        <w:rPr>
          <w:lang w:val="en-US"/>
        </w:rPr>
        <w:t xml:space="preserve"> 10</w:t>
      </w:r>
      <w:r w:rsidRPr="007C45C4">
        <w:rPr>
          <w:vertAlign w:val="superscript"/>
          <w:lang w:val="en-US"/>
        </w:rPr>
        <w:t>5</w:t>
      </w:r>
      <w:r w:rsidR="00382DA9" w:rsidRPr="007C45C4">
        <w:rPr>
          <w:lang w:val="en-US"/>
        </w:rPr>
        <w:t xml:space="preserve"> in 5 µL of cultivation’</w:t>
      </w:r>
      <w:r w:rsidRPr="007C45C4">
        <w:rPr>
          <w:lang w:val="en-US"/>
        </w:rPr>
        <w:t>s medium were treated by 0.1, 2 and 5 µM of the complex</w:t>
      </w:r>
      <w:r w:rsidR="00E34A45" w:rsidRPr="007C45C4">
        <w:rPr>
          <w:lang w:val="en-US"/>
        </w:rPr>
        <w:t xml:space="preserve"> </w:t>
      </w:r>
      <w:proofErr w:type="gramStart"/>
      <w:r w:rsidR="00AC3A92" w:rsidRPr="007C45C4">
        <w:rPr>
          <w:b/>
          <w:lang w:val="en-US"/>
        </w:rPr>
        <w:t>6</w:t>
      </w:r>
      <w:proofErr w:type="gramEnd"/>
      <w:r w:rsidRPr="007C45C4">
        <w:rPr>
          <w:lang w:val="en-US"/>
        </w:rPr>
        <w:t>. Non-treated A549 and MRC-5 cells were used as control</w:t>
      </w:r>
      <w:r w:rsidR="00382DA9" w:rsidRPr="007C45C4">
        <w:rPr>
          <w:lang w:val="en-US"/>
        </w:rPr>
        <w:t>s</w:t>
      </w:r>
      <w:r w:rsidRPr="007C45C4">
        <w:rPr>
          <w:lang w:val="en-US"/>
        </w:rPr>
        <w:t xml:space="preserve">. The cells were incubated after </w:t>
      </w:r>
      <w:r w:rsidRPr="007C45C4">
        <w:rPr>
          <w:lang w:val="en-US"/>
        </w:rPr>
        <w:lastRenderedPageBreak/>
        <w:t xml:space="preserve">incubation time 24 h. The amount of viable and death cells were counted after </w:t>
      </w:r>
      <w:proofErr w:type="spellStart"/>
      <w:r w:rsidRPr="007C45C4">
        <w:rPr>
          <w:lang w:val="en-US"/>
        </w:rPr>
        <w:t>trypsinization</w:t>
      </w:r>
      <w:proofErr w:type="spellEnd"/>
      <w:r w:rsidRPr="007C45C4">
        <w:rPr>
          <w:lang w:val="en-US"/>
        </w:rPr>
        <w:t xml:space="preserve"> of the cells and then </w:t>
      </w:r>
      <w:r w:rsidR="00EB132C" w:rsidRPr="007C45C4">
        <w:rPr>
          <w:lang w:val="en-US"/>
        </w:rPr>
        <w:t>coloring</w:t>
      </w:r>
      <w:r w:rsidRPr="007C45C4">
        <w:rPr>
          <w:lang w:val="en-US"/>
        </w:rPr>
        <w:t xml:space="preserve"> of cells with </w:t>
      </w:r>
      <w:proofErr w:type="spellStart"/>
      <w:r w:rsidRPr="007C45C4">
        <w:rPr>
          <w:lang w:val="en-US"/>
        </w:rPr>
        <w:t>Trypan</w:t>
      </w:r>
      <w:proofErr w:type="spellEnd"/>
      <w:r w:rsidRPr="007C45C4">
        <w:rPr>
          <w:lang w:val="en-US"/>
        </w:rPr>
        <w:t xml:space="preserve"> Blue followed. The results are mean ± SD from three independent experiment. </w:t>
      </w:r>
    </w:p>
    <w:p w14:paraId="5649616F" w14:textId="77777777" w:rsidR="005A5FB8" w:rsidRPr="007C45C4" w:rsidRDefault="005A5FB8" w:rsidP="00AC214A">
      <w:pPr>
        <w:pStyle w:val="RSCB06BHeadingSub-Section"/>
        <w:rPr>
          <w:lang w:val="en-US"/>
        </w:rPr>
      </w:pPr>
      <w:r w:rsidRPr="007C45C4">
        <w:rPr>
          <w:lang w:val="en-US"/>
        </w:rPr>
        <w:t>Determination of caspases activity</w:t>
      </w:r>
    </w:p>
    <w:p w14:paraId="582BC1A1" w14:textId="6DFE3F16" w:rsidR="005A5FB8" w:rsidRPr="007C45C4" w:rsidRDefault="005A5FB8" w:rsidP="005A5FB8">
      <w:pPr>
        <w:pStyle w:val="RSCB02ArticleText"/>
        <w:rPr>
          <w:lang w:val="en-US"/>
        </w:rPr>
      </w:pPr>
      <w:r w:rsidRPr="007C45C4">
        <w:rPr>
          <w:lang w:val="en-US"/>
        </w:rPr>
        <w:t>The activity of caspases 3/7, 8 and 9 was measured for detection apoptosis using the commercial kit Caspase-</w:t>
      </w:r>
      <w:proofErr w:type="spellStart"/>
      <w:r w:rsidRPr="007C45C4">
        <w:rPr>
          <w:lang w:val="en-US"/>
        </w:rPr>
        <w:t>Glo</w:t>
      </w:r>
      <w:proofErr w:type="spellEnd"/>
      <w:r w:rsidRPr="007C45C4">
        <w:rPr>
          <w:lang w:val="en-US"/>
        </w:rPr>
        <w:t xml:space="preserve"> Assays (</w:t>
      </w:r>
      <w:proofErr w:type="spellStart"/>
      <w:r w:rsidRPr="007C45C4">
        <w:rPr>
          <w:lang w:val="en-US"/>
        </w:rPr>
        <w:t>Promega</w:t>
      </w:r>
      <w:proofErr w:type="spellEnd"/>
      <w:r w:rsidRPr="007C45C4">
        <w:rPr>
          <w:lang w:val="en-US"/>
        </w:rPr>
        <w:t xml:space="preserve">, USA). The cells A549 and </w:t>
      </w:r>
      <w:r w:rsidR="00D624AD" w:rsidRPr="007C45C4">
        <w:rPr>
          <w:lang w:val="en-US"/>
        </w:rPr>
        <w:t xml:space="preserve">MRC-5 in amount 2 </w:t>
      </w:r>
      <w:r w:rsidR="00D624AD" w:rsidRPr="007C45C4">
        <w:rPr>
          <w:rFonts w:cstheme="minorHAnsi"/>
          <w:lang w:val="en-US"/>
        </w:rPr>
        <w:t>×</w:t>
      </w:r>
      <w:r w:rsidRPr="007C45C4">
        <w:rPr>
          <w:lang w:val="en-US"/>
        </w:rPr>
        <w:t xml:space="preserve"> 10</w:t>
      </w:r>
      <w:r w:rsidRPr="007C45C4">
        <w:rPr>
          <w:vertAlign w:val="superscript"/>
          <w:lang w:val="en-US"/>
        </w:rPr>
        <w:t>6</w:t>
      </w:r>
      <w:r w:rsidRPr="007C45C4">
        <w:rPr>
          <w:lang w:val="en-US"/>
        </w:rPr>
        <w:t xml:space="preserve"> in 5 mL were incubated with the complex</w:t>
      </w:r>
      <w:r w:rsidR="00AC214A" w:rsidRPr="007C45C4">
        <w:rPr>
          <w:b/>
          <w:lang w:val="en-US"/>
        </w:rPr>
        <w:t>6</w:t>
      </w:r>
      <w:r w:rsidRPr="007C45C4">
        <w:rPr>
          <w:lang w:val="en-US"/>
        </w:rPr>
        <w:t xml:space="preserve"> for 24 h. Then 1 </w:t>
      </w:r>
      <w:r w:rsidR="00AC214A" w:rsidRPr="007C45C4">
        <w:rPr>
          <w:rFonts w:cstheme="minorHAnsi"/>
          <w:lang w:val="en-US"/>
        </w:rPr>
        <w:t>×</w:t>
      </w:r>
      <w:r w:rsidRPr="007C45C4">
        <w:rPr>
          <w:lang w:val="en-US"/>
        </w:rPr>
        <w:t>10</w:t>
      </w:r>
      <w:r w:rsidRPr="007C45C4">
        <w:rPr>
          <w:vertAlign w:val="superscript"/>
          <w:lang w:val="en-US"/>
        </w:rPr>
        <w:t>4</w:t>
      </w:r>
      <w:r w:rsidRPr="007C45C4">
        <w:rPr>
          <w:lang w:val="en-US"/>
        </w:rPr>
        <w:t xml:space="preserve"> cells in </w:t>
      </w:r>
      <w:proofErr w:type="gramStart"/>
      <w:r w:rsidRPr="007C45C4">
        <w:rPr>
          <w:lang w:val="en-US"/>
        </w:rPr>
        <w:t xml:space="preserve">10 </w:t>
      </w:r>
      <w:r w:rsidR="00AC214A" w:rsidRPr="007C45C4">
        <w:rPr>
          <w:lang w:val="en-US"/>
        </w:rPr>
        <w:t>µL</w:t>
      </w:r>
      <w:proofErr w:type="gramEnd"/>
      <w:r w:rsidR="00AC214A" w:rsidRPr="007C45C4">
        <w:rPr>
          <w:lang w:val="en-US"/>
        </w:rPr>
        <w:t xml:space="preserve"> cultivation’</w:t>
      </w:r>
      <w:r w:rsidRPr="007C45C4">
        <w:rPr>
          <w:lang w:val="en-US"/>
        </w:rPr>
        <w:t>s medium were p</w:t>
      </w:r>
      <w:r w:rsidR="00AC214A" w:rsidRPr="007C45C4">
        <w:rPr>
          <w:lang w:val="en-US"/>
        </w:rPr>
        <w:t>ipetted</w:t>
      </w:r>
      <w:r w:rsidRPr="007C45C4">
        <w:rPr>
          <w:lang w:val="en-US"/>
        </w:rPr>
        <w:t xml:space="preserve"> in the 96well-plate with 40 µL medium and then 50 µL reagent was added. The luminescent signal was measured using multiple reader </w:t>
      </w:r>
      <w:proofErr w:type="spellStart"/>
      <w:r w:rsidRPr="007C45C4">
        <w:rPr>
          <w:lang w:val="en-US"/>
        </w:rPr>
        <w:t>Tecan</w:t>
      </w:r>
      <w:proofErr w:type="spellEnd"/>
      <w:r w:rsidRPr="007C45C4">
        <w:rPr>
          <w:lang w:val="en-US"/>
        </w:rPr>
        <w:t xml:space="preserve"> Infinite M200 (</w:t>
      </w:r>
      <w:proofErr w:type="spellStart"/>
      <w:r w:rsidRPr="007C45C4">
        <w:rPr>
          <w:lang w:val="en-US"/>
        </w:rPr>
        <w:t>Tecan</w:t>
      </w:r>
      <w:proofErr w:type="spellEnd"/>
      <w:r w:rsidRPr="007C45C4">
        <w:rPr>
          <w:lang w:val="en-US"/>
        </w:rPr>
        <w:t xml:space="preserve"> Group, Switzerland) after 30 min by room temperature. Doxorubicin in 0.25 µM </w:t>
      </w:r>
      <w:r w:rsidR="0095100A" w:rsidRPr="007C45C4">
        <w:rPr>
          <w:lang w:val="en-US"/>
        </w:rPr>
        <w:t>concentration</w:t>
      </w:r>
      <w:r w:rsidRPr="007C45C4">
        <w:rPr>
          <w:lang w:val="en-US"/>
        </w:rPr>
        <w:t xml:space="preserve"> was included to measure as a positive control. The result</w:t>
      </w:r>
      <w:r w:rsidR="004B4A74" w:rsidRPr="007C45C4">
        <w:rPr>
          <w:lang w:val="en-US"/>
        </w:rPr>
        <w:t>s</w:t>
      </w:r>
      <w:r w:rsidRPr="007C45C4">
        <w:rPr>
          <w:lang w:val="en-US"/>
        </w:rPr>
        <w:t xml:space="preserve"> are expressed as mean ± SD from three independent experiments.</w:t>
      </w:r>
    </w:p>
    <w:p w14:paraId="21B02351" w14:textId="77777777" w:rsidR="005A5FB8" w:rsidRPr="007C45C4" w:rsidRDefault="005A5FB8" w:rsidP="00AC214A">
      <w:pPr>
        <w:pStyle w:val="RSCB06BHeadingSub-Section"/>
        <w:rPr>
          <w:lang w:val="en-US"/>
        </w:rPr>
      </w:pPr>
      <w:r w:rsidRPr="007C45C4">
        <w:rPr>
          <w:lang w:val="en-US"/>
        </w:rPr>
        <w:t>Analysis of cell cycle</w:t>
      </w:r>
    </w:p>
    <w:p w14:paraId="7D47AE7E" w14:textId="6C48DBA6" w:rsidR="005A5FB8" w:rsidRPr="007C45C4" w:rsidRDefault="005A5FB8" w:rsidP="005A5FB8">
      <w:pPr>
        <w:pStyle w:val="RSCB02ArticleText"/>
        <w:rPr>
          <w:lang w:val="en-US"/>
        </w:rPr>
      </w:pPr>
      <w:r w:rsidRPr="007C45C4">
        <w:rPr>
          <w:lang w:val="en-US"/>
        </w:rPr>
        <w:t xml:space="preserve">The principle of cell cycle analysis using flow cytometer is based on </w:t>
      </w:r>
      <w:proofErr w:type="spellStart"/>
      <w:r w:rsidRPr="007C45C4">
        <w:rPr>
          <w:lang w:val="en-US"/>
        </w:rPr>
        <w:t>stereochemical</w:t>
      </w:r>
      <w:proofErr w:type="spellEnd"/>
      <w:r w:rsidRPr="007C45C4">
        <w:rPr>
          <w:lang w:val="en-US"/>
        </w:rPr>
        <w:t xml:space="preserve"> bond of </w:t>
      </w:r>
      <w:proofErr w:type="spellStart"/>
      <w:r w:rsidRPr="007C45C4">
        <w:rPr>
          <w:lang w:val="en-US"/>
        </w:rPr>
        <w:t>propidium</w:t>
      </w:r>
      <w:proofErr w:type="spellEnd"/>
      <w:r w:rsidRPr="007C45C4">
        <w:rPr>
          <w:lang w:val="en-US"/>
        </w:rPr>
        <w:t xml:space="preserve"> iodide to cell</w:t>
      </w:r>
      <w:r w:rsidR="00AC214A" w:rsidRPr="007C45C4">
        <w:rPr>
          <w:lang w:val="en-US"/>
        </w:rPr>
        <w:t>’</w:t>
      </w:r>
      <w:r w:rsidRPr="007C45C4">
        <w:rPr>
          <w:lang w:val="en-US"/>
        </w:rPr>
        <w:t xml:space="preserve">s DNA. The A549 and MRC-5 cells in amount 6 </w:t>
      </w:r>
      <w:r w:rsidR="00F633EC" w:rsidRPr="007C45C4">
        <w:rPr>
          <w:rFonts w:cstheme="minorHAnsi"/>
          <w:lang w:val="en-US"/>
        </w:rPr>
        <w:t>×</w:t>
      </w:r>
      <w:r w:rsidRPr="007C45C4">
        <w:rPr>
          <w:lang w:val="en-US"/>
        </w:rPr>
        <w:t xml:space="preserve"> 10</w:t>
      </w:r>
      <w:r w:rsidRPr="007C45C4">
        <w:rPr>
          <w:vertAlign w:val="superscript"/>
          <w:lang w:val="en-US"/>
        </w:rPr>
        <w:t>5</w:t>
      </w:r>
      <w:r w:rsidRPr="007C45C4">
        <w:rPr>
          <w:lang w:val="en-US"/>
        </w:rPr>
        <w:t xml:space="preserve"> / 5 mL medium were treated with 2 and 5 µM </w:t>
      </w:r>
      <w:r w:rsidRPr="007C45C4">
        <w:rPr>
          <w:b/>
          <w:lang w:val="en-US"/>
        </w:rPr>
        <w:t>6</w:t>
      </w:r>
      <w:r w:rsidRPr="007C45C4">
        <w:rPr>
          <w:lang w:val="en-US"/>
        </w:rPr>
        <w:t xml:space="preserve"> and incubated for 24 h. The cells were washed with cold PBS and fixed with 70% ethanol. Detection of low molecular-weight fragments of DNA was done </w:t>
      </w:r>
      <w:proofErr w:type="gramStart"/>
      <w:r w:rsidRPr="007C45C4">
        <w:rPr>
          <w:lang w:val="en-US"/>
        </w:rPr>
        <w:t>after incubation for 5 min at room temperature in a buffer (192 mL 0.2 M Na</w:t>
      </w:r>
      <w:r w:rsidRPr="007C45C4">
        <w:rPr>
          <w:vertAlign w:val="subscript"/>
          <w:lang w:val="en-US"/>
        </w:rPr>
        <w:t>2</w:t>
      </w:r>
      <w:r w:rsidRPr="007C45C4">
        <w:rPr>
          <w:lang w:val="en-US"/>
        </w:rPr>
        <w:t>HPO</w:t>
      </w:r>
      <w:r w:rsidRPr="007C45C4">
        <w:rPr>
          <w:vertAlign w:val="subscript"/>
          <w:lang w:val="en-US"/>
        </w:rPr>
        <w:t>4</w:t>
      </w:r>
      <w:r w:rsidRPr="007C45C4">
        <w:rPr>
          <w:lang w:val="en-US"/>
        </w:rPr>
        <w:t xml:space="preserve"> + 8 mL of 0.1 M citric acid, pH 7.8)</w:t>
      </w:r>
      <w:proofErr w:type="gramEnd"/>
      <w:r w:rsidRPr="007C45C4">
        <w:rPr>
          <w:lang w:val="en-US"/>
        </w:rPr>
        <w:t xml:space="preserve"> and then labelled with </w:t>
      </w:r>
      <w:proofErr w:type="spellStart"/>
      <w:r w:rsidRPr="007C45C4">
        <w:rPr>
          <w:lang w:val="en-US"/>
        </w:rPr>
        <w:t>propidium</w:t>
      </w:r>
      <w:proofErr w:type="spellEnd"/>
      <w:r w:rsidRPr="007C45C4">
        <w:rPr>
          <w:lang w:val="en-US"/>
        </w:rPr>
        <w:t xml:space="preserve"> iodide in </w:t>
      </w:r>
      <w:proofErr w:type="spellStart"/>
      <w:r w:rsidRPr="007C45C4">
        <w:rPr>
          <w:lang w:val="en-US"/>
        </w:rPr>
        <w:t>Vindelov</w:t>
      </w:r>
      <w:r w:rsidR="00AC214A" w:rsidRPr="007C45C4">
        <w:rPr>
          <w:lang w:val="en-US"/>
        </w:rPr>
        <w:t>’</w:t>
      </w:r>
      <w:r w:rsidRPr="007C45C4">
        <w:rPr>
          <w:lang w:val="en-US"/>
        </w:rPr>
        <w:t>s</w:t>
      </w:r>
      <w:proofErr w:type="spellEnd"/>
      <w:r w:rsidRPr="007C45C4">
        <w:rPr>
          <w:lang w:val="en-US"/>
        </w:rPr>
        <w:t xml:space="preserve"> solution for 1 h at 37°C. The analysis was determined by the flow cytometer </w:t>
      </w:r>
      <w:proofErr w:type="spellStart"/>
      <w:r w:rsidRPr="007C45C4">
        <w:rPr>
          <w:lang w:val="en-US"/>
        </w:rPr>
        <w:t>CyAn</w:t>
      </w:r>
      <w:proofErr w:type="spellEnd"/>
      <w:r w:rsidRPr="007C45C4">
        <w:rPr>
          <w:lang w:val="en-US"/>
        </w:rPr>
        <w:t xml:space="preserve"> ADP (Beckman Coulter, USA). Data were analyzed using the Multicycle AV software (Phoenix Flow systems, USA). All reagents were obtained from Sigma-Aldrich, USA. Three independent experiments were performed; results are expressed as m</w:t>
      </w:r>
      <w:r w:rsidR="00AC214A" w:rsidRPr="007C45C4">
        <w:rPr>
          <w:lang w:val="en-US"/>
        </w:rPr>
        <w:t xml:space="preserve">ean ± SD. </w:t>
      </w:r>
    </w:p>
    <w:p w14:paraId="41FE1055" w14:textId="77777777" w:rsidR="005A5FB8" w:rsidRPr="007C45C4" w:rsidRDefault="005A5FB8" w:rsidP="00AC214A">
      <w:pPr>
        <w:pStyle w:val="RSCB06BHeadingSub-Section"/>
        <w:rPr>
          <w:lang w:val="en-US"/>
        </w:rPr>
      </w:pPr>
      <w:r w:rsidRPr="007C45C4">
        <w:rPr>
          <w:lang w:val="en-US"/>
        </w:rPr>
        <w:t>RNA isolation and quantitative polymerase chain reaction (qPCR)</w:t>
      </w:r>
    </w:p>
    <w:p w14:paraId="4AC570C2" w14:textId="77777777" w:rsidR="005A5FB8" w:rsidRPr="007C45C4" w:rsidRDefault="005A5FB8" w:rsidP="005A5FB8">
      <w:pPr>
        <w:pStyle w:val="RSCB02ArticleText"/>
        <w:rPr>
          <w:lang w:val="en-US"/>
        </w:rPr>
      </w:pPr>
      <w:r w:rsidRPr="007C45C4">
        <w:rPr>
          <w:lang w:val="en-US"/>
        </w:rPr>
        <w:t>The cells were scraped in PBS and dissolved in RTL lysis buffer. Total cellular RNA was extracted by RNeasy Mini kit according to manufacturer instructions (</w:t>
      </w:r>
      <w:proofErr w:type="spellStart"/>
      <w:r w:rsidRPr="007C45C4">
        <w:rPr>
          <w:lang w:val="en-US"/>
        </w:rPr>
        <w:t>Qiagen</w:t>
      </w:r>
      <w:proofErr w:type="spellEnd"/>
      <w:r w:rsidRPr="007C45C4">
        <w:rPr>
          <w:lang w:val="en-US"/>
        </w:rPr>
        <w:t xml:space="preserve">, Hilde, Germany). RNA was reverse transcribed using cDNA Reverse Transcription Kit and quantified with </w:t>
      </w:r>
      <w:proofErr w:type="spellStart"/>
      <w:r w:rsidRPr="007C45C4">
        <w:rPr>
          <w:lang w:val="en-US"/>
        </w:rPr>
        <w:t>TaqMan</w:t>
      </w:r>
      <w:proofErr w:type="spellEnd"/>
      <w:r w:rsidRPr="007C45C4">
        <w:rPr>
          <w:lang w:val="en-US"/>
        </w:rPr>
        <w:t xml:space="preserve"> Gene Expression Assays (CCNB1 Hs01030097_m1 MDM2 Hs00234753_m</w:t>
      </w:r>
      <w:r w:rsidR="00F633EC" w:rsidRPr="007C45C4">
        <w:rPr>
          <w:lang w:val="en-US"/>
        </w:rPr>
        <w:t xml:space="preserve">1, CDKN2A Hs00233365_m1, </w:t>
      </w:r>
      <w:proofErr w:type="gramStart"/>
      <w:r w:rsidR="00F633EC" w:rsidRPr="007C45C4">
        <w:rPr>
          <w:lang w:val="en-US"/>
        </w:rPr>
        <w:t>CDKN1A</w:t>
      </w:r>
      <w:proofErr w:type="gramEnd"/>
      <w:r w:rsidRPr="007C45C4">
        <w:rPr>
          <w:lang w:val="en-US"/>
        </w:rPr>
        <w:t xml:space="preserve"> Hs00355782_m1). Gene expression were </w:t>
      </w:r>
      <w:r w:rsidR="00EB132C" w:rsidRPr="007C45C4">
        <w:rPr>
          <w:lang w:val="en-US"/>
        </w:rPr>
        <w:t>analyzed</w:t>
      </w:r>
      <w:r w:rsidRPr="007C45C4">
        <w:rPr>
          <w:lang w:val="en-US"/>
        </w:rPr>
        <w:t xml:space="preserve"> using 7500 Fast Real-Time PCR system (all obtained from Applied </w:t>
      </w:r>
      <w:proofErr w:type="spellStart"/>
      <w:r w:rsidRPr="007C45C4">
        <w:rPr>
          <w:lang w:val="en-US"/>
        </w:rPr>
        <w:t>Biosystems</w:t>
      </w:r>
      <w:proofErr w:type="spellEnd"/>
      <w:r w:rsidRPr="007C45C4">
        <w:rPr>
          <w:lang w:val="en-US"/>
        </w:rPr>
        <w:t xml:space="preserve">, Prague, </w:t>
      </w:r>
      <w:r w:rsidR="00B0488E" w:rsidRPr="007C45C4">
        <w:rPr>
          <w:lang w:val="en-US"/>
        </w:rPr>
        <w:t>Czech Republic</w:t>
      </w:r>
      <w:r w:rsidRPr="007C45C4">
        <w:rPr>
          <w:lang w:val="en-US"/>
        </w:rPr>
        <w:t>). The results were norm</w:t>
      </w:r>
      <w:r w:rsidR="00AC214A" w:rsidRPr="007C45C4">
        <w:rPr>
          <w:lang w:val="en-US"/>
        </w:rPr>
        <w:t>alized to GAPDH RNA expression.</w:t>
      </w:r>
    </w:p>
    <w:p w14:paraId="1383A130" w14:textId="77777777" w:rsidR="005A5FB8" w:rsidRPr="007C45C4" w:rsidRDefault="005A5FB8" w:rsidP="00AC214A">
      <w:pPr>
        <w:pStyle w:val="RSCB06BHeadingSub-Section"/>
        <w:rPr>
          <w:lang w:val="en-US"/>
        </w:rPr>
      </w:pPr>
      <w:r w:rsidRPr="007C45C4">
        <w:rPr>
          <w:lang w:val="en-US"/>
        </w:rPr>
        <w:t>Western blot analysis</w:t>
      </w:r>
    </w:p>
    <w:p w14:paraId="3BCB78B1" w14:textId="262DB21A" w:rsidR="005A5FB8" w:rsidRPr="007C45C4" w:rsidRDefault="005A5FB8" w:rsidP="005A5FB8">
      <w:pPr>
        <w:pStyle w:val="RSCB02ArticleText"/>
        <w:rPr>
          <w:lang w:val="en-US"/>
        </w:rPr>
      </w:pPr>
      <w:r w:rsidRPr="007C45C4">
        <w:rPr>
          <w:lang w:val="en-US"/>
        </w:rPr>
        <w:t>In first step, the cells A</w:t>
      </w:r>
      <w:r w:rsidR="00AD72EA" w:rsidRPr="007C45C4">
        <w:rPr>
          <w:lang w:val="en-US"/>
        </w:rPr>
        <w:t>549</w:t>
      </w:r>
      <w:r w:rsidRPr="007C45C4">
        <w:rPr>
          <w:lang w:val="en-US"/>
        </w:rPr>
        <w:t xml:space="preserve"> and MRC-5 were pre-incubated with the complex </w:t>
      </w:r>
      <w:proofErr w:type="gramStart"/>
      <w:r w:rsidR="00AC214A" w:rsidRPr="007C45C4">
        <w:rPr>
          <w:b/>
          <w:lang w:val="en-US"/>
        </w:rPr>
        <w:t>6</w:t>
      </w:r>
      <w:proofErr w:type="gramEnd"/>
      <w:r w:rsidR="00AD72EA" w:rsidRPr="007C45C4">
        <w:rPr>
          <w:b/>
          <w:lang w:val="en-US"/>
        </w:rPr>
        <w:t xml:space="preserve"> </w:t>
      </w:r>
      <w:r w:rsidRPr="007C45C4">
        <w:rPr>
          <w:lang w:val="en-US"/>
        </w:rPr>
        <w:t xml:space="preserve">in the concentration 2 and 5 µM after 24 h incubation. Non-treated cells were used as a negative control. As a positive control, the cells with 0.25 µM doxorubicin were used. Thereafter, it was determined a total protein from whole cells lysates using the </w:t>
      </w:r>
      <w:proofErr w:type="spellStart"/>
      <w:r w:rsidRPr="007C45C4">
        <w:rPr>
          <w:lang w:val="en-US"/>
        </w:rPr>
        <w:t>bicinchoninic</w:t>
      </w:r>
      <w:proofErr w:type="spellEnd"/>
      <w:r w:rsidRPr="007C45C4">
        <w:rPr>
          <w:lang w:val="en-US"/>
        </w:rPr>
        <w:t xml:space="preserve"> acid assay (Sigma-Aldrich, USA). The constant amount (20 µg) of protein from each lysates was pipet into 12% sodium dodecyl sulfate-polyacrylamide gel. The electrophoretic separation and western blot analysis were done with immunochemical detection. The primary monoclonal antibody was incubated overnight at 4°C. After washing, the </w:t>
      </w:r>
      <w:proofErr w:type="spellStart"/>
      <w:r w:rsidRPr="007C45C4">
        <w:rPr>
          <w:lang w:val="en-US"/>
        </w:rPr>
        <w:t>polyvinylidene</w:t>
      </w:r>
      <w:proofErr w:type="spellEnd"/>
      <w:r w:rsidRPr="007C45C4">
        <w:rPr>
          <w:lang w:val="en-US"/>
        </w:rPr>
        <w:t xml:space="preserve"> fluoride membrane (Bio-Rad Laboratories, France) was incubated with secondary polyclonal antibody for 1 h at room temperature. The </w:t>
      </w:r>
      <w:proofErr w:type="spellStart"/>
      <w:r w:rsidRPr="007C45C4">
        <w:rPr>
          <w:lang w:val="en-US"/>
        </w:rPr>
        <w:t>chemiluminiscent</w:t>
      </w:r>
      <w:proofErr w:type="spellEnd"/>
      <w:r w:rsidRPr="007C45C4">
        <w:rPr>
          <w:lang w:val="en-US"/>
        </w:rPr>
        <w:t xml:space="preserve"> signal was detected by BM </w:t>
      </w:r>
      <w:proofErr w:type="spellStart"/>
      <w:r w:rsidRPr="007C45C4">
        <w:rPr>
          <w:lang w:val="en-US"/>
        </w:rPr>
        <w:t>Chemiluminescence</w:t>
      </w:r>
      <w:proofErr w:type="spellEnd"/>
      <w:r w:rsidRPr="007C45C4">
        <w:rPr>
          <w:lang w:val="en-US"/>
        </w:rPr>
        <w:t xml:space="preserve"> Western Blotting Substrate (POD) from Sigma-Aldrich, USA using the </w:t>
      </w:r>
      <w:proofErr w:type="spellStart"/>
      <w:r w:rsidRPr="007C45C4">
        <w:rPr>
          <w:lang w:val="en-US"/>
        </w:rPr>
        <w:t>PXi</w:t>
      </w:r>
      <w:proofErr w:type="spellEnd"/>
      <w:r w:rsidRPr="007C45C4">
        <w:rPr>
          <w:lang w:val="en-US"/>
        </w:rPr>
        <w:t xml:space="preserve"> imaging system (</w:t>
      </w:r>
      <w:proofErr w:type="spellStart"/>
      <w:r w:rsidRPr="007C45C4">
        <w:rPr>
          <w:lang w:val="en-US"/>
        </w:rPr>
        <w:t>Syngene</w:t>
      </w:r>
      <w:proofErr w:type="spellEnd"/>
      <w:r w:rsidRPr="007C45C4">
        <w:rPr>
          <w:lang w:val="en-US"/>
        </w:rPr>
        <w:t xml:space="preserve">, Cambridge UK). </w:t>
      </w:r>
      <w:proofErr w:type="gramStart"/>
      <w:r w:rsidRPr="007C45C4">
        <w:rPr>
          <w:lang w:val="en-US"/>
        </w:rPr>
        <w:t>β-actin</w:t>
      </w:r>
      <w:proofErr w:type="gramEnd"/>
      <w:r w:rsidRPr="007C45C4">
        <w:rPr>
          <w:lang w:val="en-US"/>
        </w:rPr>
        <w:t xml:space="preserve"> was detected to each membrane for ensure equal protein loading.</w:t>
      </w:r>
    </w:p>
    <w:p w14:paraId="07E1F85E" w14:textId="77777777" w:rsidR="005A5FB8" w:rsidRPr="007C45C4" w:rsidRDefault="005A5FB8" w:rsidP="00AC214A">
      <w:pPr>
        <w:pStyle w:val="RSCB06BHeadingSub-Section"/>
        <w:rPr>
          <w:lang w:val="en-US"/>
        </w:rPr>
      </w:pPr>
      <w:r w:rsidRPr="007C45C4">
        <w:rPr>
          <w:lang w:val="en-US"/>
        </w:rPr>
        <w:t>Statistical analysis</w:t>
      </w:r>
    </w:p>
    <w:p w14:paraId="0301EE5E" w14:textId="65CCBF28" w:rsidR="005A5FB8" w:rsidRPr="007C45C4" w:rsidRDefault="005A5FB8" w:rsidP="005A5FB8">
      <w:pPr>
        <w:pStyle w:val="RSCB02ArticleText"/>
        <w:rPr>
          <w:lang w:val="en-US"/>
        </w:rPr>
      </w:pPr>
      <w:r w:rsidRPr="007C45C4">
        <w:rPr>
          <w:lang w:val="en-US"/>
        </w:rPr>
        <w:t xml:space="preserve">The measured results of WST-1 were processed as mean ± SD of three independent experiments in the Microsoft Office Excel 2003 (Microsoft Inc., Redmond, USA). Using software Origin Pro (version 8, </w:t>
      </w:r>
      <w:proofErr w:type="spellStart"/>
      <w:r w:rsidRPr="007C45C4">
        <w:rPr>
          <w:lang w:val="en-US"/>
        </w:rPr>
        <w:t>Microcal</w:t>
      </w:r>
      <w:proofErr w:type="spellEnd"/>
      <w:r w:rsidRPr="007C45C4">
        <w:rPr>
          <w:lang w:val="en-US"/>
        </w:rPr>
        <w:t xml:space="preserve"> Software, Inc. </w:t>
      </w:r>
      <w:r w:rsidR="004B4A74" w:rsidRPr="007C45C4">
        <w:rPr>
          <w:lang w:val="en-US"/>
        </w:rPr>
        <w:t>Northampton</w:t>
      </w:r>
      <w:r w:rsidRPr="007C45C4">
        <w:rPr>
          <w:lang w:val="en-US"/>
        </w:rPr>
        <w:t>, MA, USA), in the block “Analysis” by statistical method “ANOVA” the graph of normalized cell viability of cells depending on the concentration of the test complexes was constructed.</w:t>
      </w:r>
    </w:p>
    <w:p w14:paraId="7C2232CF" w14:textId="77777777" w:rsidR="005A5FB8" w:rsidRPr="007C45C4" w:rsidRDefault="005A5FB8" w:rsidP="005A5FB8">
      <w:pPr>
        <w:pStyle w:val="RSCB02ArticleText"/>
        <w:rPr>
          <w:lang w:val="en-US"/>
        </w:rPr>
      </w:pPr>
      <w:r w:rsidRPr="007C45C4">
        <w:rPr>
          <w:lang w:val="en-US"/>
        </w:rPr>
        <w:t>The other experiments was evaluated as mean ± SD of three independent experiments in the Microsoft Office Excel 2003 (Microsoft Inc., Redmond, USA) again. The statistical analysis of significant values between the groups was evaluated by the Student's t-test and P values ≤0.05 were considered significant.</w:t>
      </w:r>
    </w:p>
    <w:p w14:paraId="470424EA" w14:textId="77777777" w:rsidR="00C9557D" w:rsidRPr="007C45C4" w:rsidRDefault="00C9557D" w:rsidP="00C9557D">
      <w:pPr>
        <w:pStyle w:val="RSCB04AHeadingSection"/>
        <w:rPr>
          <w:lang w:val="en-US"/>
        </w:rPr>
      </w:pPr>
      <w:r w:rsidRPr="007C45C4">
        <w:rPr>
          <w:lang w:val="en-US"/>
        </w:rPr>
        <w:t>Conflict</w:t>
      </w:r>
      <w:r w:rsidR="00F05C18" w:rsidRPr="007C45C4">
        <w:rPr>
          <w:lang w:val="en-US"/>
        </w:rPr>
        <w:t>s</w:t>
      </w:r>
      <w:r w:rsidRPr="007C45C4">
        <w:rPr>
          <w:lang w:val="en-US"/>
        </w:rPr>
        <w:t xml:space="preserve"> of interest</w:t>
      </w:r>
    </w:p>
    <w:p w14:paraId="0508FD34" w14:textId="6C72E5E1" w:rsidR="00A05364" w:rsidRPr="007C45C4" w:rsidRDefault="0066192E" w:rsidP="00A05364">
      <w:pPr>
        <w:rPr>
          <w:rFonts w:cs="Times New Roman"/>
          <w:w w:val="108"/>
          <w:sz w:val="18"/>
          <w:szCs w:val="18"/>
          <w:lang w:val="en-US"/>
        </w:rPr>
      </w:pPr>
      <w:r w:rsidRPr="0066192E">
        <w:rPr>
          <w:rFonts w:cs="Times New Roman"/>
          <w:w w:val="108"/>
          <w:sz w:val="18"/>
          <w:szCs w:val="18"/>
          <w:lang w:val="en-US"/>
        </w:rPr>
        <w:t>The authors declare no conflicts of interest.</w:t>
      </w:r>
    </w:p>
    <w:p w14:paraId="54E4C0A8" w14:textId="77777777" w:rsidR="00FA2DA2" w:rsidRPr="007C45C4" w:rsidRDefault="00FA2DA2" w:rsidP="00FA2DA2">
      <w:pPr>
        <w:pStyle w:val="RSCB04AHeadingSection"/>
        <w:rPr>
          <w:lang w:val="en-US"/>
        </w:rPr>
      </w:pPr>
      <w:r w:rsidRPr="007C45C4">
        <w:rPr>
          <w:lang w:val="en-US"/>
        </w:rPr>
        <w:t>Acknowledgements</w:t>
      </w:r>
    </w:p>
    <w:p w14:paraId="66BFD960" w14:textId="68930977" w:rsidR="00FA2DA2" w:rsidRPr="007C45C4" w:rsidRDefault="00C97C52" w:rsidP="00FA2DA2">
      <w:pPr>
        <w:pStyle w:val="RSCB02ArticleText"/>
        <w:rPr>
          <w:lang w:val="en-US"/>
        </w:rPr>
      </w:pPr>
      <w:r w:rsidRPr="0066192E">
        <w:rPr>
          <w:lang w:val="en-US"/>
        </w:rPr>
        <w:t xml:space="preserve">This work was supported by </w:t>
      </w:r>
      <w:r w:rsidR="0066192E">
        <w:rPr>
          <w:lang w:val="en-US"/>
        </w:rPr>
        <w:t>Ministry of Education of the Czech Republic (</w:t>
      </w:r>
      <w:r w:rsidRPr="0066192E">
        <w:rPr>
          <w:lang w:val="en-US"/>
        </w:rPr>
        <w:t xml:space="preserve">UPA SG380006 and </w:t>
      </w:r>
      <w:proofErr w:type="spellStart"/>
      <w:r w:rsidRPr="0066192E">
        <w:rPr>
          <w:lang w:val="en-US"/>
        </w:rPr>
        <w:t>Progres</w:t>
      </w:r>
      <w:proofErr w:type="spellEnd"/>
      <w:r w:rsidRPr="0066192E">
        <w:rPr>
          <w:lang w:val="en-US"/>
        </w:rPr>
        <w:t>/UK Q40/01</w:t>
      </w:r>
      <w:r w:rsidR="0066192E">
        <w:rPr>
          <w:lang w:val="en-US"/>
        </w:rPr>
        <w:t>)</w:t>
      </w:r>
      <w:r w:rsidRPr="0066192E">
        <w:rPr>
          <w:lang w:val="en-US"/>
        </w:rPr>
        <w:t>.</w:t>
      </w:r>
    </w:p>
    <w:p w14:paraId="69032ABD" w14:textId="77777777" w:rsidR="00D010E8" w:rsidRPr="007C45C4" w:rsidRDefault="00E61949" w:rsidP="00EF6BD4">
      <w:pPr>
        <w:pStyle w:val="RSCB04AHeadingSection"/>
        <w:rPr>
          <w:lang w:val="en-US"/>
        </w:rPr>
      </w:pPr>
      <w:r w:rsidRPr="007C45C4">
        <w:rPr>
          <w:lang w:val="en-US"/>
        </w:rPr>
        <w:t>Notes and references</w:t>
      </w:r>
    </w:p>
    <w:p w14:paraId="33AEC73C" w14:textId="40C081A0" w:rsidR="00357335" w:rsidRPr="007C45C4" w:rsidRDefault="004F46E6"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highlight w:val="yellow"/>
          <w:lang w:val="en-US"/>
        </w:rPr>
        <w:fldChar w:fldCharType="begin" w:fldLock="1"/>
      </w:r>
      <w:r w:rsidRPr="007C45C4">
        <w:rPr>
          <w:highlight w:val="yellow"/>
          <w:lang w:val="en-US"/>
        </w:rPr>
        <w:instrText xml:space="preserve">ADDIN Mendeley Bibliography CSL_BIBLIOGRAPHY </w:instrText>
      </w:r>
      <w:r w:rsidRPr="007C45C4">
        <w:rPr>
          <w:highlight w:val="yellow"/>
          <w:lang w:val="en-US"/>
        </w:rPr>
        <w:fldChar w:fldCharType="separate"/>
      </w:r>
      <w:r w:rsidR="00357335" w:rsidRPr="007C45C4">
        <w:rPr>
          <w:rFonts w:ascii="Calibri" w:hAnsi="Calibri" w:cs="Calibri"/>
          <w:noProof/>
          <w:sz w:val="18"/>
          <w:lang w:val="en-US"/>
        </w:rPr>
        <w:t>1</w:t>
      </w:r>
      <w:r w:rsidR="00357335" w:rsidRPr="007C45C4">
        <w:rPr>
          <w:rFonts w:ascii="Calibri" w:hAnsi="Calibri" w:cs="Calibri"/>
          <w:noProof/>
          <w:sz w:val="18"/>
          <w:lang w:val="en-US"/>
        </w:rPr>
        <w:tab/>
        <w:t xml:space="preserve">K. Hartmut and K. Petra, </w:t>
      </w:r>
      <w:r w:rsidR="00357335" w:rsidRPr="007C45C4">
        <w:rPr>
          <w:rFonts w:ascii="Calibri" w:hAnsi="Calibri" w:cs="Calibri"/>
          <w:i/>
          <w:iCs/>
          <w:noProof/>
          <w:sz w:val="18"/>
          <w:lang w:val="en-US"/>
        </w:rPr>
        <w:t>Angew. Chem</w:t>
      </w:r>
      <w:r w:rsidR="00B11FCA">
        <w:rPr>
          <w:rFonts w:ascii="Calibri" w:hAnsi="Calibri" w:cs="Calibri"/>
          <w:i/>
          <w:iCs/>
          <w:noProof/>
          <w:sz w:val="18"/>
          <w:lang w:val="en-US"/>
        </w:rPr>
        <w:t>.</w:t>
      </w:r>
      <w:r w:rsidR="00357335" w:rsidRPr="007C45C4">
        <w:rPr>
          <w:rFonts w:ascii="Calibri" w:hAnsi="Calibri" w:cs="Calibri"/>
          <w:i/>
          <w:iCs/>
          <w:noProof/>
          <w:sz w:val="18"/>
          <w:lang w:val="en-US"/>
        </w:rPr>
        <w:t xml:space="preserve"> Int. Ed.</w:t>
      </w:r>
      <w:r w:rsidR="00357335" w:rsidRPr="007C45C4">
        <w:rPr>
          <w:rFonts w:ascii="Calibri" w:hAnsi="Calibri" w:cs="Calibri"/>
          <w:noProof/>
          <w:sz w:val="18"/>
          <w:lang w:val="en-US"/>
        </w:rPr>
        <w:t xml:space="preserve">, 2003, </w:t>
      </w:r>
      <w:r w:rsidR="00357335" w:rsidRPr="007C45C4">
        <w:rPr>
          <w:rFonts w:ascii="Calibri" w:hAnsi="Calibri" w:cs="Calibri"/>
          <w:b/>
          <w:bCs/>
          <w:noProof/>
          <w:sz w:val="18"/>
          <w:lang w:val="en-US"/>
        </w:rPr>
        <w:t>18</w:t>
      </w:r>
      <w:r w:rsidR="00357335" w:rsidRPr="007C45C4">
        <w:rPr>
          <w:rFonts w:ascii="Calibri" w:hAnsi="Calibri" w:cs="Calibri"/>
          <w:noProof/>
          <w:sz w:val="18"/>
          <w:lang w:val="en-US"/>
        </w:rPr>
        <w:t>, 477–478.</w:t>
      </w:r>
    </w:p>
    <w:p w14:paraId="531E0F74"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2</w:t>
      </w:r>
      <w:r w:rsidRPr="007C45C4">
        <w:rPr>
          <w:rFonts w:ascii="Calibri" w:hAnsi="Calibri" w:cs="Calibri"/>
          <w:noProof/>
          <w:sz w:val="18"/>
          <w:lang w:val="en-US"/>
        </w:rPr>
        <w:tab/>
        <w:t xml:space="preserve">E. Meléndez, </w:t>
      </w:r>
      <w:r w:rsidRPr="007C45C4">
        <w:rPr>
          <w:rFonts w:ascii="Calibri" w:hAnsi="Calibri" w:cs="Calibri"/>
          <w:i/>
          <w:iCs/>
          <w:noProof/>
          <w:sz w:val="18"/>
          <w:lang w:val="en-US"/>
        </w:rPr>
        <w:t>Crit. Rev. Oncol. Hematol.</w:t>
      </w:r>
      <w:r w:rsidRPr="007C45C4">
        <w:rPr>
          <w:rFonts w:ascii="Calibri" w:hAnsi="Calibri" w:cs="Calibri"/>
          <w:noProof/>
          <w:sz w:val="18"/>
          <w:lang w:val="en-US"/>
        </w:rPr>
        <w:t xml:space="preserve">, 2002, </w:t>
      </w:r>
      <w:r w:rsidRPr="007C45C4">
        <w:rPr>
          <w:rFonts w:ascii="Calibri" w:hAnsi="Calibri" w:cs="Calibri"/>
          <w:b/>
          <w:bCs/>
          <w:noProof/>
          <w:sz w:val="18"/>
          <w:lang w:val="en-US"/>
        </w:rPr>
        <w:t>42</w:t>
      </w:r>
      <w:r w:rsidRPr="007C45C4">
        <w:rPr>
          <w:rFonts w:ascii="Calibri" w:hAnsi="Calibri" w:cs="Calibri"/>
          <w:noProof/>
          <w:sz w:val="18"/>
          <w:lang w:val="en-US"/>
        </w:rPr>
        <w:t>, 309–315.</w:t>
      </w:r>
    </w:p>
    <w:p w14:paraId="4343B9FF"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3</w:t>
      </w:r>
      <w:r w:rsidRPr="007C45C4">
        <w:rPr>
          <w:rFonts w:ascii="Calibri" w:hAnsi="Calibri" w:cs="Calibri"/>
          <w:noProof/>
          <w:sz w:val="18"/>
          <w:lang w:val="en-US"/>
        </w:rPr>
        <w:tab/>
        <w:t xml:space="preserve">F. C. and M. Rossi, </w:t>
      </w:r>
      <w:r w:rsidRPr="007C45C4">
        <w:rPr>
          <w:rFonts w:ascii="Calibri" w:hAnsi="Calibri" w:cs="Calibri"/>
          <w:i/>
          <w:iCs/>
          <w:noProof/>
          <w:sz w:val="18"/>
          <w:lang w:val="en-US"/>
        </w:rPr>
        <w:t>Mini-Reviews Med. Chem.</w:t>
      </w:r>
      <w:r w:rsidRPr="007C45C4">
        <w:rPr>
          <w:rFonts w:ascii="Calibri" w:hAnsi="Calibri" w:cs="Calibri"/>
          <w:noProof/>
          <w:sz w:val="18"/>
          <w:lang w:val="en-US"/>
        </w:rPr>
        <w:t>, 2004, 4, 49–60.</w:t>
      </w:r>
    </w:p>
    <w:p w14:paraId="184331D9"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4</w:t>
      </w:r>
      <w:r w:rsidRPr="007C45C4">
        <w:rPr>
          <w:rFonts w:ascii="Calibri" w:hAnsi="Calibri" w:cs="Calibri"/>
          <w:noProof/>
          <w:sz w:val="18"/>
          <w:lang w:val="en-US"/>
        </w:rPr>
        <w:tab/>
        <w:t xml:space="preserve">A. Korfel, M. E. Scheulen, H. J. Schmoll, O. Gründel, A. Harstrick, M. Knoche, L. M. Fels, M. Skorzec, F. Bach, J. Baumgart, G. Sass, S. Seeber, E. Thiel and W. E. Berdel, </w:t>
      </w:r>
      <w:r w:rsidRPr="007C45C4">
        <w:rPr>
          <w:rFonts w:ascii="Calibri" w:hAnsi="Calibri" w:cs="Calibri"/>
          <w:i/>
          <w:iCs/>
          <w:noProof/>
          <w:sz w:val="18"/>
          <w:lang w:val="en-US"/>
        </w:rPr>
        <w:t>Clin. Cancer Res.</w:t>
      </w:r>
      <w:r w:rsidRPr="007C45C4">
        <w:rPr>
          <w:rFonts w:ascii="Calibri" w:hAnsi="Calibri" w:cs="Calibri"/>
          <w:noProof/>
          <w:sz w:val="18"/>
          <w:lang w:val="en-US"/>
        </w:rPr>
        <w:t xml:space="preserve">, 1998, </w:t>
      </w:r>
      <w:r w:rsidRPr="007C45C4">
        <w:rPr>
          <w:rFonts w:ascii="Calibri" w:hAnsi="Calibri" w:cs="Calibri"/>
          <w:b/>
          <w:bCs/>
          <w:noProof/>
          <w:sz w:val="18"/>
          <w:lang w:val="en-US"/>
        </w:rPr>
        <w:t>4</w:t>
      </w:r>
      <w:r w:rsidRPr="007C45C4">
        <w:rPr>
          <w:rFonts w:ascii="Calibri" w:hAnsi="Calibri" w:cs="Calibri"/>
          <w:noProof/>
          <w:sz w:val="18"/>
          <w:lang w:val="en-US"/>
        </w:rPr>
        <w:t>, 2701 LP-2708.</w:t>
      </w:r>
    </w:p>
    <w:p w14:paraId="64DC0CE0"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5</w:t>
      </w:r>
      <w:r w:rsidRPr="007C45C4">
        <w:rPr>
          <w:rFonts w:ascii="Calibri" w:hAnsi="Calibri" w:cs="Calibri"/>
          <w:noProof/>
          <w:sz w:val="18"/>
          <w:lang w:val="en-US"/>
        </w:rPr>
        <w:tab/>
        <w:t xml:space="preserve">K. Mross, P. Robben-Bathe, L. Edler, J. Baumgart, W. E. Berdel, H. Fiebig and C. Unger, </w:t>
      </w:r>
      <w:r w:rsidRPr="007C45C4">
        <w:rPr>
          <w:rFonts w:ascii="Calibri" w:hAnsi="Calibri" w:cs="Calibri"/>
          <w:i/>
          <w:iCs/>
          <w:noProof/>
          <w:sz w:val="18"/>
          <w:lang w:val="en-US"/>
        </w:rPr>
        <w:t>Oncol. Res. Treat.</w:t>
      </w:r>
      <w:r w:rsidRPr="007C45C4">
        <w:rPr>
          <w:rFonts w:ascii="Calibri" w:hAnsi="Calibri" w:cs="Calibri"/>
          <w:noProof/>
          <w:sz w:val="18"/>
          <w:lang w:val="en-US"/>
        </w:rPr>
        <w:t xml:space="preserve">, 2000, </w:t>
      </w:r>
      <w:r w:rsidRPr="007C45C4">
        <w:rPr>
          <w:rFonts w:ascii="Calibri" w:hAnsi="Calibri" w:cs="Calibri"/>
          <w:b/>
          <w:bCs/>
          <w:noProof/>
          <w:sz w:val="18"/>
          <w:lang w:val="en-US"/>
        </w:rPr>
        <w:t>23</w:t>
      </w:r>
      <w:r w:rsidRPr="007C45C4">
        <w:rPr>
          <w:rFonts w:ascii="Calibri" w:hAnsi="Calibri" w:cs="Calibri"/>
          <w:noProof/>
          <w:sz w:val="18"/>
          <w:lang w:val="en-US"/>
        </w:rPr>
        <w:t>, 576–579.</w:t>
      </w:r>
    </w:p>
    <w:p w14:paraId="68E6CC4F"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6</w:t>
      </w:r>
      <w:r w:rsidRPr="007C45C4">
        <w:rPr>
          <w:rFonts w:ascii="Calibri" w:hAnsi="Calibri" w:cs="Calibri"/>
          <w:noProof/>
          <w:sz w:val="18"/>
          <w:lang w:val="en-US"/>
        </w:rPr>
        <w:tab/>
        <w:t xml:space="preserve">C. V Christodoulou, D. R. Ferry, D. W. Fyfe, A. Young, J. Doran, T. M. Sheehan, A. Eliopoulos, K. Hale, J. Baumgart, G. Sass and D. J. Kerr, </w:t>
      </w:r>
      <w:r w:rsidRPr="007C45C4">
        <w:rPr>
          <w:rFonts w:ascii="Calibri" w:hAnsi="Calibri" w:cs="Calibri"/>
          <w:i/>
          <w:iCs/>
          <w:noProof/>
          <w:sz w:val="18"/>
          <w:lang w:val="en-US"/>
        </w:rPr>
        <w:t>J. Clin. Oncol.</w:t>
      </w:r>
      <w:r w:rsidRPr="007C45C4">
        <w:rPr>
          <w:rFonts w:ascii="Calibri" w:hAnsi="Calibri" w:cs="Calibri"/>
          <w:noProof/>
          <w:sz w:val="18"/>
          <w:lang w:val="en-US"/>
        </w:rPr>
        <w:t xml:space="preserve">, 1998, </w:t>
      </w:r>
      <w:r w:rsidRPr="007C45C4">
        <w:rPr>
          <w:rFonts w:ascii="Calibri" w:hAnsi="Calibri" w:cs="Calibri"/>
          <w:b/>
          <w:bCs/>
          <w:noProof/>
          <w:sz w:val="18"/>
          <w:lang w:val="en-US"/>
        </w:rPr>
        <w:t>16</w:t>
      </w:r>
      <w:r w:rsidRPr="007C45C4">
        <w:rPr>
          <w:rFonts w:ascii="Calibri" w:hAnsi="Calibri" w:cs="Calibri"/>
          <w:noProof/>
          <w:sz w:val="18"/>
          <w:lang w:val="en-US"/>
        </w:rPr>
        <w:t>, 2761–2769.</w:t>
      </w:r>
    </w:p>
    <w:p w14:paraId="7938D1DB"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7</w:t>
      </w:r>
      <w:r w:rsidRPr="007C45C4">
        <w:rPr>
          <w:rFonts w:ascii="Calibri" w:hAnsi="Calibri" w:cs="Calibri"/>
          <w:noProof/>
          <w:sz w:val="18"/>
          <w:lang w:val="en-US"/>
        </w:rPr>
        <w:tab/>
        <w:t xml:space="preserve">G. Lümmen, H. Sperling, H. Luboldt, T. Otto and H. Rübben, </w:t>
      </w:r>
      <w:r w:rsidRPr="007C45C4">
        <w:rPr>
          <w:rFonts w:ascii="Calibri" w:hAnsi="Calibri" w:cs="Calibri"/>
          <w:i/>
          <w:iCs/>
          <w:noProof/>
          <w:sz w:val="18"/>
          <w:lang w:val="en-US"/>
        </w:rPr>
        <w:t>Cancer Chemother. Pharmacol.</w:t>
      </w:r>
      <w:r w:rsidRPr="007C45C4">
        <w:rPr>
          <w:rFonts w:ascii="Calibri" w:hAnsi="Calibri" w:cs="Calibri"/>
          <w:noProof/>
          <w:sz w:val="18"/>
          <w:lang w:val="en-US"/>
        </w:rPr>
        <w:t xml:space="preserve">, 1998, </w:t>
      </w:r>
      <w:r w:rsidRPr="007C45C4">
        <w:rPr>
          <w:rFonts w:ascii="Calibri" w:hAnsi="Calibri" w:cs="Calibri"/>
          <w:b/>
          <w:bCs/>
          <w:noProof/>
          <w:sz w:val="18"/>
          <w:lang w:val="en-US"/>
        </w:rPr>
        <w:t>42</w:t>
      </w:r>
      <w:r w:rsidRPr="007C45C4">
        <w:rPr>
          <w:rFonts w:ascii="Calibri" w:hAnsi="Calibri" w:cs="Calibri"/>
          <w:noProof/>
          <w:sz w:val="18"/>
          <w:lang w:val="en-US"/>
        </w:rPr>
        <w:t>, 415–417.</w:t>
      </w:r>
    </w:p>
    <w:p w14:paraId="13D7B2A0"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8</w:t>
      </w:r>
      <w:r w:rsidRPr="007C45C4">
        <w:rPr>
          <w:rFonts w:ascii="Calibri" w:hAnsi="Calibri" w:cs="Calibri"/>
          <w:noProof/>
          <w:sz w:val="18"/>
          <w:lang w:val="en-US"/>
        </w:rPr>
        <w:tab/>
        <w:t xml:space="preserve">N. Kröger, U. R. Kleeberg, K. Mross, L. Edler and D. K. Hossfeld, </w:t>
      </w:r>
      <w:r w:rsidRPr="007C45C4">
        <w:rPr>
          <w:rFonts w:ascii="Calibri" w:hAnsi="Calibri" w:cs="Calibri"/>
          <w:i/>
          <w:iCs/>
          <w:noProof/>
          <w:sz w:val="18"/>
          <w:lang w:val="en-US"/>
        </w:rPr>
        <w:t>Oncol. Res. Treat.</w:t>
      </w:r>
      <w:r w:rsidRPr="007C45C4">
        <w:rPr>
          <w:rFonts w:ascii="Calibri" w:hAnsi="Calibri" w:cs="Calibri"/>
          <w:noProof/>
          <w:sz w:val="18"/>
          <w:lang w:val="en-US"/>
        </w:rPr>
        <w:t xml:space="preserve">, 2000, </w:t>
      </w:r>
      <w:r w:rsidRPr="007C45C4">
        <w:rPr>
          <w:rFonts w:ascii="Calibri" w:hAnsi="Calibri" w:cs="Calibri"/>
          <w:b/>
          <w:bCs/>
          <w:noProof/>
          <w:sz w:val="18"/>
          <w:lang w:val="en-US"/>
        </w:rPr>
        <w:t>23</w:t>
      </w:r>
      <w:r w:rsidRPr="007C45C4">
        <w:rPr>
          <w:rFonts w:ascii="Calibri" w:hAnsi="Calibri" w:cs="Calibri"/>
          <w:noProof/>
          <w:sz w:val="18"/>
          <w:lang w:val="en-US"/>
        </w:rPr>
        <w:t>, 60–62.</w:t>
      </w:r>
    </w:p>
    <w:p w14:paraId="54EC6589"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9</w:t>
      </w:r>
      <w:r w:rsidRPr="007C45C4">
        <w:rPr>
          <w:rFonts w:ascii="Calibri" w:hAnsi="Calibri" w:cs="Calibri"/>
          <w:noProof/>
          <w:sz w:val="18"/>
          <w:lang w:val="en-US"/>
        </w:rPr>
        <w:tab/>
        <w:t xml:space="preserve">Q. Nadeem, D. Can, Y. Shen, M. Felber, Z. Mahmood and R. Alberto, </w:t>
      </w:r>
      <w:r w:rsidRPr="007C45C4">
        <w:rPr>
          <w:rFonts w:ascii="Calibri" w:hAnsi="Calibri" w:cs="Calibri"/>
          <w:i/>
          <w:iCs/>
          <w:noProof/>
          <w:sz w:val="18"/>
          <w:lang w:val="en-US"/>
        </w:rPr>
        <w:t>Org. Biomol. Chem.</w:t>
      </w:r>
      <w:r w:rsidRPr="007C45C4">
        <w:rPr>
          <w:rFonts w:ascii="Calibri" w:hAnsi="Calibri" w:cs="Calibri"/>
          <w:noProof/>
          <w:sz w:val="18"/>
          <w:lang w:val="en-US"/>
        </w:rPr>
        <w:t xml:space="preserve">, 2014, </w:t>
      </w:r>
      <w:r w:rsidRPr="007C45C4">
        <w:rPr>
          <w:rFonts w:ascii="Calibri" w:hAnsi="Calibri" w:cs="Calibri"/>
          <w:b/>
          <w:bCs/>
          <w:noProof/>
          <w:sz w:val="18"/>
          <w:lang w:val="en-US"/>
        </w:rPr>
        <w:t>12</w:t>
      </w:r>
      <w:r w:rsidRPr="007C45C4">
        <w:rPr>
          <w:rFonts w:ascii="Calibri" w:hAnsi="Calibri" w:cs="Calibri"/>
          <w:noProof/>
          <w:sz w:val="18"/>
          <w:lang w:val="en-US"/>
        </w:rPr>
        <w:t>, 1966–1974.</w:t>
      </w:r>
    </w:p>
    <w:p w14:paraId="0C002891"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10</w:t>
      </w:r>
      <w:r w:rsidRPr="007C45C4">
        <w:rPr>
          <w:rFonts w:ascii="Calibri" w:hAnsi="Calibri" w:cs="Calibri"/>
          <w:noProof/>
          <w:sz w:val="18"/>
          <w:lang w:val="en-US"/>
        </w:rPr>
        <w:tab/>
        <w:t xml:space="preserve">G. Jaouen, A. Vessières and S. Top, </w:t>
      </w:r>
      <w:r w:rsidRPr="007C45C4">
        <w:rPr>
          <w:rFonts w:ascii="Calibri" w:hAnsi="Calibri" w:cs="Calibri"/>
          <w:i/>
          <w:iCs/>
          <w:noProof/>
          <w:sz w:val="18"/>
          <w:lang w:val="en-US"/>
        </w:rPr>
        <w:t>Chem. Soc. Rev.</w:t>
      </w:r>
      <w:r w:rsidRPr="007C45C4">
        <w:rPr>
          <w:rFonts w:ascii="Calibri" w:hAnsi="Calibri" w:cs="Calibri"/>
          <w:noProof/>
          <w:sz w:val="18"/>
          <w:lang w:val="en-US"/>
        </w:rPr>
        <w:t xml:space="preserve">, 2015, </w:t>
      </w:r>
      <w:r w:rsidRPr="007C45C4">
        <w:rPr>
          <w:rFonts w:ascii="Calibri" w:hAnsi="Calibri" w:cs="Calibri"/>
          <w:b/>
          <w:bCs/>
          <w:noProof/>
          <w:sz w:val="18"/>
          <w:lang w:val="en-US"/>
        </w:rPr>
        <w:t>44</w:t>
      </w:r>
      <w:r w:rsidRPr="007C45C4">
        <w:rPr>
          <w:rFonts w:ascii="Calibri" w:hAnsi="Calibri" w:cs="Calibri"/>
          <w:noProof/>
          <w:sz w:val="18"/>
          <w:lang w:val="en-US"/>
        </w:rPr>
        <w:t>, 8802–8817.</w:t>
      </w:r>
    </w:p>
    <w:p w14:paraId="7D20F673"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11</w:t>
      </w:r>
      <w:r w:rsidRPr="007C45C4">
        <w:rPr>
          <w:rFonts w:ascii="Calibri" w:hAnsi="Calibri" w:cs="Calibri"/>
          <w:noProof/>
          <w:sz w:val="18"/>
          <w:lang w:val="en-US"/>
        </w:rPr>
        <w:tab/>
        <w:t xml:space="preserve">Z. Liu and P. J. Sadler, </w:t>
      </w:r>
      <w:r w:rsidRPr="007C45C4">
        <w:rPr>
          <w:rFonts w:ascii="Calibri" w:hAnsi="Calibri" w:cs="Calibri"/>
          <w:i/>
          <w:iCs/>
          <w:noProof/>
          <w:sz w:val="18"/>
          <w:lang w:val="en-US"/>
        </w:rPr>
        <w:t>Acc. Chem. Res.</w:t>
      </w:r>
      <w:r w:rsidRPr="007C45C4">
        <w:rPr>
          <w:rFonts w:ascii="Calibri" w:hAnsi="Calibri" w:cs="Calibri"/>
          <w:noProof/>
          <w:sz w:val="18"/>
          <w:lang w:val="en-US"/>
        </w:rPr>
        <w:t xml:space="preserve">, 2014, </w:t>
      </w:r>
      <w:r w:rsidRPr="007C45C4">
        <w:rPr>
          <w:rFonts w:ascii="Calibri" w:hAnsi="Calibri" w:cs="Calibri"/>
          <w:b/>
          <w:bCs/>
          <w:noProof/>
          <w:sz w:val="18"/>
          <w:lang w:val="en-US"/>
        </w:rPr>
        <w:t>47</w:t>
      </w:r>
      <w:r w:rsidRPr="007C45C4">
        <w:rPr>
          <w:rFonts w:ascii="Calibri" w:hAnsi="Calibri" w:cs="Calibri"/>
          <w:noProof/>
          <w:sz w:val="18"/>
          <w:lang w:val="en-US"/>
        </w:rPr>
        <w:t>, 1174–</w:t>
      </w:r>
      <w:r w:rsidRPr="007C45C4">
        <w:rPr>
          <w:rFonts w:ascii="Calibri" w:hAnsi="Calibri" w:cs="Calibri"/>
          <w:noProof/>
          <w:sz w:val="18"/>
          <w:lang w:val="en-US"/>
        </w:rPr>
        <w:lastRenderedPageBreak/>
        <w:t>1185.</w:t>
      </w:r>
    </w:p>
    <w:p w14:paraId="749B8752"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12</w:t>
      </w:r>
      <w:r w:rsidRPr="007C45C4">
        <w:rPr>
          <w:rFonts w:ascii="Calibri" w:hAnsi="Calibri" w:cs="Calibri"/>
          <w:noProof/>
          <w:sz w:val="18"/>
          <w:lang w:val="en-US"/>
        </w:rPr>
        <w:tab/>
        <w:t xml:space="preserve">J. Honzíček, J. Vinklárek, M. Erben, Z. Padělková, L. Šebestová and M. Řezáčová, </w:t>
      </w:r>
      <w:r w:rsidRPr="007C45C4">
        <w:rPr>
          <w:rFonts w:ascii="Calibri" w:hAnsi="Calibri" w:cs="Calibri"/>
          <w:i/>
          <w:iCs/>
          <w:noProof/>
          <w:sz w:val="18"/>
          <w:lang w:val="en-US"/>
        </w:rPr>
        <w:t>J. Organomet. Chem.</w:t>
      </w:r>
      <w:r w:rsidRPr="007C45C4">
        <w:rPr>
          <w:rFonts w:ascii="Calibri" w:hAnsi="Calibri" w:cs="Calibri"/>
          <w:noProof/>
          <w:sz w:val="18"/>
          <w:lang w:val="en-US"/>
        </w:rPr>
        <w:t xml:space="preserve">, 2014, </w:t>
      </w:r>
      <w:r w:rsidRPr="007C45C4">
        <w:rPr>
          <w:rFonts w:ascii="Calibri" w:hAnsi="Calibri" w:cs="Calibri"/>
          <w:b/>
          <w:bCs/>
          <w:noProof/>
          <w:sz w:val="18"/>
          <w:lang w:val="en-US"/>
        </w:rPr>
        <w:t>749</w:t>
      </w:r>
      <w:r w:rsidRPr="007C45C4">
        <w:rPr>
          <w:rFonts w:ascii="Calibri" w:hAnsi="Calibri" w:cs="Calibri"/>
          <w:noProof/>
          <w:sz w:val="18"/>
          <w:lang w:val="en-US"/>
        </w:rPr>
        <w:t>, 387–393.</w:t>
      </w:r>
    </w:p>
    <w:p w14:paraId="0DA34436"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13</w:t>
      </w:r>
      <w:r w:rsidRPr="007C45C4">
        <w:rPr>
          <w:rFonts w:ascii="Calibri" w:hAnsi="Calibri" w:cs="Calibri"/>
          <w:noProof/>
          <w:sz w:val="18"/>
          <w:lang w:val="en-US"/>
        </w:rPr>
        <w:tab/>
        <w:t xml:space="preserve">J. Honzíček, I. Honzíčková, J. Vinklárek and Z. Růžičková, </w:t>
      </w:r>
      <w:r w:rsidRPr="007C45C4">
        <w:rPr>
          <w:rFonts w:ascii="Calibri" w:hAnsi="Calibri" w:cs="Calibri"/>
          <w:i/>
          <w:iCs/>
          <w:noProof/>
          <w:sz w:val="18"/>
          <w:lang w:val="en-US"/>
        </w:rPr>
        <w:t>J. Organomet. Chem.</w:t>
      </w:r>
      <w:r w:rsidRPr="007C45C4">
        <w:rPr>
          <w:rFonts w:ascii="Calibri" w:hAnsi="Calibri" w:cs="Calibri"/>
          <w:noProof/>
          <w:sz w:val="18"/>
          <w:lang w:val="en-US"/>
        </w:rPr>
        <w:t xml:space="preserve">, 2014, </w:t>
      </w:r>
      <w:r w:rsidRPr="007C45C4">
        <w:rPr>
          <w:rFonts w:ascii="Calibri" w:hAnsi="Calibri" w:cs="Calibri"/>
          <w:b/>
          <w:bCs/>
          <w:noProof/>
          <w:sz w:val="18"/>
          <w:lang w:val="en-US"/>
        </w:rPr>
        <w:t>772</w:t>
      </w:r>
      <w:r w:rsidRPr="007C45C4">
        <w:rPr>
          <w:rFonts w:ascii="Calibri" w:hAnsi="Calibri" w:cs="Calibri"/>
          <w:noProof/>
          <w:sz w:val="18"/>
          <w:lang w:val="en-US"/>
        </w:rPr>
        <w:t>–</w:t>
      </w:r>
      <w:r w:rsidRPr="007C45C4">
        <w:rPr>
          <w:rFonts w:ascii="Calibri" w:hAnsi="Calibri" w:cs="Calibri"/>
          <w:b/>
          <w:bCs/>
          <w:noProof/>
          <w:sz w:val="18"/>
          <w:lang w:val="en-US"/>
        </w:rPr>
        <w:t>773</w:t>
      </w:r>
      <w:r w:rsidRPr="007C45C4">
        <w:rPr>
          <w:rFonts w:ascii="Calibri" w:hAnsi="Calibri" w:cs="Calibri"/>
          <w:noProof/>
          <w:sz w:val="18"/>
          <w:lang w:val="en-US"/>
        </w:rPr>
        <w:t>, 299–306.</w:t>
      </w:r>
    </w:p>
    <w:p w14:paraId="4B7C82FD"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14</w:t>
      </w:r>
      <w:r w:rsidRPr="007C45C4">
        <w:rPr>
          <w:rFonts w:ascii="Calibri" w:hAnsi="Calibri" w:cs="Calibri"/>
          <w:noProof/>
          <w:sz w:val="18"/>
          <w:lang w:val="en-US"/>
        </w:rPr>
        <w:tab/>
        <w:t xml:space="preserve">J. Honzíček, J. Vinklárek, Z. Padělková, L. Šebestová, K. Foltánová and M. Řezáčová, </w:t>
      </w:r>
      <w:r w:rsidRPr="007C45C4">
        <w:rPr>
          <w:rFonts w:ascii="Calibri" w:hAnsi="Calibri" w:cs="Calibri"/>
          <w:i/>
          <w:iCs/>
          <w:noProof/>
          <w:sz w:val="18"/>
          <w:lang w:val="en-US"/>
        </w:rPr>
        <w:t>J. Organomet. Chem.</w:t>
      </w:r>
      <w:r w:rsidRPr="007C45C4">
        <w:rPr>
          <w:rFonts w:ascii="Calibri" w:hAnsi="Calibri" w:cs="Calibri"/>
          <w:noProof/>
          <w:sz w:val="18"/>
          <w:lang w:val="en-US"/>
        </w:rPr>
        <w:t xml:space="preserve">, 2012, </w:t>
      </w:r>
      <w:r w:rsidRPr="007C45C4">
        <w:rPr>
          <w:rFonts w:ascii="Calibri" w:hAnsi="Calibri" w:cs="Calibri"/>
          <w:b/>
          <w:bCs/>
          <w:noProof/>
          <w:sz w:val="18"/>
          <w:lang w:val="en-US"/>
        </w:rPr>
        <w:t>716</w:t>
      </w:r>
      <w:r w:rsidRPr="007C45C4">
        <w:rPr>
          <w:rFonts w:ascii="Calibri" w:hAnsi="Calibri" w:cs="Calibri"/>
          <w:noProof/>
          <w:sz w:val="18"/>
          <w:lang w:val="en-US"/>
        </w:rPr>
        <w:t>, 258–268.</w:t>
      </w:r>
    </w:p>
    <w:p w14:paraId="02BA06AB"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15</w:t>
      </w:r>
      <w:r w:rsidRPr="007C45C4">
        <w:rPr>
          <w:rFonts w:ascii="Calibri" w:hAnsi="Calibri" w:cs="Calibri"/>
          <w:noProof/>
          <w:sz w:val="18"/>
          <w:lang w:val="en-US"/>
        </w:rPr>
        <w:tab/>
        <w:t xml:space="preserve">J. Vinklárek, H. Hurychová, J. Honzíček, L. Šebestová, Z. Padělková and M. Řezáčová, </w:t>
      </w:r>
      <w:r w:rsidRPr="007C45C4">
        <w:rPr>
          <w:rFonts w:ascii="Calibri" w:hAnsi="Calibri" w:cs="Calibri"/>
          <w:i/>
          <w:iCs/>
          <w:noProof/>
          <w:sz w:val="18"/>
          <w:lang w:val="en-US"/>
        </w:rPr>
        <w:t>Eur. J. Inorg. Chem.</w:t>
      </w:r>
      <w:r w:rsidRPr="007C45C4">
        <w:rPr>
          <w:rFonts w:ascii="Calibri" w:hAnsi="Calibri" w:cs="Calibri"/>
          <w:noProof/>
          <w:sz w:val="18"/>
          <w:lang w:val="en-US"/>
        </w:rPr>
        <w:t xml:space="preserve">, 2013, </w:t>
      </w:r>
      <w:r w:rsidRPr="007C45C4">
        <w:rPr>
          <w:rFonts w:ascii="Calibri" w:hAnsi="Calibri" w:cs="Calibri"/>
          <w:b/>
          <w:bCs/>
          <w:noProof/>
          <w:sz w:val="18"/>
          <w:lang w:val="en-US"/>
        </w:rPr>
        <w:t>2013</w:t>
      </w:r>
      <w:r w:rsidRPr="007C45C4">
        <w:rPr>
          <w:rFonts w:ascii="Calibri" w:hAnsi="Calibri" w:cs="Calibri"/>
          <w:noProof/>
          <w:sz w:val="18"/>
          <w:lang w:val="en-US"/>
        </w:rPr>
        <w:t>, 2665–2672.</w:t>
      </w:r>
    </w:p>
    <w:p w14:paraId="359E9108"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16</w:t>
      </w:r>
      <w:r w:rsidRPr="007C45C4">
        <w:rPr>
          <w:rFonts w:ascii="Calibri" w:hAnsi="Calibri" w:cs="Calibri"/>
          <w:noProof/>
          <w:sz w:val="18"/>
          <w:lang w:val="en-US"/>
        </w:rPr>
        <w:tab/>
        <w:t xml:space="preserve">O. Mrózek, L. Šebestová, J. Vinklárek, M. Řezáčová, A. Eisner, Z. Růžičková and J. Honzíček, </w:t>
      </w:r>
      <w:r w:rsidRPr="007C45C4">
        <w:rPr>
          <w:rFonts w:ascii="Calibri" w:hAnsi="Calibri" w:cs="Calibri"/>
          <w:i/>
          <w:iCs/>
          <w:noProof/>
          <w:sz w:val="18"/>
          <w:lang w:val="en-US"/>
        </w:rPr>
        <w:t>Eur. J. Inorg. Chem.</w:t>
      </w:r>
      <w:r w:rsidRPr="007C45C4">
        <w:rPr>
          <w:rFonts w:ascii="Calibri" w:hAnsi="Calibri" w:cs="Calibri"/>
          <w:noProof/>
          <w:sz w:val="18"/>
          <w:lang w:val="en-US"/>
        </w:rPr>
        <w:t xml:space="preserve">, 2016, </w:t>
      </w:r>
      <w:r w:rsidRPr="007C45C4">
        <w:rPr>
          <w:rFonts w:ascii="Calibri" w:hAnsi="Calibri" w:cs="Calibri"/>
          <w:b/>
          <w:bCs/>
          <w:noProof/>
          <w:sz w:val="18"/>
          <w:lang w:val="en-US"/>
        </w:rPr>
        <w:t>2016</w:t>
      </w:r>
      <w:r w:rsidRPr="007C45C4">
        <w:rPr>
          <w:rFonts w:ascii="Calibri" w:hAnsi="Calibri" w:cs="Calibri"/>
          <w:noProof/>
          <w:sz w:val="18"/>
          <w:lang w:val="en-US"/>
        </w:rPr>
        <w:t>, 519–529.</w:t>
      </w:r>
    </w:p>
    <w:p w14:paraId="1F2EC19E"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17</w:t>
      </w:r>
      <w:r w:rsidRPr="007C45C4">
        <w:rPr>
          <w:rFonts w:ascii="Calibri" w:hAnsi="Calibri" w:cs="Calibri"/>
          <w:noProof/>
          <w:sz w:val="18"/>
          <w:lang w:val="en-US"/>
        </w:rPr>
        <w:tab/>
        <w:t xml:space="preserve">M. Ghanei and A. A. Harandi, </w:t>
      </w:r>
      <w:r w:rsidRPr="007C45C4">
        <w:rPr>
          <w:rFonts w:ascii="Calibri" w:hAnsi="Calibri" w:cs="Calibri"/>
          <w:i/>
          <w:iCs/>
          <w:noProof/>
          <w:sz w:val="18"/>
          <w:lang w:val="en-US"/>
        </w:rPr>
        <w:t>Inhal. Toxicol.</w:t>
      </w:r>
      <w:r w:rsidRPr="007C45C4">
        <w:rPr>
          <w:rFonts w:ascii="Calibri" w:hAnsi="Calibri" w:cs="Calibri"/>
          <w:noProof/>
          <w:sz w:val="18"/>
          <w:lang w:val="en-US"/>
        </w:rPr>
        <w:t xml:space="preserve">, 2007, </w:t>
      </w:r>
      <w:r w:rsidRPr="007C45C4">
        <w:rPr>
          <w:rFonts w:ascii="Calibri" w:hAnsi="Calibri" w:cs="Calibri"/>
          <w:b/>
          <w:bCs/>
          <w:noProof/>
          <w:sz w:val="18"/>
          <w:lang w:val="en-US"/>
        </w:rPr>
        <w:t>19</w:t>
      </w:r>
      <w:r w:rsidRPr="007C45C4">
        <w:rPr>
          <w:rFonts w:ascii="Calibri" w:hAnsi="Calibri" w:cs="Calibri"/>
          <w:noProof/>
          <w:sz w:val="18"/>
          <w:lang w:val="en-US"/>
        </w:rPr>
        <w:t>, 451–456.</w:t>
      </w:r>
    </w:p>
    <w:p w14:paraId="5FC68F7B"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18</w:t>
      </w:r>
      <w:r w:rsidRPr="007C45C4">
        <w:rPr>
          <w:rFonts w:ascii="Calibri" w:hAnsi="Calibri" w:cs="Calibri"/>
          <w:noProof/>
          <w:sz w:val="18"/>
          <w:lang w:val="en-US"/>
        </w:rPr>
        <w:tab/>
        <w:t xml:space="preserve">S. I. Smith, F. S. Guziec Jr., L. Guziec and J. S. Brodbelt, </w:t>
      </w:r>
      <w:r w:rsidRPr="007C45C4">
        <w:rPr>
          <w:rFonts w:ascii="Calibri" w:hAnsi="Calibri" w:cs="Calibri"/>
          <w:i/>
          <w:iCs/>
          <w:noProof/>
          <w:sz w:val="18"/>
          <w:lang w:val="en-US"/>
        </w:rPr>
        <w:t>Analyst</w:t>
      </w:r>
      <w:r w:rsidRPr="007C45C4">
        <w:rPr>
          <w:rFonts w:ascii="Calibri" w:hAnsi="Calibri" w:cs="Calibri"/>
          <w:noProof/>
          <w:sz w:val="18"/>
          <w:lang w:val="en-US"/>
        </w:rPr>
        <w:t xml:space="preserve">, 2009, </w:t>
      </w:r>
      <w:r w:rsidRPr="007C45C4">
        <w:rPr>
          <w:rFonts w:ascii="Calibri" w:hAnsi="Calibri" w:cs="Calibri"/>
          <w:b/>
          <w:bCs/>
          <w:noProof/>
          <w:sz w:val="18"/>
          <w:lang w:val="en-US"/>
        </w:rPr>
        <w:t>134</w:t>
      </w:r>
      <w:r w:rsidRPr="007C45C4">
        <w:rPr>
          <w:rFonts w:ascii="Calibri" w:hAnsi="Calibri" w:cs="Calibri"/>
          <w:noProof/>
          <w:sz w:val="18"/>
          <w:lang w:val="en-US"/>
        </w:rPr>
        <w:t>, 2058–2066.</w:t>
      </w:r>
    </w:p>
    <w:p w14:paraId="5F7B4DA7"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19</w:t>
      </w:r>
      <w:r w:rsidRPr="007C45C4">
        <w:rPr>
          <w:rFonts w:ascii="Calibri" w:hAnsi="Calibri" w:cs="Calibri"/>
          <w:noProof/>
          <w:sz w:val="18"/>
          <w:lang w:val="en-US"/>
        </w:rPr>
        <w:tab/>
        <w:t xml:space="preserve">K. Strohfeldt and M. Tacke, </w:t>
      </w:r>
      <w:r w:rsidRPr="007C45C4">
        <w:rPr>
          <w:rFonts w:ascii="Calibri" w:hAnsi="Calibri" w:cs="Calibri"/>
          <w:i/>
          <w:iCs/>
          <w:noProof/>
          <w:sz w:val="18"/>
          <w:lang w:val="en-US"/>
        </w:rPr>
        <w:t>Chem. Soc. Rev.</w:t>
      </w:r>
      <w:r w:rsidRPr="007C45C4">
        <w:rPr>
          <w:rFonts w:ascii="Calibri" w:hAnsi="Calibri" w:cs="Calibri"/>
          <w:noProof/>
          <w:sz w:val="18"/>
          <w:lang w:val="en-US"/>
        </w:rPr>
        <w:t xml:space="preserve">, 2008, </w:t>
      </w:r>
      <w:r w:rsidRPr="007C45C4">
        <w:rPr>
          <w:rFonts w:ascii="Calibri" w:hAnsi="Calibri" w:cs="Calibri"/>
          <w:b/>
          <w:bCs/>
          <w:noProof/>
          <w:sz w:val="18"/>
          <w:lang w:val="en-US"/>
        </w:rPr>
        <w:t>37</w:t>
      </w:r>
      <w:r w:rsidRPr="007C45C4">
        <w:rPr>
          <w:rFonts w:ascii="Calibri" w:hAnsi="Calibri" w:cs="Calibri"/>
          <w:noProof/>
          <w:sz w:val="18"/>
          <w:lang w:val="en-US"/>
        </w:rPr>
        <w:t>, 1174–1187.</w:t>
      </w:r>
    </w:p>
    <w:p w14:paraId="185EF60F"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20</w:t>
      </w:r>
      <w:r w:rsidRPr="007C45C4">
        <w:rPr>
          <w:rFonts w:ascii="Calibri" w:hAnsi="Calibri" w:cs="Calibri"/>
          <w:noProof/>
          <w:sz w:val="18"/>
          <w:lang w:val="en-US"/>
        </w:rPr>
        <w:tab/>
        <w:t xml:space="preserve">J. Hou, Z. Tan, Y. Yan, Y. He, C. Yang and Y. Li, </w:t>
      </w:r>
      <w:r w:rsidRPr="007C45C4">
        <w:rPr>
          <w:rFonts w:ascii="Calibri" w:hAnsi="Calibri" w:cs="Calibri"/>
          <w:i/>
          <w:iCs/>
          <w:noProof/>
          <w:sz w:val="18"/>
          <w:lang w:val="en-US"/>
        </w:rPr>
        <w:t>J. Am. Chem. Soc.</w:t>
      </w:r>
      <w:r w:rsidRPr="007C45C4">
        <w:rPr>
          <w:rFonts w:ascii="Calibri" w:hAnsi="Calibri" w:cs="Calibri"/>
          <w:noProof/>
          <w:sz w:val="18"/>
          <w:lang w:val="en-US"/>
        </w:rPr>
        <w:t xml:space="preserve">, 2006, </w:t>
      </w:r>
      <w:r w:rsidRPr="007C45C4">
        <w:rPr>
          <w:rFonts w:ascii="Calibri" w:hAnsi="Calibri" w:cs="Calibri"/>
          <w:b/>
          <w:bCs/>
          <w:noProof/>
          <w:sz w:val="18"/>
          <w:lang w:val="en-US"/>
        </w:rPr>
        <w:t>128</w:t>
      </w:r>
      <w:r w:rsidRPr="007C45C4">
        <w:rPr>
          <w:rFonts w:ascii="Calibri" w:hAnsi="Calibri" w:cs="Calibri"/>
          <w:noProof/>
          <w:sz w:val="18"/>
          <w:lang w:val="en-US"/>
        </w:rPr>
        <w:t>, 4911–4916.</w:t>
      </w:r>
    </w:p>
    <w:p w14:paraId="0E1250A1"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21</w:t>
      </w:r>
      <w:r w:rsidRPr="007C45C4">
        <w:rPr>
          <w:rFonts w:ascii="Calibri" w:hAnsi="Calibri" w:cs="Calibri"/>
          <w:noProof/>
          <w:sz w:val="18"/>
          <w:lang w:val="en-US"/>
        </w:rPr>
        <w:tab/>
        <w:t xml:space="preserve">T.-I. Ho and T.-C. Li, </w:t>
      </w:r>
      <w:r w:rsidRPr="007C45C4">
        <w:rPr>
          <w:rFonts w:ascii="Calibri" w:hAnsi="Calibri" w:cs="Calibri"/>
          <w:i/>
          <w:iCs/>
          <w:noProof/>
          <w:sz w:val="18"/>
          <w:lang w:val="en-US"/>
        </w:rPr>
        <w:t>Tetrahedron Lett.</w:t>
      </w:r>
      <w:r w:rsidRPr="007C45C4">
        <w:rPr>
          <w:rFonts w:ascii="Calibri" w:hAnsi="Calibri" w:cs="Calibri"/>
          <w:noProof/>
          <w:sz w:val="18"/>
          <w:lang w:val="en-US"/>
        </w:rPr>
        <w:t xml:space="preserve">, 2004, </w:t>
      </w:r>
      <w:r w:rsidRPr="007C45C4">
        <w:rPr>
          <w:rFonts w:ascii="Calibri" w:hAnsi="Calibri" w:cs="Calibri"/>
          <w:b/>
          <w:bCs/>
          <w:noProof/>
          <w:sz w:val="18"/>
          <w:lang w:val="en-US"/>
        </w:rPr>
        <w:t>45</w:t>
      </w:r>
      <w:r w:rsidRPr="007C45C4">
        <w:rPr>
          <w:rFonts w:ascii="Calibri" w:hAnsi="Calibri" w:cs="Calibri"/>
          <w:noProof/>
          <w:sz w:val="18"/>
          <w:lang w:val="en-US"/>
        </w:rPr>
        <w:t>, 5665–5667.</w:t>
      </w:r>
    </w:p>
    <w:p w14:paraId="6FABE649"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22</w:t>
      </w:r>
      <w:r w:rsidRPr="007C45C4">
        <w:rPr>
          <w:rFonts w:ascii="Calibri" w:hAnsi="Calibri" w:cs="Calibri"/>
          <w:noProof/>
          <w:sz w:val="18"/>
          <w:lang w:val="en-US"/>
        </w:rPr>
        <w:tab/>
        <w:t xml:space="preserve">J. W. Faller, C.-C. Chen, M. J. Mattina and A. Jakubowski, </w:t>
      </w:r>
      <w:r w:rsidRPr="007C45C4">
        <w:rPr>
          <w:rFonts w:ascii="Calibri" w:hAnsi="Calibri" w:cs="Calibri"/>
          <w:i/>
          <w:iCs/>
          <w:noProof/>
          <w:sz w:val="18"/>
          <w:lang w:val="en-US"/>
        </w:rPr>
        <w:t>J. Organomet. Chem.</w:t>
      </w:r>
      <w:r w:rsidRPr="007C45C4">
        <w:rPr>
          <w:rFonts w:ascii="Calibri" w:hAnsi="Calibri" w:cs="Calibri"/>
          <w:noProof/>
          <w:sz w:val="18"/>
          <w:lang w:val="en-US"/>
        </w:rPr>
        <w:t xml:space="preserve">, 1973, </w:t>
      </w:r>
      <w:r w:rsidRPr="007C45C4">
        <w:rPr>
          <w:rFonts w:ascii="Calibri" w:hAnsi="Calibri" w:cs="Calibri"/>
          <w:b/>
          <w:bCs/>
          <w:noProof/>
          <w:sz w:val="18"/>
          <w:lang w:val="en-US"/>
        </w:rPr>
        <w:t>52</w:t>
      </w:r>
      <w:r w:rsidRPr="007C45C4">
        <w:rPr>
          <w:rFonts w:ascii="Calibri" w:hAnsi="Calibri" w:cs="Calibri"/>
          <w:noProof/>
          <w:sz w:val="18"/>
          <w:lang w:val="en-US"/>
        </w:rPr>
        <w:t>, 361–386.</w:t>
      </w:r>
    </w:p>
    <w:p w14:paraId="30AE6865"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23</w:t>
      </w:r>
      <w:r w:rsidRPr="007C45C4">
        <w:rPr>
          <w:rFonts w:ascii="Calibri" w:hAnsi="Calibri" w:cs="Calibri"/>
          <w:noProof/>
          <w:sz w:val="18"/>
          <w:lang w:val="en-US"/>
        </w:rPr>
        <w:tab/>
        <w:t xml:space="preserve">J. Honzíček, J. Vinklárek, M. Erben, J. Lodinský, L. Dostál and Z. Padělková, </w:t>
      </w:r>
      <w:r w:rsidRPr="007C45C4">
        <w:rPr>
          <w:rFonts w:ascii="Calibri" w:hAnsi="Calibri" w:cs="Calibri"/>
          <w:i/>
          <w:iCs/>
          <w:noProof/>
          <w:sz w:val="18"/>
          <w:lang w:val="en-US"/>
        </w:rPr>
        <w:t>Organometallics</w:t>
      </w:r>
      <w:r w:rsidRPr="007C45C4">
        <w:rPr>
          <w:rFonts w:ascii="Calibri" w:hAnsi="Calibri" w:cs="Calibri"/>
          <w:noProof/>
          <w:sz w:val="18"/>
          <w:lang w:val="en-US"/>
        </w:rPr>
        <w:t xml:space="preserve">, 2013, </w:t>
      </w:r>
      <w:r w:rsidRPr="007C45C4">
        <w:rPr>
          <w:rFonts w:ascii="Calibri" w:hAnsi="Calibri" w:cs="Calibri"/>
          <w:b/>
          <w:bCs/>
          <w:noProof/>
          <w:sz w:val="18"/>
          <w:lang w:val="en-US"/>
        </w:rPr>
        <w:t>32</w:t>
      </w:r>
      <w:r w:rsidRPr="007C45C4">
        <w:rPr>
          <w:rFonts w:ascii="Calibri" w:hAnsi="Calibri" w:cs="Calibri"/>
          <w:noProof/>
          <w:sz w:val="18"/>
          <w:lang w:val="en-US"/>
        </w:rPr>
        <w:t>, 3502–3511.</w:t>
      </w:r>
    </w:p>
    <w:p w14:paraId="2DE7B77F"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24</w:t>
      </w:r>
      <w:r w:rsidRPr="007C45C4">
        <w:rPr>
          <w:rFonts w:ascii="Calibri" w:hAnsi="Calibri" w:cs="Calibri"/>
          <w:noProof/>
          <w:sz w:val="18"/>
          <w:lang w:val="en-US"/>
        </w:rPr>
        <w:tab/>
        <w:t xml:space="preserve">O. Mrózek, J. Vinklárek, Z. Růžičková and J. Honzíček, </w:t>
      </w:r>
      <w:r w:rsidRPr="007C45C4">
        <w:rPr>
          <w:rFonts w:ascii="Calibri" w:hAnsi="Calibri" w:cs="Calibri"/>
          <w:i/>
          <w:iCs/>
          <w:noProof/>
          <w:sz w:val="18"/>
          <w:lang w:val="en-US"/>
        </w:rPr>
        <w:t>Eur. J. Inorg. Chem.</w:t>
      </w:r>
      <w:r w:rsidRPr="007C45C4">
        <w:rPr>
          <w:rFonts w:ascii="Calibri" w:hAnsi="Calibri" w:cs="Calibri"/>
          <w:noProof/>
          <w:sz w:val="18"/>
          <w:lang w:val="en-US"/>
        </w:rPr>
        <w:t xml:space="preserve">, 2016, </w:t>
      </w:r>
      <w:r w:rsidRPr="007C45C4">
        <w:rPr>
          <w:rFonts w:ascii="Calibri" w:hAnsi="Calibri" w:cs="Calibri"/>
          <w:b/>
          <w:bCs/>
          <w:noProof/>
          <w:sz w:val="18"/>
          <w:lang w:val="en-US"/>
        </w:rPr>
        <w:t>2016</w:t>
      </w:r>
      <w:r w:rsidRPr="007C45C4">
        <w:rPr>
          <w:rFonts w:ascii="Calibri" w:hAnsi="Calibri" w:cs="Calibri"/>
          <w:noProof/>
          <w:sz w:val="18"/>
          <w:lang w:val="en-US"/>
        </w:rPr>
        <w:t>, 5250–5264.</w:t>
      </w:r>
    </w:p>
    <w:p w14:paraId="2D773D95"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25</w:t>
      </w:r>
      <w:r w:rsidRPr="007C45C4">
        <w:rPr>
          <w:rFonts w:ascii="Calibri" w:hAnsi="Calibri" w:cs="Calibri"/>
          <w:noProof/>
          <w:sz w:val="18"/>
          <w:lang w:val="en-US"/>
        </w:rPr>
        <w:tab/>
        <w:t xml:space="preserve">J. Ascenso, I. S. Gonçalves, E. Herdtweck and C. C. Romão, </w:t>
      </w:r>
      <w:r w:rsidRPr="007C45C4">
        <w:rPr>
          <w:rFonts w:ascii="Calibri" w:hAnsi="Calibri" w:cs="Calibri"/>
          <w:i/>
          <w:iCs/>
          <w:noProof/>
          <w:sz w:val="18"/>
          <w:lang w:val="en-US"/>
        </w:rPr>
        <w:t>J. Organomet. Chem.</w:t>
      </w:r>
      <w:r w:rsidRPr="007C45C4">
        <w:rPr>
          <w:rFonts w:ascii="Calibri" w:hAnsi="Calibri" w:cs="Calibri"/>
          <w:noProof/>
          <w:sz w:val="18"/>
          <w:lang w:val="en-US"/>
        </w:rPr>
        <w:t xml:space="preserve">, 1996, </w:t>
      </w:r>
      <w:r w:rsidRPr="007C45C4">
        <w:rPr>
          <w:rFonts w:ascii="Calibri" w:hAnsi="Calibri" w:cs="Calibri"/>
          <w:b/>
          <w:bCs/>
          <w:noProof/>
          <w:sz w:val="18"/>
          <w:lang w:val="en-US"/>
        </w:rPr>
        <w:t>508</w:t>
      </w:r>
      <w:r w:rsidRPr="007C45C4">
        <w:rPr>
          <w:rFonts w:ascii="Calibri" w:hAnsi="Calibri" w:cs="Calibri"/>
          <w:noProof/>
          <w:sz w:val="18"/>
          <w:lang w:val="en-US"/>
        </w:rPr>
        <w:t>, 169–181.</w:t>
      </w:r>
    </w:p>
    <w:p w14:paraId="52824AAE"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26</w:t>
      </w:r>
      <w:r w:rsidRPr="007C45C4">
        <w:rPr>
          <w:rFonts w:ascii="Calibri" w:hAnsi="Calibri" w:cs="Calibri"/>
          <w:noProof/>
          <w:sz w:val="18"/>
          <w:lang w:val="en-US"/>
        </w:rPr>
        <w:tab/>
        <w:t xml:space="preserve">J. Markham, K. Menard and A. Cutler, </w:t>
      </w:r>
      <w:r w:rsidRPr="007C45C4">
        <w:rPr>
          <w:rFonts w:ascii="Calibri" w:hAnsi="Calibri" w:cs="Calibri"/>
          <w:i/>
          <w:iCs/>
          <w:noProof/>
          <w:sz w:val="18"/>
          <w:lang w:val="en-US"/>
        </w:rPr>
        <w:t>Inorg. Chem.</w:t>
      </w:r>
      <w:r w:rsidRPr="007C45C4">
        <w:rPr>
          <w:rFonts w:ascii="Calibri" w:hAnsi="Calibri" w:cs="Calibri"/>
          <w:noProof/>
          <w:sz w:val="18"/>
          <w:lang w:val="en-US"/>
        </w:rPr>
        <w:t xml:space="preserve">, 1985, </w:t>
      </w:r>
      <w:r w:rsidRPr="007C45C4">
        <w:rPr>
          <w:rFonts w:ascii="Calibri" w:hAnsi="Calibri" w:cs="Calibri"/>
          <w:b/>
          <w:bCs/>
          <w:noProof/>
          <w:sz w:val="18"/>
          <w:lang w:val="en-US"/>
        </w:rPr>
        <w:t>24</w:t>
      </w:r>
      <w:r w:rsidRPr="007C45C4">
        <w:rPr>
          <w:rFonts w:ascii="Calibri" w:hAnsi="Calibri" w:cs="Calibri"/>
          <w:noProof/>
          <w:sz w:val="18"/>
          <w:lang w:val="en-US"/>
        </w:rPr>
        <w:t>, 1581–1587.</w:t>
      </w:r>
    </w:p>
    <w:p w14:paraId="6B77CEF9"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27</w:t>
      </w:r>
      <w:r w:rsidRPr="007C45C4">
        <w:rPr>
          <w:rFonts w:ascii="Calibri" w:hAnsi="Calibri" w:cs="Calibri"/>
          <w:noProof/>
          <w:sz w:val="18"/>
          <w:lang w:val="en-US"/>
        </w:rPr>
        <w:tab/>
        <w:t xml:space="preserve">G. R. Fulmer, A. J. M. Miller, N. H. Sherden, H. E. Gottlieb, A. Nudelman, B. M. Stoltz, J. E. Bercaw and K. I. Goldberg, </w:t>
      </w:r>
      <w:r w:rsidRPr="007C45C4">
        <w:rPr>
          <w:rFonts w:ascii="Calibri" w:hAnsi="Calibri" w:cs="Calibri"/>
          <w:i/>
          <w:iCs/>
          <w:noProof/>
          <w:sz w:val="18"/>
          <w:lang w:val="en-US"/>
        </w:rPr>
        <w:t>Organometallics</w:t>
      </w:r>
      <w:r w:rsidRPr="007C45C4">
        <w:rPr>
          <w:rFonts w:ascii="Calibri" w:hAnsi="Calibri" w:cs="Calibri"/>
          <w:noProof/>
          <w:sz w:val="18"/>
          <w:lang w:val="en-US"/>
        </w:rPr>
        <w:t xml:space="preserve">, 2010, </w:t>
      </w:r>
      <w:r w:rsidRPr="007C45C4">
        <w:rPr>
          <w:rFonts w:ascii="Calibri" w:hAnsi="Calibri" w:cs="Calibri"/>
          <w:b/>
          <w:bCs/>
          <w:noProof/>
          <w:sz w:val="18"/>
          <w:lang w:val="en-US"/>
        </w:rPr>
        <w:t>29</w:t>
      </w:r>
      <w:r w:rsidRPr="007C45C4">
        <w:rPr>
          <w:rFonts w:ascii="Calibri" w:hAnsi="Calibri" w:cs="Calibri"/>
          <w:noProof/>
          <w:sz w:val="18"/>
          <w:lang w:val="en-US"/>
        </w:rPr>
        <w:t>, 2176–2179.</w:t>
      </w:r>
    </w:p>
    <w:p w14:paraId="6E4C1785" w14:textId="2E260970"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28</w:t>
      </w:r>
      <w:r w:rsidRPr="007C45C4">
        <w:rPr>
          <w:rFonts w:ascii="Calibri" w:hAnsi="Calibri" w:cs="Calibri"/>
          <w:noProof/>
          <w:sz w:val="18"/>
          <w:lang w:val="en-US"/>
        </w:rPr>
        <w:tab/>
      </w:r>
      <w:r w:rsidR="00B11FCA">
        <w:rPr>
          <w:rFonts w:ascii="Calibri" w:hAnsi="Calibri" w:cs="Calibri"/>
          <w:noProof/>
          <w:sz w:val="18"/>
          <w:lang w:val="en-US"/>
        </w:rPr>
        <w:t>I. Honzíčková</w:t>
      </w:r>
      <w:r w:rsidRPr="007C45C4">
        <w:rPr>
          <w:rFonts w:ascii="Calibri" w:hAnsi="Calibri" w:cs="Calibri"/>
          <w:noProof/>
          <w:sz w:val="18"/>
          <w:lang w:val="en-US"/>
        </w:rPr>
        <w:t xml:space="preserve">, </w:t>
      </w:r>
      <w:r w:rsidR="00B11FCA">
        <w:rPr>
          <w:rFonts w:ascii="Calibri" w:hAnsi="Calibri" w:cs="Calibri"/>
          <w:noProof/>
          <w:sz w:val="18"/>
          <w:lang w:val="en-US"/>
        </w:rPr>
        <w:t>J. Vinklárek</w:t>
      </w:r>
      <w:r w:rsidRPr="007C45C4">
        <w:rPr>
          <w:rFonts w:ascii="Calibri" w:hAnsi="Calibri" w:cs="Calibri"/>
          <w:noProof/>
          <w:sz w:val="18"/>
          <w:lang w:val="en-US"/>
        </w:rPr>
        <w:t xml:space="preserve">, </w:t>
      </w:r>
      <w:r w:rsidR="00B11FCA">
        <w:rPr>
          <w:rFonts w:ascii="Calibri" w:hAnsi="Calibri" w:cs="Calibri"/>
          <w:noProof/>
          <w:sz w:val="18"/>
          <w:lang w:val="en-US"/>
        </w:rPr>
        <w:t>Z. Růžičková</w:t>
      </w:r>
      <w:r w:rsidRPr="007C45C4">
        <w:rPr>
          <w:rFonts w:ascii="Calibri" w:hAnsi="Calibri" w:cs="Calibri"/>
          <w:noProof/>
          <w:sz w:val="18"/>
          <w:lang w:val="en-US"/>
        </w:rPr>
        <w:t xml:space="preserve">, </w:t>
      </w:r>
      <w:r w:rsidR="00B11FCA">
        <w:rPr>
          <w:rFonts w:ascii="Calibri" w:hAnsi="Calibri" w:cs="Calibri"/>
          <w:noProof/>
          <w:sz w:val="18"/>
          <w:lang w:val="en-US"/>
        </w:rPr>
        <w:t xml:space="preserve">M. Řezáčová </w:t>
      </w:r>
      <w:r w:rsidRPr="007C45C4">
        <w:rPr>
          <w:rFonts w:ascii="Calibri" w:hAnsi="Calibri" w:cs="Calibri"/>
          <w:noProof/>
          <w:sz w:val="18"/>
          <w:lang w:val="en-US"/>
        </w:rPr>
        <w:t xml:space="preserve">and </w:t>
      </w:r>
      <w:r w:rsidR="00B11FCA">
        <w:rPr>
          <w:rFonts w:ascii="Calibri" w:hAnsi="Calibri" w:cs="Calibri"/>
          <w:noProof/>
          <w:sz w:val="18"/>
          <w:lang w:val="en-US"/>
        </w:rPr>
        <w:t>J. Honzíček</w:t>
      </w:r>
      <w:r w:rsidRPr="007C45C4">
        <w:rPr>
          <w:rFonts w:ascii="Calibri" w:hAnsi="Calibri" w:cs="Calibri"/>
          <w:noProof/>
          <w:sz w:val="18"/>
          <w:lang w:val="en-US"/>
        </w:rPr>
        <w:t xml:space="preserve">, </w:t>
      </w:r>
      <w:r w:rsidRPr="007C45C4">
        <w:rPr>
          <w:rFonts w:ascii="Calibri" w:hAnsi="Calibri" w:cs="Calibri"/>
          <w:i/>
          <w:iCs/>
          <w:noProof/>
          <w:sz w:val="18"/>
          <w:lang w:val="en-US"/>
        </w:rPr>
        <w:t>Appl. Organomet. Chem.</w:t>
      </w:r>
      <w:r w:rsidRPr="007C45C4">
        <w:rPr>
          <w:rFonts w:ascii="Calibri" w:hAnsi="Calibri" w:cs="Calibri"/>
          <w:noProof/>
          <w:sz w:val="18"/>
          <w:lang w:val="en-US"/>
        </w:rPr>
        <w:t xml:space="preserve">, 2017, </w:t>
      </w:r>
      <w:r w:rsidRPr="007C45C4">
        <w:rPr>
          <w:rFonts w:ascii="Calibri" w:hAnsi="Calibri" w:cs="Calibri"/>
          <w:b/>
          <w:bCs/>
          <w:noProof/>
          <w:sz w:val="18"/>
          <w:lang w:val="en-US"/>
        </w:rPr>
        <w:t>31</w:t>
      </w:r>
      <w:r w:rsidRPr="007C45C4">
        <w:rPr>
          <w:rFonts w:ascii="Calibri" w:hAnsi="Calibri" w:cs="Calibri"/>
          <w:noProof/>
          <w:sz w:val="18"/>
          <w:lang w:val="en-US"/>
        </w:rPr>
        <w:t>, e3759.</w:t>
      </w:r>
    </w:p>
    <w:p w14:paraId="782F4D43"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29</w:t>
      </w:r>
      <w:r w:rsidRPr="007C45C4">
        <w:rPr>
          <w:rFonts w:ascii="Calibri" w:hAnsi="Calibri" w:cs="Calibri"/>
          <w:noProof/>
          <w:sz w:val="18"/>
          <w:lang w:val="en-US"/>
        </w:rPr>
        <w:tab/>
        <w:t xml:space="preserve">D. E. Ryan, D. J. Cardin and F. Hartl, </w:t>
      </w:r>
      <w:r w:rsidRPr="007C45C4">
        <w:rPr>
          <w:rFonts w:ascii="Calibri" w:hAnsi="Calibri" w:cs="Calibri"/>
          <w:i/>
          <w:iCs/>
          <w:noProof/>
          <w:sz w:val="18"/>
          <w:lang w:val="en-US"/>
        </w:rPr>
        <w:t>Coord. Chem. Rev.</w:t>
      </w:r>
      <w:r w:rsidRPr="007C45C4">
        <w:rPr>
          <w:rFonts w:ascii="Calibri" w:hAnsi="Calibri" w:cs="Calibri"/>
          <w:noProof/>
          <w:sz w:val="18"/>
          <w:lang w:val="en-US"/>
        </w:rPr>
        <w:t xml:space="preserve">, 2017, </w:t>
      </w:r>
      <w:r w:rsidRPr="007C45C4">
        <w:rPr>
          <w:rFonts w:ascii="Calibri" w:hAnsi="Calibri" w:cs="Calibri"/>
          <w:b/>
          <w:bCs/>
          <w:noProof/>
          <w:sz w:val="18"/>
          <w:lang w:val="en-US"/>
        </w:rPr>
        <w:t>335</w:t>
      </w:r>
      <w:r w:rsidRPr="007C45C4">
        <w:rPr>
          <w:rFonts w:ascii="Calibri" w:hAnsi="Calibri" w:cs="Calibri"/>
          <w:noProof/>
          <w:sz w:val="18"/>
          <w:lang w:val="en-US"/>
        </w:rPr>
        <w:t>, 103–149.</w:t>
      </w:r>
    </w:p>
    <w:p w14:paraId="49B3FE99" w14:textId="296D5398"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30</w:t>
      </w:r>
      <w:r w:rsidRPr="007C45C4">
        <w:rPr>
          <w:rFonts w:ascii="Calibri" w:hAnsi="Calibri" w:cs="Calibri"/>
          <w:noProof/>
          <w:sz w:val="18"/>
          <w:lang w:val="en-US"/>
        </w:rPr>
        <w:tab/>
        <w:t>J. Lodinsk</w:t>
      </w:r>
      <w:r w:rsidR="00B11FCA">
        <w:rPr>
          <w:rFonts w:ascii="Calibri" w:hAnsi="Calibri" w:cs="Calibri"/>
          <w:noProof/>
          <w:sz w:val="18"/>
          <w:lang w:val="cs-CZ"/>
        </w:rPr>
        <w:t>ý</w:t>
      </w:r>
      <w:r w:rsidRPr="007C45C4">
        <w:rPr>
          <w:rFonts w:ascii="Calibri" w:hAnsi="Calibri" w:cs="Calibri"/>
          <w:noProof/>
          <w:sz w:val="18"/>
          <w:lang w:val="en-US"/>
        </w:rPr>
        <w:t>, J. Vinkl</w:t>
      </w:r>
      <w:r w:rsidR="00B11FCA">
        <w:rPr>
          <w:rFonts w:ascii="Calibri" w:hAnsi="Calibri" w:cs="Calibri"/>
          <w:noProof/>
          <w:sz w:val="18"/>
          <w:lang w:val="en-US"/>
        </w:rPr>
        <w:t>á</w:t>
      </w:r>
      <w:r w:rsidRPr="007C45C4">
        <w:rPr>
          <w:rFonts w:ascii="Calibri" w:hAnsi="Calibri" w:cs="Calibri"/>
          <w:noProof/>
          <w:sz w:val="18"/>
          <w:lang w:val="en-US"/>
        </w:rPr>
        <w:t>rek, L. Dost</w:t>
      </w:r>
      <w:r w:rsidR="00B11FCA">
        <w:rPr>
          <w:rFonts w:ascii="Calibri" w:hAnsi="Calibri" w:cs="Calibri"/>
          <w:noProof/>
          <w:sz w:val="18"/>
          <w:lang w:val="en-US"/>
        </w:rPr>
        <w:t>á</w:t>
      </w:r>
      <w:r w:rsidRPr="007C45C4">
        <w:rPr>
          <w:rFonts w:ascii="Calibri" w:hAnsi="Calibri" w:cs="Calibri"/>
          <w:noProof/>
          <w:sz w:val="18"/>
          <w:lang w:val="en-US"/>
        </w:rPr>
        <w:t>l, Z. R</w:t>
      </w:r>
      <w:r w:rsidR="00B11FCA">
        <w:rPr>
          <w:rFonts w:ascii="Calibri" w:hAnsi="Calibri" w:cs="Calibri"/>
          <w:noProof/>
          <w:sz w:val="18"/>
          <w:lang w:val="en-US"/>
        </w:rPr>
        <w:t>ůž</w:t>
      </w:r>
      <w:r w:rsidRPr="007C45C4">
        <w:rPr>
          <w:rFonts w:ascii="Calibri" w:hAnsi="Calibri" w:cs="Calibri"/>
          <w:noProof/>
          <w:sz w:val="18"/>
          <w:lang w:val="en-US"/>
        </w:rPr>
        <w:t>i</w:t>
      </w:r>
      <w:r w:rsidR="00B11FCA">
        <w:rPr>
          <w:rFonts w:ascii="Calibri" w:hAnsi="Calibri" w:cs="Calibri"/>
          <w:noProof/>
          <w:sz w:val="18"/>
          <w:lang w:val="en-US"/>
        </w:rPr>
        <w:t>č</w:t>
      </w:r>
      <w:r w:rsidRPr="007C45C4">
        <w:rPr>
          <w:rFonts w:ascii="Calibri" w:hAnsi="Calibri" w:cs="Calibri"/>
          <w:noProof/>
          <w:sz w:val="18"/>
          <w:lang w:val="en-US"/>
        </w:rPr>
        <w:t>kov</w:t>
      </w:r>
      <w:r w:rsidR="00B11FCA">
        <w:rPr>
          <w:rFonts w:ascii="Calibri" w:hAnsi="Calibri" w:cs="Calibri"/>
          <w:noProof/>
          <w:sz w:val="18"/>
          <w:lang w:val="en-US"/>
        </w:rPr>
        <w:t>á</w:t>
      </w:r>
      <w:r w:rsidRPr="007C45C4">
        <w:rPr>
          <w:rFonts w:ascii="Calibri" w:hAnsi="Calibri" w:cs="Calibri"/>
          <w:noProof/>
          <w:sz w:val="18"/>
          <w:lang w:val="en-US"/>
        </w:rPr>
        <w:t xml:space="preserve"> and J. Honzicek, </w:t>
      </w:r>
      <w:r w:rsidRPr="007C45C4">
        <w:rPr>
          <w:rFonts w:ascii="Calibri" w:hAnsi="Calibri" w:cs="Calibri"/>
          <w:i/>
          <w:iCs/>
          <w:noProof/>
          <w:sz w:val="18"/>
          <w:lang w:val="en-US"/>
        </w:rPr>
        <w:t>RSC Adv.</w:t>
      </w:r>
      <w:r w:rsidRPr="007C45C4">
        <w:rPr>
          <w:rFonts w:ascii="Calibri" w:hAnsi="Calibri" w:cs="Calibri"/>
          <w:noProof/>
          <w:sz w:val="18"/>
          <w:lang w:val="en-US"/>
        </w:rPr>
        <w:t xml:space="preserve">, 2015, </w:t>
      </w:r>
      <w:r w:rsidRPr="007C45C4">
        <w:rPr>
          <w:rFonts w:ascii="Calibri" w:hAnsi="Calibri" w:cs="Calibri"/>
          <w:b/>
          <w:bCs/>
          <w:noProof/>
          <w:sz w:val="18"/>
          <w:lang w:val="en-US"/>
        </w:rPr>
        <w:t>5</w:t>
      </w:r>
      <w:r w:rsidRPr="007C45C4">
        <w:rPr>
          <w:rFonts w:ascii="Calibri" w:hAnsi="Calibri" w:cs="Calibri"/>
          <w:noProof/>
          <w:sz w:val="18"/>
          <w:lang w:val="en-US"/>
        </w:rPr>
        <w:t>, 27140–27153.</w:t>
      </w:r>
    </w:p>
    <w:p w14:paraId="193B05C8"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31</w:t>
      </w:r>
      <w:r w:rsidRPr="007C45C4">
        <w:rPr>
          <w:rFonts w:ascii="Calibri" w:hAnsi="Calibri" w:cs="Calibri"/>
          <w:noProof/>
          <w:sz w:val="18"/>
          <w:lang w:val="en-US"/>
        </w:rPr>
        <w:tab/>
        <w:t xml:space="preserve">S. M. Bruno, A. C. Gomes, M. Abrantes, A. A. Valente, M. Pillinger and I. S. Gonçalves, </w:t>
      </w:r>
      <w:r w:rsidRPr="007C45C4">
        <w:rPr>
          <w:rFonts w:ascii="Calibri" w:hAnsi="Calibri" w:cs="Calibri"/>
          <w:i/>
          <w:iCs/>
          <w:noProof/>
          <w:sz w:val="18"/>
          <w:lang w:val="en-US"/>
        </w:rPr>
        <w:t>J. Organomet. Chem.</w:t>
      </w:r>
      <w:r w:rsidRPr="007C45C4">
        <w:rPr>
          <w:rFonts w:ascii="Calibri" w:hAnsi="Calibri" w:cs="Calibri"/>
          <w:noProof/>
          <w:sz w:val="18"/>
          <w:lang w:val="en-US"/>
        </w:rPr>
        <w:t xml:space="preserve">, 2015, </w:t>
      </w:r>
      <w:r w:rsidRPr="007C45C4">
        <w:rPr>
          <w:rFonts w:ascii="Calibri" w:hAnsi="Calibri" w:cs="Calibri"/>
          <w:b/>
          <w:bCs/>
          <w:noProof/>
          <w:sz w:val="18"/>
          <w:lang w:val="en-US"/>
        </w:rPr>
        <w:t>799</w:t>
      </w:r>
      <w:r w:rsidRPr="007C45C4">
        <w:rPr>
          <w:rFonts w:ascii="Calibri" w:hAnsi="Calibri" w:cs="Calibri"/>
          <w:noProof/>
          <w:sz w:val="18"/>
          <w:lang w:val="en-US"/>
        </w:rPr>
        <w:t>–</w:t>
      </w:r>
      <w:r w:rsidRPr="007C45C4">
        <w:rPr>
          <w:rFonts w:ascii="Calibri" w:hAnsi="Calibri" w:cs="Calibri"/>
          <w:b/>
          <w:bCs/>
          <w:noProof/>
          <w:sz w:val="18"/>
          <w:lang w:val="en-US"/>
        </w:rPr>
        <w:t>800</w:t>
      </w:r>
      <w:r w:rsidRPr="007C45C4">
        <w:rPr>
          <w:rFonts w:ascii="Calibri" w:hAnsi="Calibri" w:cs="Calibri"/>
          <w:noProof/>
          <w:sz w:val="18"/>
          <w:lang w:val="en-US"/>
        </w:rPr>
        <w:t>, 179–183.</w:t>
      </w:r>
    </w:p>
    <w:p w14:paraId="0859871A"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32</w:t>
      </w:r>
      <w:r w:rsidRPr="007C45C4">
        <w:rPr>
          <w:rFonts w:ascii="Calibri" w:hAnsi="Calibri" w:cs="Calibri"/>
          <w:noProof/>
          <w:sz w:val="18"/>
          <w:lang w:val="en-US"/>
        </w:rPr>
        <w:tab/>
        <w:t xml:space="preserve">I. S. Gonçalves, L. F. Veiros, C. A. Gamelas, C. Cabrita, M. J. Calhorda, C. F. G. C. Geraldes, J. Green, E. Packham, M. G. B. Drew, V. Félix, A. Gil Santos and C. C. Romão, </w:t>
      </w:r>
      <w:r w:rsidRPr="007C45C4">
        <w:rPr>
          <w:rFonts w:ascii="Calibri" w:hAnsi="Calibri" w:cs="Calibri"/>
          <w:i/>
          <w:iCs/>
          <w:noProof/>
          <w:sz w:val="18"/>
          <w:lang w:val="en-US"/>
        </w:rPr>
        <w:t>J. Organomet. Chem.</w:t>
      </w:r>
      <w:r w:rsidRPr="007C45C4">
        <w:rPr>
          <w:rFonts w:ascii="Calibri" w:hAnsi="Calibri" w:cs="Calibri"/>
          <w:noProof/>
          <w:sz w:val="18"/>
          <w:lang w:val="en-US"/>
        </w:rPr>
        <w:t xml:space="preserve">, 2015, </w:t>
      </w:r>
      <w:r w:rsidRPr="007C45C4">
        <w:rPr>
          <w:rFonts w:ascii="Calibri" w:hAnsi="Calibri" w:cs="Calibri"/>
          <w:b/>
          <w:bCs/>
          <w:noProof/>
          <w:sz w:val="18"/>
          <w:lang w:val="en-US"/>
        </w:rPr>
        <w:t>792</w:t>
      </w:r>
      <w:r w:rsidRPr="007C45C4">
        <w:rPr>
          <w:rFonts w:ascii="Calibri" w:hAnsi="Calibri" w:cs="Calibri"/>
          <w:noProof/>
          <w:sz w:val="18"/>
          <w:lang w:val="en-US"/>
        </w:rPr>
        <w:t>, 154–166.</w:t>
      </w:r>
    </w:p>
    <w:p w14:paraId="6DA0A1D2" w14:textId="3847CCB6"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33</w:t>
      </w:r>
      <w:r w:rsidRPr="007C45C4">
        <w:rPr>
          <w:rFonts w:ascii="Calibri" w:hAnsi="Calibri" w:cs="Calibri"/>
          <w:noProof/>
          <w:sz w:val="18"/>
          <w:lang w:val="en-US"/>
        </w:rPr>
        <w:tab/>
        <w:t xml:space="preserve">M. Bottrill and M. Green, </w:t>
      </w:r>
      <w:r w:rsidRPr="007C45C4">
        <w:rPr>
          <w:rFonts w:ascii="Calibri" w:hAnsi="Calibri" w:cs="Calibri"/>
          <w:i/>
          <w:iCs/>
          <w:noProof/>
          <w:sz w:val="18"/>
          <w:lang w:val="en-US"/>
        </w:rPr>
        <w:t>J. Chem. Soc. Dalt</w:t>
      </w:r>
      <w:r w:rsidR="00FC545D">
        <w:rPr>
          <w:rFonts w:ascii="Calibri" w:hAnsi="Calibri" w:cs="Calibri"/>
          <w:i/>
          <w:iCs/>
          <w:noProof/>
          <w:sz w:val="18"/>
          <w:lang w:val="en-US"/>
        </w:rPr>
        <w:t>on</w:t>
      </w:r>
      <w:r w:rsidRPr="007C45C4">
        <w:rPr>
          <w:rFonts w:ascii="Calibri" w:hAnsi="Calibri" w:cs="Calibri"/>
          <w:i/>
          <w:iCs/>
          <w:noProof/>
          <w:sz w:val="18"/>
          <w:lang w:val="en-US"/>
        </w:rPr>
        <w:t xml:space="preserve"> Trans.</w:t>
      </w:r>
      <w:r w:rsidRPr="007C45C4">
        <w:rPr>
          <w:rFonts w:ascii="Calibri" w:hAnsi="Calibri" w:cs="Calibri"/>
          <w:noProof/>
          <w:sz w:val="18"/>
          <w:lang w:val="en-US"/>
        </w:rPr>
        <w:t>, 1977, 2365–2371.</w:t>
      </w:r>
    </w:p>
    <w:p w14:paraId="466CEA07"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34</w:t>
      </w:r>
      <w:r w:rsidRPr="007C45C4">
        <w:rPr>
          <w:rFonts w:ascii="Calibri" w:hAnsi="Calibri" w:cs="Calibri"/>
          <w:noProof/>
          <w:sz w:val="18"/>
          <w:lang w:val="en-US"/>
        </w:rPr>
        <w:tab/>
        <w:t xml:space="preserve">J. W. Faller, R. H. Crabtree and A. Habib, </w:t>
      </w:r>
      <w:r w:rsidRPr="007C45C4">
        <w:rPr>
          <w:rFonts w:ascii="Calibri" w:hAnsi="Calibri" w:cs="Calibri"/>
          <w:i/>
          <w:iCs/>
          <w:noProof/>
          <w:sz w:val="18"/>
          <w:lang w:val="en-US"/>
        </w:rPr>
        <w:t>Organometallics</w:t>
      </w:r>
      <w:r w:rsidRPr="007C45C4">
        <w:rPr>
          <w:rFonts w:ascii="Calibri" w:hAnsi="Calibri" w:cs="Calibri"/>
          <w:noProof/>
          <w:sz w:val="18"/>
          <w:lang w:val="en-US"/>
        </w:rPr>
        <w:t xml:space="preserve">, 1985, </w:t>
      </w:r>
      <w:r w:rsidRPr="007C45C4">
        <w:rPr>
          <w:rFonts w:ascii="Calibri" w:hAnsi="Calibri" w:cs="Calibri"/>
          <w:b/>
          <w:bCs/>
          <w:noProof/>
          <w:sz w:val="18"/>
          <w:lang w:val="en-US"/>
        </w:rPr>
        <w:t>4</w:t>
      </w:r>
      <w:r w:rsidRPr="007C45C4">
        <w:rPr>
          <w:rFonts w:ascii="Calibri" w:hAnsi="Calibri" w:cs="Calibri"/>
          <w:noProof/>
          <w:sz w:val="18"/>
          <w:lang w:val="en-US"/>
        </w:rPr>
        <w:t>, 929–935.</w:t>
      </w:r>
    </w:p>
    <w:p w14:paraId="5B5AE861" w14:textId="1C4A5328"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35</w:t>
      </w:r>
      <w:r w:rsidRPr="007C45C4">
        <w:rPr>
          <w:rFonts w:ascii="Calibri" w:hAnsi="Calibri" w:cs="Calibri"/>
          <w:noProof/>
          <w:sz w:val="18"/>
          <w:lang w:val="en-US"/>
        </w:rPr>
        <w:tab/>
        <w:t>C. A. Gamelas, N. A. G. Bandeira, C. C. L. Pereira, M. J. Calhorda, E. Herdtweck, M. Machuqueiro, C. C. Rom</w:t>
      </w:r>
      <w:r w:rsidR="00FC545D" w:rsidRPr="007C45C4">
        <w:rPr>
          <w:rFonts w:ascii="Calibri" w:hAnsi="Calibri" w:cs="Calibri"/>
          <w:noProof/>
          <w:sz w:val="18"/>
          <w:lang w:val="en-US"/>
        </w:rPr>
        <w:t>ã</w:t>
      </w:r>
      <w:r w:rsidRPr="007C45C4">
        <w:rPr>
          <w:rFonts w:ascii="Calibri" w:hAnsi="Calibri" w:cs="Calibri"/>
          <w:noProof/>
          <w:sz w:val="18"/>
          <w:lang w:val="en-US"/>
        </w:rPr>
        <w:t xml:space="preserve">o and </w:t>
      </w:r>
      <w:r w:rsidRPr="007C45C4">
        <w:rPr>
          <w:rFonts w:ascii="Calibri" w:hAnsi="Calibri" w:cs="Calibri"/>
          <w:noProof/>
          <w:sz w:val="18"/>
          <w:lang w:val="en-US"/>
        </w:rPr>
        <w:t xml:space="preserve">L. F. Veiros, </w:t>
      </w:r>
      <w:r w:rsidRPr="007C45C4">
        <w:rPr>
          <w:rFonts w:ascii="Calibri" w:hAnsi="Calibri" w:cs="Calibri"/>
          <w:i/>
          <w:iCs/>
          <w:noProof/>
          <w:sz w:val="18"/>
          <w:lang w:val="en-US"/>
        </w:rPr>
        <w:t>Dalt</w:t>
      </w:r>
      <w:r w:rsidR="00FC545D">
        <w:rPr>
          <w:rFonts w:ascii="Calibri" w:hAnsi="Calibri" w:cs="Calibri"/>
          <w:i/>
          <w:iCs/>
          <w:noProof/>
          <w:sz w:val="18"/>
          <w:lang w:val="en-US"/>
        </w:rPr>
        <w:t>on</w:t>
      </w:r>
      <w:r w:rsidRPr="007C45C4">
        <w:rPr>
          <w:rFonts w:ascii="Calibri" w:hAnsi="Calibri" w:cs="Calibri"/>
          <w:i/>
          <w:iCs/>
          <w:noProof/>
          <w:sz w:val="18"/>
          <w:lang w:val="en-US"/>
        </w:rPr>
        <w:t xml:space="preserve"> Trans.</w:t>
      </w:r>
      <w:r w:rsidRPr="007C45C4">
        <w:rPr>
          <w:rFonts w:ascii="Calibri" w:hAnsi="Calibri" w:cs="Calibri"/>
          <w:noProof/>
          <w:sz w:val="18"/>
          <w:lang w:val="en-US"/>
        </w:rPr>
        <w:t xml:space="preserve">, 2011, </w:t>
      </w:r>
      <w:r w:rsidRPr="007C45C4">
        <w:rPr>
          <w:rFonts w:ascii="Calibri" w:hAnsi="Calibri" w:cs="Calibri"/>
          <w:b/>
          <w:bCs/>
          <w:noProof/>
          <w:sz w:val="18"/>
          <w:lang w:val="en-US"/>
        </w:rPr>
        <w:t>40</w:t>
      </w:r>
      <w:r w:rsidRPr="007C45C4">
        <w:rPr>
          <w:rFonts w:ascii="Calibri" w:hAnsi="Calibri" w:cs="Calibri"/>
          <w:noProof/>
          <w:sz w:val="18"/>
          <w:lang w:val="en-US"/>
        </w:rPr>
        <w:t>, 10513–10525.</w:t>
      </w:r>
    </w:p>
    <w:p w14:paraId="4991C946"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36</w:t>
      </w:r>
      <w:r w:rsidRPr="007C45C4">
        <w:rPr>
          <w:rFonts w:ascii="Calibri" w:hAnsi="Calibri" w:cs="Calibri"/>
          <w:noProof/>
          <w:sz w:val="18"/>
          <w:lang w:val="en-US"/>
        </w:rPr>
        <w:tab/>
        <w:t xml:space="preserve">L. Šebestová, R. Havelek, M. Řezáčová, J. Honzíček, Z. Kročová and J. Vinklárek, </w:t>
      </w:r>
      <w:r w:rsidRPr="007C45C4">
        <w:rPr>
          <w:rFonts w:ascii="Calibri" w:hAnsi="Calibri" w:cs="Calibri"/>
          <w:i/>
          <w:iCs/>
          <w:noProof/>
          <w:sz w:val="18"/>
          <w:lang w:val="en-US"/>
        </w:rPr>
        <w:t>Chem. Biol. Interact.</w:t>
      </w:r>
      <w:r w:rsidRPr="007C45C4">
        <w:rPr>
          <w:rFonts w:ascii="Calibri" w:hAnsi="Calibri" w:cs="Calibri"/>
          <w:noProof/>
          <w:sz w:val="18"/>
          <w:lang w:val="en-US"/>
        </w:rPr>
        <w:t xml:space="preserve">, 2015, </w:t>
      </w:r>
      <w:r w:rsidRPr="007C45C4">
        <w:rPr>
          <w:rFonts w:ascii="Calibri" w:hAnsi="Calibri" w:cs="Calibri"/>
          <w:b/>
          <w:bCs/>
          <w:noProof/>
          <w:sz w:val="18"/>
          <w:lang w:val="en-US"/>
        </w:rPr>
        <w:t>242</w:t>
      </w:r>
      <w:r w:rsidRPr="007C45C4">
        <w:rPr>
          <w:rFonts w:ascii="Calibri" w:hAnsi="Calibri" w:cs="Calibri"/>
          <w:noProof/>
          <w:sz w:val="18"/>
          <w:lang w:val="en-US"/>
        </w:rPr>
        <w:t>, 61–70.</w:t>
      </w:r>
    </w:p>
    <w:p w14:paraId="78E35BD1"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37</w:t>
      </w:r>
      <w:r w:rsidRPr="007C45C4">
        <w:rPr>
          <w:rFonts w:ascii="Calibri" w:hAnsi="Calibri" w:cs="Calibri"/>
          <w:noProof/>
          <w:sz w:val="18"/>
          <w:lang w:val="en-US"/>
        </w:rPr>
        <w:tab/>
        <w:t xml:space="preserve">A. M. Bode and Z. Dong, </w:t>
      </w:r>
      <w:r w:rsidRPr="007C45C4">
        <w:rPr>
          <w:rFonts w:ascii="Calibri" w:hAnsi="Calibri" w:cs="Calibri"/>
          <w:i/>
          <w:iCs/>
          <w:noProof/>
          <w:sz w:val="18"/>
          <w:lang w:val="en-US"/>
        </w:rPr>
        <w:t>Nat. Rev. Cancer</w:t>
      </w:r>
      <w:r w:rsidRPr="007C45C4">
        <w:rPr>
          <w:rFonts w:ascii="Calibri" w:hAnsi="Calibri" w:cs="Calibri"/>
          <w:noProof/>
          <w:sz w:val="18"/>
          <w:lang w:val="en-US"/>
        </w:rPr>
        <w:t xml:space="preserve">, 2004, </w:t>
      </w:r>
      <w:r w:rsidRPr="007C45C4">
        <w:rPr>
          <w:rFonts w:ascii="Calibri" w:hAnsi="Calibri" w:cs="Calibri"/>
          <w:b/>
          <w:bCs/>
          <w:noProof/>
          <w:sz w:val="18"/>
          <w:lang w:val="en-US"/>
        </w:rPr>
        <w:t>4</w:t>
      </w:r>
      <w:r w:rsidRPr="007C45C4">
        <w:rPr>
          <w:rFonts w:ascii="Calibri" w:hAnsi="Calibri" w:cs="Calibri"/>
          <w:noProof/>
          <w:sz w:val="18"/>
          <w:lang w:val="en-US"/>
        </w:rPr>
        <w:t>, 793.</w:t>
      </w:r>
    </w:p>
    <w:p w14:paraId="45465584"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38</w:t>
      </w:r>
      <w:r w:rsidRPr="007C45C4">
        <w:rPr>
          <w:rFonts w:ascii="Calibri" w:hAnsi="Calibri" w:cs="Calibri"/>
          <w:noProof/>
          <w:sz w:val="18"/>
          <w:lang w:val="en-US"/>
        </w:rPr>
        <w:tab/>
        <w:t xml:space="preserve">D. P. Xirodimas, M. K. Saville, J.-C. Bourdon, R. T. Hay and D. P. Lane, </w:t>
      </w:r>
      <w:r w:rsidRPr="007C45C4">
        <w:rPr>
          <w:rFonts w:ascii="Calibri" w:hAnsi="Calibri" w:cs="Calibri"/>
          <w:i/>
          <w:iCs/>
          <w:noProof/>
          <w:sz w:val="18"/>
          <w:lang w:val="en-US"/>
        </w:rPr>
        <w:t>Cell</w:t>
      </w:r>
      <w:r w:rsidRPr="007C45C4">
        <w:rPr>
          <w:rFonts w:ascii="Calibri" w:hAnsi="Calibri" w:cs="Calibri"/>
          <w:noProof/>
          <w:sz w:val="18"/>
          <w:lang w:val="en-US"/>
        </w:rPr>
        <w:t xml:space="preserve">, 2004, </w:t>
      </w:r>
      <w:r w:rsidRPr="007C45C4">
        <w:rPr>
          <w:rFonts w:ascii="Calibri" w:hAnsi="Calibri" w:cs="Calibri"/>
          <w:b/>
          <w:bCs/>
          <w:noProof/>
          <w:sz w:val="18"/>
          <w:lang w:val="en-US"/>
        </w:rPr>
        <w:t>118</w:t>
      </w:r>
      <w:r w:rsidRPr="007C45C4">
        <w:rPr>
          <w:rFonts w:ascii="Calibri" w:hAnsi="Calibri" w:cs="Calibri"/>
          <w:noProof/>
          <w:sz w:val="18"/>
          <w:lang w:val="en-US"/>
        </w:rPr>
        <w:t>, 83–97.</w:t>
      </w:r>
    </w:p>
    <w:p w14:paraId="364B74B5"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39</w:t>
      </w:r>
      <w:r w:rsidRPr="007C45C4">
        <w:rPr>
          <w:rFonts w:ascii="Calibri" w:hAnsi="Calibri" w:cs="Calibri"/>
          <w:noProof/>
          <w:sz w:val="18"/>
          <w:lang w:val="en-US"/>
        </w:rPr>
        <w:tab/>
        <w:t xml:space="preserve">C. L. Brooks and W. Gu, </w:t>
      </w:r>
      <w:r w:rsidRPr="007C45C4">
        <w:rPr>
          <w:rFonts w:ascii="Calibri" w:hAnsi="Calibri" w:cs="Calibri"/>
          <w:i/>
          <w:iCs/>
          <w:noProof/>
          <w:sz w:val="18"/>
          <w:lang w:val="en-US"/>
        </w:rPr>
        <w:t>Cell Res.</w:t>
      </w:r>
      <w:r w:rsidRPr="007C45C4">
        <w:rPr>
          <w:rFonts w:ascii="Calibri" w:hAnsi="Calibri" w:cs="Calibri"/>
          <w:noProof/>
          <w:sz w:val="18"/>
          <w:lang w:val="en-US"/>
        </w:rPr>
        <w:t xml:space="preserve">, 2010, </w:t>
      </w:r>
      <w:r w:rsidRPr="007C45C4">
        <w:rPr>
          <w:rFonts w:ascii="Calibri" w:hAnsi="Calibri" w:cs="Calibri"/>
          <w:b/>
          <w:bCs/>
          <w:noProof/>
          <w:sz w:val="18"/>
          <w:lang w:val="en-US"/>
        </w:rPr>
        <w:t>20</w:t>
      </w:r>
      <w:r w:rsidRPr="007C45C4">
        <w:rPr>
          <w:rFonts w:ascii="Calibri" w:hAnsi="Calibri" w:cs="Calibri"/>
          <w:noProof/>
          <w:sz w:val="18"/>
          <w:lang w:val="en-US"/>
        </w:rPr>
        <w:t>, 614.</w:t>
      </w:r>
    </w:p>
    <w:p w14:paraId="07C90FBC"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40</w:t>
      </w:r>
      <w:r w:rsidRPr="007C45C4">
        <w:rPr>
          <w:rFonts w:ascii="Calibri" w:hAnsi="Calibri" w:cs="Calibri"/>
          <w:noProof/>
          <w:sz w:val="18"/>
          <w:lang w:val="en-US"/>
        </w:rPr>
        <w:tab/>
        <w:t xml:space="preserve">Y.-H. Ou, P.-H. Chung, T.-P. Sun and S.-Y. Shieh, </w:t>
      </w:r>
      <w:r w:rsidRPr="007C45C4">
        <w:rPr>
          <w:rFonts w:ascii="Calibri" w:hAnsi="Calibri" w:cs="Calibri"/>
          <w:i/>
          <w:iCs/>
          <w:noProof/>
          <w:sz w:val="18"/>
          <w:lang w:val="en-US"/>
        </w:rPr>
        <w:t>Mol. Biol. Cell</w:t>
      </w:r>
      <w:r w:rsidRPr="007C45C4">
        <w:rPr>
          <w:rFonts w:ascii="Calibri" w:hAnsi="Calibri" w:cs="Calibri"/>
          <w:noProof/>
          <w:sz w:val="18"/>
          <w:lang w:val="en-US"/>
        </w:rPr>
        <w:t xml:space="preserve">, 2005, </w:t>
      </w:r>
      <w:r w:rsidRPr="007C45C4">
        <w:rPr>
          <w:rFonts w:ascii="Calibri" w:hAnsi="Calibri" w:cs="Calibri"/>
          <w:b/>
          <w:bCs/>
          <w:noProof/>
          <w:sz w:val="18"/>
          <w:lang w:val="en-US"/>
        </w:rPr>
        <w:t>16</w:t>
      </w:r>
      <w:r w:rsidRPr="007C45C4">
        <w:rPr>
          <w:rFonts w:ascii="Calibri" w:hAnsi="Calibri" w:cs="Calibri"/>
          <w:noProof/>
          <w:sz w:val="18"/>
          <w:lang w:val="en-US"/>
        </w:rPr>
        <w:t>, 1684–1695.</w:t>
      </w:r>
    </w:p>
    <w:p w14:paraId="476D59D1"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41</w:t>
      </w:r>
      <w:r w:rsidRPr="007C45C4">
        <w:rPr>
          <w:rFonts w:ascii="Calibri" w:hAnsi="Calibri" w:cs="Calibri"/>
          <w:noProof/>
          <w:sz w:val="18"/>
          <w:lang w:val="en-US"/>
        </w:rPr>
        <w:tab/>
        <w:t xml:space="preserve">O. Cazzalini, A. I. Scovassi, M. Savio, L. A. Stivala and E. Prosperi, </w:t>
      </w:r>
      <w:r w:rsidRPr="007C45C4">
        <w:rPr>
          <w:rFonts w:ascii="Calibri" w:hAnsi="Calibri" w:cs="Calibri"/>
          <w:i/>
          <w:iCs/>
          <w:noProof/>
          <w:sz w:val="18"/>
          <w:lang w:val="en-US"/>
        </w:rPr>
        <w:t>Mutat. Res. Mutat. Res.</w:t>
      </w:r>
      <w:r w:rsidRPr="007C45C4">
        <w:rPr>
          <w:rFonts w:ascii="Calibri" w:hAnsi="Calibri" w:cs="Calibri"/>
          <w:noProof/>
          <w:sz w:val="18"/>
          <w:lang w:val="en-US"/>
        </w:rPr>
        <w:t xml:space="preserve">, 2010, </w:t>
      </w:r>
      <w:r w:rsidRPr="007C45C4">
        <w:rPr>
          <w:rFonts w:ascii="Calibri" w:hAnsi="Calibri" w:cs="Calibri"/>
          <w:b/>
          <w:bCs/>
          <w:noProof/>
          <w:sz w:val="18"/>
          <w:lang w:val="en-US"/>
        </w:rPr>
        <w:t>704</w:t>
      </w:r>
      <w:r w:rsidRPr="007C45C4">
        <w:rPr>
          <w:rFonts w:ascii="Calibri" w:hAnsi="Calibri" w:cs="Calibri"/>
          <w:noProof/>
          <w:sz w:val="18"/>
          <w:lang w:val="en-US"/>
        </w:rPr>
        <w:t>, 12–20.</w:t>
      </w:r>
    </w:p>
    <w:p w14:paraId="491B7B72" w14:textId="77777777" w:rsidR="00357335" w:rsidRPr="007C45C4" w:rsidRDefault="00357335" w:rsidP="00357335">
      <w:pPr>
        <w:widowControl w:val="0"/>
        <w:autoSpaceDE w:val="0"/>
        <w:autoSpaceDN w:val="0"/>
        <w:adjustRightInd w:val="0"/>
        <w:spacing w:after="0" w:line="240" w:lineRule="exact"/>
        <w:ind w:left="640" w:hanging="640"/>
        <w:rPr>
          <w:rFonts w:ascii="Calibri" w:hAnsi="Calibri" w:cs="Calibri"/>
          <w:noProof/>
          <w:sz w:val="18"/>
          <w:lang w:val="en-US"/>
        </w:rPr>
      </w:pPr>
      <w:r w:rsidRPr="007C45C4">
        <w:rPr>
          <w:rFonts w:ascii="Calibri" w:hAnsi="Calibri" w:cs="Calibri"/>
          <w:noProof/>
          <w:sz w:val="18"/>
          <w:lang w:val="en-US"/>
        </w:rPr>
        <w:t>42</w:t>
      </w:r>
      <w:r w:rsidRPr="007C45C4">
        <w:rPr>
          <w:rFonts w:ascii="Calibri" w:hAnsi="Calibri" w:cs="Calibri"/>
          <w:noProof/>
          <w:sz w:val="18"/>
          <w:lang w:val="en-US"/>
        </w:rPr>
        <w:tab/>
        <w:t xml:space="preserve">W. L. F. Armarego and D. D. Perin, </w:t>
      </w:r>
      <w:r w:rsidRPr="007C45C4">
        <w:rPr>
          <w:rFonts w:ascii="Calibri" w:hAnsi="Calibri" w:cs="Calibri"/>
          <w:i/>
          <w:iCs/>
          <w:noProof/>
          <w:sz w:val="18"/>
          <w:lang w:val="en-US"/>
        </w:rPr>
        <w:t>Purification of laboratory chemicals</w:t>
      </w:r>
      <w:r w:rsidRPr="007C45C4">
        <w:rPr>
          <w:rFonts w:ascii="Calibri" w:hAnsi="Calibri" w:cs="Calibri"/>
          <w:noProof/>
          <w:sz w:val="18"/>
          <w:lang w:val="en-US"/>
        </w:rPr>
        <w:t>, Butterworth Heinemann, Oxford, Oxford ; Boston, 1996.</w:t>
      </w:r>
    </w:p>
    <w:p w14:paraId="2D9271E9" w14:textId="77777777" w:rsidR="00FC545D" w:rsidRDefault="00357335" w:rsidP="00FC545D">
      <w:pPr>
        <w:widowControl w:val="0"/>
        <w:autoSpaceDE w:val="0"/>
        <w:autoSpaceDN w:val="0"/>
        <w:adjustRightInd w:val="0"/>
        <w:spacing w:after="0" w:line="240" w:lineRule="exact"/>
        <w:ind w:left="640" w:hanging="640"/>
        <w:rPr>
          <w:rFonts w:cstheme="minorHAnsi"/>
          <w:noProof/>
          <w:sz w:val="18"/>
          <w:lang w:val="en-US"/>
        </w:rPr>
      </w:pPr>
      <w:r w:rsidRPr="007C45C4">
        <w:rPr>
          <w:rFonts w:ascii="Calibri" w:hAnsi="Calibri" w:cs="Calibri"/>
          <w:noProof/>
          <w:sz w:val="18"/>
          <w:lang w:val="en-US"/>
        </w:rPr>
        <w:t>43</w:t>
      </w:r>
      <w:r w:rsidRPr="007C45C4">
        <w:rPr>
          <w:rFonts w:ascii="Calibri" w:hAnsi="Calibri" w:cs="Calibri"/>
          <w:noProof/>
          <w:sz w:val="18"/>
          <w:lang w:val="en-US"/>
        </w:rPr>
        <w:tab/>
        <w:t xml:space="preserve">G. M. Sheldrick, </w:t>
      </w:r>
      <w:r w:rsidRPr="007C45C4">
        <w:rPr>
          <w:rFonts w:cstheme="minorHAnsi"/>
          <w:noProof/>
          <w:sz w:val="18"/>
          <w:lang w:val="en-US"/>
        </w:rPr>
        <w:t>SHELXL97, University of Göttingen, Germany, 1997.</w:t>
      </w:r>
    </w:p>
    <w:p w14:paraId="5B31FC87" w14:textId="19F6D692" w:rsidR="00357335" w:rsidRPr="00FC545D" w:rsidRDefault="00357335" w:rsidP="00FC545D">
      <w:pPr>
        <w:widowControl w:val="0"/>
        <w:autoSpaceDE w:val="0"/>
        <w:autoSpaceDN w:val="0"/>
        <w:adjustRightInd w:val="0"/>
        <w:spacing w:after="0" w:line="240" w:lineRule="exact"/>
        <w:ind w:left="640" w:hanging="640"/>
        <w:rPr>
          <w:rFonts w:ascii="Calibri" w:hAnsi="Calibri" w:cs="Calibri"/>
          <w:noProof/>
          <w:sz w:val="18"/>
          <w:szCs w:val="18"/>
          <w:lang w:val="en-US"/>
        </w:rPr>
      </w:pPr>
      <w:r w:rsidRPr="00FC545D">
        <w:rPr>
          <w:noProof/>
          <w:sz w:val="18"/>
          <w:szCs w:val="18"/>
          <w:lang w:val="en-US"/>
        </w:rPr>
        <w:t>44</w:t>
      </w:r>
      <w:r w:rsidRPr="00FC545D">
        <w:rPr>
          <w:noProof/>
          <w:sz w:val="18"/>
          <w:szCs w:val="18"/>
          <w:lang w:val="en-US"/>
        </w:rPr>
        <w:tab/>
        <w:t xml:space="preserve">G. M. Sheldrick, </w:t>
      </w:r>
      <w:r w:rsidRPr="00FC545D">
        <w:rPr>
          <w:i/>
          <w:iCs/>
          <w:noProof/>
          <w:sz w:val="18"/>
          <w:szCs w:val="18"/>
          <w:lang w:val="en-US"/>
        </w:rPr>
        <w:t>Acta Crystallogr. Sect. A</w:t>
      </w:r>
      <w:r w:rsidRPr="00FC545D">
        <w:rPr>
          <w:noProof/>
          <w:sz w:val="18"/>
          <w:szCs w:val="18"/>
          <w:lang w:val="en-US"/>
        </w:rPr>
        <w:t xml:space="preserve">, 2008, </w:t>
      </w:r>
      <w:r w:rsidRPr="00FC545D">
        <w:rPr>
          <w:b/>
          <w:bCs/>
          <w:noProof/>
          <w:sz w:val="18"/>
          <w:szCs w:val="18"/>
          <w:lang w:val="en-US"/>
        </w:rPr>
        <w:t>64</w:t>
      </w:r>
      <w:r w:rsidRPr="00FC545D">
        <w:rPr>
          <w:noProof/>
          <w:sz w:val="18"/>
          <w:szCs w:val="18"/>
          <w:lang w:val="en-US"/>
        </w:rPr>
        <w:t>, 112–122.</w:t>
      </w:r>
    </w:p>
    <w:p w14:paraId="45B3BB69" w14:textId="2F6B7577" w:rsidR="00F157DD" w:rsidRPr="007C45C4" w:rsidRDefault="004F46E6" w:rsidP="00357335">
      <w:pPr>
        <w:widowControl w:val="0"/>
        <w:autoSpaceDE w:val="0"/>
        <w:autoSpaceDN w:val="0"/>
        <w:adjustRightInd w:val="0"/>
        <w:spacing w:after="0" w:line="240" w:lineRule="exact"/>
        <w:ind w:left="640" w:hanging="640"/>
        <w:rPr>
          <w:highlight w:val="yellow"/>
          <w:lang w:val="en-US"/>
        </w:rPr>
      </w:pPr>
      <w:r w:rsidRPr="007C45C4">
        <w:rPr>
          <w:highlight w:val="yellow"/>
          <w:lang w:val="en-US"/>
        </w:rPr>
        <w:fldChar w:fldCharType="end"/>
      </w:r>
    </w:p>
    <w:sectPr w:rsidR="00F157DD" w:rsidRPr="007C45C4" w:rsidSect="00514CBA">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EF337F" w14:textId="77777777" w:rsidR="00951507" w:rsidRDefault="00951507" w:rsidP="00E547DB">
      <w:pPr>
        <w:spacing w:after="0" w:line="240" w:lineRule="auto"/>
      </w:pPr>
      <w:r>
        <w:separator/>
      </w:r>
    </w:p>
    <w:p w14:paraId="03977CB0" w14:textId="77777777" w:rsidR="00951507" w:rsidRDefault="00951507"/>
    <w:p w14:paraId="65970E7A" w14:textId="77777777" w:rsidR="00951507" w:rsidRDefault="00951507"/>
    <w:p w14:paraId="6F135468" w14:textId="77777777" w:rsidR="00951507" w:rsidRDefault="00951507"/>
    <w:p w14:paraId="5399FDCF" w14:textId="77777777" w:rsidR="00951507" w:rsidRDefault="00951507"/>
    <w:p w14:paraId="55AADAEB" w14:textId="77777777" w:rsidR="00951507" w:rsidRDefault="00951507"/>
  </w:endnote>
  <w:endnote w:type="continuationSeparator" w:id="0">
    <w:p w14:paraId="2D613B2D" w14:textId="77777777" w:rsidR="00951507" w:rsidRDefault="00951507" w:rsidP="00E547DB">
      <w:pPr>
        <w:spacing w:after="0" w:line="240" w:lineRule="auto"/>
      </w:pPr>
      <w:r>
        <w:continuationSeparator/>
      </w:r>
    </w:p>
    <w:p w14:paraId="0627E6E5" w14:textId="77777777" w:rsidR="00951507" w:rsidRDefault="00951507"/>
    <w:p w14:paraId="43D1A5D9" w14:textId="77777777" w:rsidR="00951507" w:rsidRDefault="00951507"/>
    <w:p w14:paraId="5CD45AAF" w14:textId="77777777" w:rsidR="00951507" w:rsidRDefault="00951507"/>
    <w:p w14:paraId="59A7D825" w14:textId="77777777" w:rsidR="00951507" w:rsidRDefault="00951507"/>
    <w:p w14:paraId="171BE4DA" w14:textId="77777777" w:rsidR="00951507" w:rsidRDefault="009515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embedRegular r:id="rId1" w:fontKey="{9B02AFCD-F4F7-4E64-8DD0-6F854C58369F}"/>
    <w:embedBold r:id="rId2" w:fontKey="{B0BBA26E-36B0-41D5-8F07-7BEB62D21B65}"/>
    <w:embedItalic r:id="rId3" w:fontKey="{7FB1E8BA-7AE1-4F37-AE8A-8AB13798570F}"/>
    <w:embedBoldItalic r:id="rId4" w:fontKey="{F42B0526-363E-4BA5-8726-483CEC830266}"/>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embedRegular r:id="rId5" w:fontKey="{F150E3AE-D88D-4D13-8413-817B01332C05}"/>
  </w:font>
  <w:font w:name="MS Mincho">
    <w:altName w:val="Yu Gothic UI"/>
    <w:panose1 w:val="02020609040205080304"/>
    <w:charset w:val="80"/>
    <w:family w:val="roman"/>
    <w:pitch w:val="fixed"/>
    <w:sig w:usb0="00000001" w:usb1="08070000" w:usb2="00000010" w:usb3="00000000" w:csb0="00020000" w:csb1="00000000"/>
  </w:font>
  <w:font w:name="Arial Black">
    <w:panose1 w:val="020B0A04020102020204"/>
    <w:charset w:val="EE"/>
    <w:family w:val="swiss"/>
    <w:pitch w:val="variable"/>
    <w:sig w:usb0="A00002AF" w:usb1="400078FB" w:usb2="00000000" w:usb3="00000000" w:csb0="0000009F" w:csb1="00000000"/>
    <w:embedBold r:id="rId6" w:fontKey="{F0EC2C79-0DFF-4DD1-B1A8-E66AD389A46D}"/>
  </w:font>
  <w:font w:name="Times">
    <w:panose1 w:val="02020603050405020304"/>
    <w:charset w:val="EE"/>
    <w:family w:val="roman"/>
    <w:pitch w:val="variable"/>
    <w:sig w:usb0="E0002EFF" w:usb1="C000785B" w:usb2="00000009" w:usb3="00000000" w:csb0="000001FF" w:csb1="00000000"/>
    <w:embedRegular r:id="rId7" w:fontKey="{F932E51D-ACF7-46E1-AC2D-3A7D7ADCC1BB}"/>
  </w:font>
  <w:font w:name="Cambria Math">
    <w:panose1 w:val="02040503050406030204"/>
    <w:charset w:val="EE"/>
    <w:family w:val="roman"/>
    <w:pitch w:val="variable"/>
    <w:sig w:usb0="E00006FF" w:usb1="420024FF" w:usb2="02000000" w:usb3="00000000" w:csb0="0000019F" w:csb1="00000000"/>
    <w:embedRegular r:id="rId8" w:fontKey="{89F3FBE6-9665-4198-A510-9495BD5AC844}"/>
  </w:font>
  <w:font w:name="Cambria">
    <w:panose1 w:val="02040503050406030204"/>
    <w:charset w:val="EE"/>
    <w:family w:val="roman"/>
    <w:pitch w:val="variable"/>
    <w:sig w:usb0="E00006FF" w:usb1="420024FF" w:usb2="02000000" w:usb3="00000000" w:csb0="0000019F" w:csb1="00000000"/>
    <w:embedRegular r:id="rId9" w:fontKey="{A180D21F-7DD7-413E-805C-88FA1A2926E7}"/>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EB24E" w14:textId="6DB51444" w:rsidR="00CA7AD4" w:rsidRPr="006602F1" w:rsidRDefault="00CA7AD4" w:rsidP="00D45ADF">
    <w:pPr>
      <w:pStyle w:val="Zpat"/>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6E436B">
      <w:rPr>
        <w:b/>
        <w:noProof/>
        <w:spacing w:val="10"/>
        <w:sz w:val="16"/>
        <w:szCs w:val="16"/>
      </w:rPr>
      <w:t>4</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9A7932" w14:textId="335FB04D" w:rsidR="00CA7AD4" w:rsidRPr="006602F1" w:rsidRDefault="00CA7AD4" w:rsidP="00D45ADF">
    <w:pPr>
      <w:pStyle w:val="Zpat"/>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6E436B">
      <w:rPr>
        <w:b/>
        <w:noProof/>
        <w:spacing w:val="10"/>
        <w:sz w:val="16"/>
        <w:szCs w:val="16"/>
      </w:rPr>
      <w:t>5</w:t>
    </w:r>
    <w:r w:rsidRPr="008C1387">
      <w:rPr>
        <w:b/>
        <w:noProof/>
        <w:spacing w:val="1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2532D" w14:textId="77777777" w:rsidR="00CA7AD4" w:rsidRPr="006602F1" w:rsidRDefault="00CA7AD4" w:rsidP="00D45ADF">
    <w:pPr>
      <w:pStyle w:val="Zpat"/>
      <w:tabs>
        <w:tab w:val="clear" w:pos="4513"/>
        <w:tab w:val="clear" w:pos="9026"/>
        <w:tab w:val="right" w:pos="10206"/>
      </w:tabs>
      <w:spacing w:before="480"/>
      <w:rPr>
        <w:sz w:val="16"/>
        <w:szCs w:val="16"/>
      </w:rPr>
    </w:pPr>
    <w:r>
      <w:rPr>
        <w:noProof/>
        <w:lang w:val="en-US"/>
      </w:rPr>
      <mc:AlternateContent>
        <mc:Choice Requires="wps">
          <w:drawing>
            <wp:anchor distT="0" distB="0" distL="114300" distR="114300" simplePos="0" relativeHeight="251654144" behindDoc="0" locked="0" layoutInCell="1" allowOverlap="1" wp14:anchorId="1A23EF18" wp14:editId="6F982E41">
              <wp:simplePos x="0" y="0"/>
              <wp:positionH relativeFrom="column">
                <wp:align>center</wp:align>
              </wp:positionH>
              <wp:positionV relativeFrom="page">
                <wp:align>bottom</wp:align>
              </wp:positionV>
              <wp:extent cx="7700645" cy="39624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62538D16" w14:textId="77777777" w:rsidR="00CA7AD4" w:rsidRPr="00F20A7C" w:rsidRDefault="00CA7AD4"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A23EF18" id="_x0000_t202" coordsize="21600,21600" o:spt="202" path="m,l,21600r21600,l21600,xe">
              <v:stroke joinstyle="miter"/>
              <v:path gradientshapeok="t" o:connecttype="rect"/>
            </v:shapetype>
            <v:shape id="_x0000_s1032" type="#_x0000_t202" style="position:absolute;margin-left:0;margin-top:0;width:606.35pt;height:31.2pt;z-index:25165414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" fillcolor="#a5a5a5 [2092]" stroked="f">
              <v:path arrowok="t"/>
              <v:textbox>
                <w:txbxContent>
                  <w:p w14:paraId="62538D16" w14:textId="77777777" w:rsidR="00CA7AD4" w:rsidRPr="00F20A7C" w:rsidRDefault="00CA7AD4"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6602F1">
      <w:rPr>
        <w:i/>
        <w:noProof/>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1BAAFE" w14:textId="77777777" w:rsidR="00951507" w:rsidRDefault="00951507" w:rsidP="00E547DB">
      <w:pPr>
        <w:spacing w:after="0" w:line="240" w:lineRule="auto"/>
      </w:pPr>
      <w:r>
        <w:separator/>
      </w:r>
    </w:p>
    <w:p w14:paraId="077BD3FA" w14:textId="77777777" w:rsidR="00951507" w:rsidRDefault="00951507"/>
    <w:p w14:paraId="347FE17B" w14:textId="77777777" w:rsidR="00951507" w:rsidRDefault="00951507"/>
    <w:p w14:paraId="28FA0659" w14:textId="77777777" w:rsidR="00951507" w:rsidRDefault="00951507"/>
    <w:p w14:paraId="1AD255EE" w14:textId="77777777" w:rsidR="00951507" w:rsidRDefault="00951507"/>
    <w:p w14:paraId="12375DE3" w14:textId="77777777" w:rsidR="00951507" w:rsidRDefault="00951507"/>
  </w:footnote>
  <w:footnote w:type="continuationSeparator" w:id="0">
    <w:p w14:paraId="7954FC27" w14:textId="77777777" w:rsidR="00951507" w:rsidRDefault="00951507" w:rsidP="00E547DB">
      <w:pPr>
        <w:spacing w:after="0" w:line="240" w:lineRule="auto"/>
      </w:pPr>
      <w:r>
        <w:continuationSeparator/>
      </w:r>
    </w:p>
    <w:p w14:paraId="4C5A5A2E" w14:textId="77777777" w:rsidR="00951507" w:rsidRDefault="00951507"/>
    <w:p w14:paraId="414273D9" w14:textId="77777777" w:rsidR="00951507" w:rsidRDefault="00951507"/>
    <w:p w14:paraId="2D631D35" w14:textId="77777777" w:rsidR="00951507" w:rsidRDefault="00951507"/>
    <w:p w14:paraId="4E6437C5" w14:textId="77777777" w:rsidR="00951507" w:rsidRDefault="00951507"/>
    <w:p w14:paraId="75BC5F46" w14:textId="77777777" w:rsidR="00951507" w:rsidRDefault="0095150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CE23" w14:textId="77777777" w:rsidR="00CA7AD4" w:rsidRPr="00E70DCE" w:rsidRDefault="00CA7AD4" w:rsidP="00D45ADF">
    <w:pPr>
      <w:pStyle w:val="Zhlav"/>
      <w:tabs>
        <w:tab w:val="clear" w:pos="4513"/>
        <w:tab w:val="clear" w:pos="9026"/>
        <w:tab w:val="right" w:pos="10206"/>
      </w:tabs>
      <w:spacing w:after="240"/>
      <w:rPr>
        <w:rFonts w:cstheme="minorHAnsi"/>
        <w:color w:val="999999"/>
        <w:sz w:val="20"/>
        <w:szCs w:val="20"/>
      </w:rPr>
    </w:pPr>
    <w:r>
      <w:rPr>
        <w:noProof/>
        <w:lang w:val="en-US"/>
      </w:rPr>
      <mc:AlternateContent>
        <mc:Choice Requires="wps">
          <w:drawing>
            <wp:anchor distT="0" distB="0" distL="114300" distR="114300" simplePos="0" relativeHeight="251659264" behindDoc="0" locked="0" layoutInCell="1" allowOverlap="1" wp14:anchorId="03E4800D" wp14:editId="7011302A">
              <wp:simplePos x="0" y="0"/>
              <wp:positionH relativeFrom="column">
                <wp:align>center</wp:align>
              </wp:positionH>
              <wp:positionV relativeFrom="page">
                <wp:align>bottom</wp:align>
              </wp:positionV>
              <wp:extent cx="7700645" cy="39624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5889CD82" w14:textId="77777777" w:rsidR="00CA7AD4" w:rsidRPr="00F20A7C" w:rsidRDefault="00CA7AD4"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3E4800D" id="_x0000_t202" coordsize="21600,21600" o:spt="202" path="m,l,21600r21600,l21600,xe">
              <v:stroke joinstyle="miter"/>
              <v:path gradientshapeok="t" o:connecttype="rect"/>
            </v:shapetype>
            <v:shape id="_x0000_s1027" type="#_x0000_t202" style="position:absolute;margin-left:0;margin-top:0;width:606.35pt;height:31.2pt;z-index:25165926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" fillcolor="#a5a5a5 [2092]" stroked="f">
              <v:path arrowok="t"/>
              <v:textbox>
                <w:txbxContent>
                  <w:p w14:paraId="5889CD82" w14:textId="77777777" w:rsidR="00CA7AD4" w:rsidRPr="00F20A7C" w:rsidRDefault="00CA7AD4"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val="en-US"/>
      </w:rPr>
      <mc:AlternateContent>
        <mc:Choice Requires="wps">
          <w:drawing>
            <wp:anchor distT="0" distB="0" distL="114300" distR="114300" simplePos="0" relativeHeight="251656192" behindDoc="0" locked="0" layoutInCell="1" allowOverlap="1" wp14:anchorId="5E71A9FE" wp14:editId="499351CF">
              <wp:simplePos x="0" y="0"/>
              <wp:positionH relativeFrom="column">
                <wp:align>center</wp:align>
              </wp:positionH>
              <wp:positionV relativeFrom="page">
                <wp:align>top</wp:align>
              </wp:positionV>
              <wp:extent cx="7700645" cy="39624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396240"/>
                      </a:xfrm>
                      <a:prstGeom prst="rect">
                        <a:avLst/>
                      </a:prstGeom>
                      <a:solidFill>
                        <a:schemeClr val="bg1">
                          <a:lumMod val="65000"/>
                        </a:schemeClr>
                      </a:solidFill>
                      <a:ln w="9525">
                        <a:noFill/>
                        <a:miter lim="800000"/>
                        <a:headEnd/>
                        <a:tailEnd/>
                      </a:ln>
                    </wps:spPr>
                    <wps:txbx>
                      <w:txbxContent>
                        <w:p w14:paraId="77C03F48" w14:textId="77777777" w:rsidR="00CA7AD4" w:rsidRPr="00F20A7C" w:rsidRDefault="00CA7AD4"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E71A9FE" id="_x0000_s1028" type="#_x0000_t202" style="position:absolute;margin-left:0;margin-top:0;width:606.35pt;height:31.2pt;z-index:25165619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" fillcolor="#a5a5a5 [2092]" stroked="f">
              <v:path arrowok="t"/>
              <v:textbox>
                <w:txbxContent>
                  <w:p w14:paraId="77C03F48" w14:textId="77777777" w:rsidR="00CA7AD4" w:rsidRPr="00F20A7C" w:rsidRDefault="00CA7AD4"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81A51B" w14:textId="77777777" w:rsidR="00CA7AD4" w:rsidRPr="009316A6" w:rsidRDefault="00CA7AD4" w:rsidP="00D45ADF">
    <w:pPr>
      <w:pStyle w:val="Zhlav"/>
      <w:tabs>
        <w:tab w:val="clear" w:pos="4513"/>
        <w:tab w:val="clear" w:pos="9026"/>
        <w:tab w:val="right" w:pos="10206"/>
      </w:tabs>
      <w:spacing w:after="240"/>
      <w:rPr>
        <w:rFonts w:cstheme="minorHAnsi"/>
        <w:b/>
        <w:color w:val="999999"/>
        <w:sz w:val="20"/>
        <w:szCs w:val="20"/>
      </w:rPr>
    </w:pPr>
    <w:r>
      <w:rPr>
        <w:noProof/>
        <w:lang w:val="en-US"/>
      </w:rPr>
      <mc:AlternateContent>
        <mc:Choice Requires="wps">
          <w:drawing>
            <wp:anchor distT="0" distB="0" distL="114300" distR="114300" simplePos="0" relativeHeight="251665408" behindDoc="0" locked="0" layoutInCell="1" allowOverlap="1" wp14:anchorId="33B6588D" wp14:editId="756FF7B4">
              <wp:simplePos x="0" y="0"/>
              <wp:positionH relativeFrom="column">
                <wp:align>center</wp:align>
              </wp:positionH>
              <wp:positionV relativeFrom="page">
                <wp:align>bottom</wp:align>
              </wp:positionV>
              <wp:extent cx="7700645" cy="399415"/>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399415"/>
                      </a:xfrm>
                      <a:prstGeom prst="rect">
                        <a:avLst/>
                      </a:prstGeom>
                      <a:solidFill>
                        <a:schemeClr val="bg1">
                          <a:lumMod val="65000"/>
                        </a:schemeClr>
                      </a:solidFill>
                      <a:ln w="9525">
                        <a:noFill/>
                        <a:miter lim="800000"/>
                        <a:headEnd/>
                        <a:tailEnd/>
                      </a:ln>
                    </wps:spPr>
                    <wps:txbx>
                      <w:txbxContent>
                        <w:p w14:paraId="6FA85A2B" w14:textId="77777777" w:rsidR="00CA7AD4" w:rsidRPr="00F20A7C" w:rsidRDefault="00CA7AD4"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33B6588D" id="_x0000_t202" coordsize="21600,21600" o:spt="202" path="m,l,21600r21600,l21600,xe">
              <v:stroke joinstyle="miter"/>
              <v:path gradientshapeok="t" o:connecttype="rect"/>
            </v:shapetype>
            <v:shape id="_x0000_s1029" type="#_x0000_t202" style="position:absolute;margin-left:0;margin-top:0;width:606.35pt;height:31.45pt;z-index:251665408;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" fillcolor="#a5a5a5 [2092]" stroked="f">
              <v:path arrowok="t"/>
              <v:textbox>
                <w:txbxContent>
                  <w:p w14:paraId="6FA85A2B" w14:textId="77777777" w:rsidR="00CA7AD4" w:rsidRPr="00F20A7C" w:rsidRDefault="00CA7AD4"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val="en-US"/>
      </w:rPr>
      <mc:AlternateContent>
        <mc:Choice Requires="wps">
          <w:drawing>
            <wp:anchor distT="0" distB="0" distL="114300" distR="114300" simplePos="0" relativeHeight="251662336" behindDoc="0" locked="0" layoutInCell="1" allowOverlap="1" wp14:anchorId="637EB677" wp14:editId="0F2AD9A9">
              <wp:simplePos x="0" y="0"/>
              <wp:positionH relativeFrom="column">
                <wp:align>center</wp:align>
              </wp:positionH>
              <wp:positionV relativeFrom="page">
                <wp:align>top</wp:align>
              </wp:positionV>
              <wp:extent cx="7700645" cy="42481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424815"/>
                      </a:xfrm>
                      <a:prstGeom prst="rect">
                        <a:avLst/>
                      </a:prstGeom>
                      <a:solidFill>
                        <a:schemeClr val="bg1">
                          <a:lumMod val="65000"/>
                        </a:schemeClr>
                      </a:solidFill>
                      <a:ln w="9525">
                        <a:noFill/>
                        <a:miter lim="800000"/>
                        <a:headEnd/>
                        <a:tailEnd/>
                      </a:ln>
                    </wps:spPr>
                    <wps:txbx>
                      <w:txbxContent>
                        <w:p w14:paraId="6FD9C504" w14:textId="77777777" w:rsidR="00CA7AD4" w:rsidRPr="00F20A7C" w:rsidRDefault="00CA7AD4"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37EB677" id="_x0000_s1030" type="#_x0000_t202" style="position:absolute;margin-left:0;margin-top:0;width:606.35pt;height:33.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" fillcolor="#a5a5a5 [2092]" stroked="f">
              <v:path arrowok="t"/>
              <v:textbox>
                <w:txbxContent>
                  <w:p w14:paraId="6FD9C504" w14:textId="77777777" w:rsidR="00CA7AD4" w:rsidRPr="00F20A7C" w:rsidRDefault="00CA7AD4"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Pr>
        <w:rFonts w:cstheme="minorHAnsi"/>
        <w:b/>
        <w:color w:val="999999"/>
        <w:sz w:val="20"/>
        <w:szCs w:val="20"/>
      </w:rPr>
      <w:t>ARTICLE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02E05E" w14:textId="77777777" w:rsidR="00CA7AD4" w:rsidRDefault="00CA7AD4" w:rsidP="00180ABE">
    <w:pPr>
      <w:pStyle w:val="Zhlav"/>
      <w:shd w:val="clear" w:color="auto" w:fill="FFFFFF" w:themeFill="background1"/>
      <w:tabs>
        <w:tab w:val="clear" w:pos="4513"/>
        <w:tab w:val="clear" w:pos="9026"/>
        <w:tab w:val="right" w:pos="10205"/>
      </w:tabs>
      <w:spacing w:after="240"/>
      <w:rPr>
        <w:b/>
        <w:noProof/>
        <w:sz w:val="32"/>
        <w:szCs w:val="32"/>
        <w:lang w:eastAsia="en-GB"/>
      </w:rPr>
    </w:pPr>
    <w:r>
      <w:rPr>
        <w:noProof/>
        <w:lang w:val="en-US"/>
      </w:rPr>
      <mc:AlternateContent>
        <mc:Choice Requires="wps">
          <w:drawing>
            <wp:anchor distT="0" distB="0" distL="114300" distR="114300" simplePos="0" relativeHeight="251650048" behindDoc="0" locked="0" layoutInCell="1" allowOverlap="1" wp14:anchorId="79ECE77B" wp14:editId="107957A4">
              <wp:simplePos x="0" y="0"/>
              <wp:positionH relativeFrom="column">
                <wp:align>center</wp:align>
              </wp:positionH>
              <wp:positionV relativeFrom="page">
                <wp:align>top</wp:align>
              </wp:positionV>
              <wp:extent cx="7700645" cy="399415"/>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700645" cy="399415"/>
                      </a:xfrm>
                      <a:prstGeom prst="rect">
                        <a:avLst/>
                      </a:prstGeom>
                      <a:solidFill>
                        <a:schemeClr val="bg1">
                          <a:lumMod val="65000"/>
                        </a:schemeClr>
                      </a:solidFill>
                      <a:ln w="9525">
                        <a:noFill/>
                        <a:miter lim="800000"/>
                        <a:headEnd/>
                        <a:tailEnd/>
                      </a:ln>
                    </wps:spPr>
                    <wps:txbx>
                      <w:txbxContent>
                        <w:p w14:paraId="03428E82" w14:textId="77777777" w:rsidR="00CA7AD4" w:rsidRPr="00F20A7C" w:rsidRDefault="00CA7AD4"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79ECE77B" id="_x0000_t202" coordsize="21600,21600" o:spt="202" path="m,l,21600r21600,l21600,xe">
              <v:stroke joinstyle="miter"/>
              <v:path gradientshapeok="t" o:connecttype="rect"/>
            </v:shapetype>
            <v:shape id="_x0000_s1031" type="#_x0000_t202" style="position:absolute;margin-left:0;margin-top:0;width:606.35pt;height:31.45pt;z-index:25165004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" fillcolor="#a5a5a5 [2092]" stroked="f">
              <v:path arrowok="t"/>
              <v:textbox>
                <w:txbxContent>
                  <w:p w14:paraId="03428E82" w14:textId="77777777" w:rsidR="00CA7AD4" w:rsidRPr="00F20A7C" w:rsidRDefault="00CA7AD4"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ab/>
    </w:r>
  </w:p>
  <w:p w14:paraId="52665BAD" w14:textId="77777777" w:rsidR="00CA7AD4" w:rsidRDefault="00CA7AD4" w:rsidP="00180ABE">
    <w:pPr>
      <w:pStyle w:val="Zhlav"/>
      <w:shd w:val="clear" w:color="auto" w:fill="FFFFFF" w:themeFill="background1"/>
      <w:tabs>
        <w:tab w:val="clear" w:pos="4513"/>
        <w:tab w:val="clear" w:pos="9026"/>
        <w:tab w:val="right" w:pos="10205"/>
      </w:tabs>
      <w:spacing w:after="240"/>
      <w:rPr>
        <w:b/>
        <w:sz w:val="32"/>
        <w:szCs w:val="32"/>
      </w:rPr>
    </w:pPr>
  </w:p>
  <w:p w14:paraId="3BD7DA68" w14:textId="77777777" w:rsidR="00CA7AD4" w:rsidRPr="00180ABE" w:rsidRDefault="00CA7AD4" w:rsidP="00180ABE">
    <w:pPr>
      <w:pStyle w:val="Zhlav"/>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565BA0"/>
    <w:multiLevelType w:val="multilevel"/>
    <w:tmpl w:val="A7A00DE0"/>
    <w:lvl w:ilvl="0">
      <w:start w:val="2"/>
      <w:numFmt w:val="decimal"/>
      <w:lvlText w:val="%1"/>
      <w:lvlJc w:val="left"/>
      <w:pPr>
        <w:tabs>
          <w:tab w:val="num" w:pos="2130"/>
        </w:tabs>
        <w:ind w:left="2130" w:hanging="2130"/>
      </w:pPr>
      <w:rPr>
        <w:rFonts w:hint="default"/>
      </w:rPr>
    </w:lvl>
    <w:lvl w:ilvl="1">
      <w:start w:val="4"/>
      <w:numFmt w:val="decimal"/>
      <w:lvlText w:val="%1-%2"/>
      <w:lvlJc w:val="left"/>
      <w:pPr>
        <w:tabs>
          <w:tab w:val="num" w:pos="2838"/>
        </w:tabs>
        <w:ind w:left="2838" w:hanging="2130"/>
      </w:pPr>
      <w:rPr>
        <w:rFonts w:hint="default"/>
      </w:rPr>
    </w:lvl>
    <w:lvl w:ilvl="2">
      <w:start w:val="1"/>
      <w:numFmt w:val="decimal"/>
      <w:lvlText w:val="%1-%2.%3"/>
      <w:lvlJc w:val="left"/>
      <w:pPr>
        <w:tabs>
          <w:tab w:val="num" w:pos="3546"/>
        </w:tabs>
        <w:ind w:left="3546" w:hanging="2130"/>
      </w:pPr>
      <w:rPr>
        <w:rFonts w:hint="default"/>
      </w:rPr>
    </w:lvl>
    <w:lvl w:ilvl="3">
      <w:start w:val="1"/>
      <w:numFmt w:val="decimal"/>
      <w:lvlText w:val="%1-%2.%3.%4"/>
      <w:lvlJc w:val="left"/>
      <w:pPr>
        <w:tabs>
          <w:tab w:val="num" w:pos="4254"/>
        </w:tabs>
        <w:ind w:left="4254" w:hanging="2130"/>
      </w:pPr>
      <w:rPr>
        <w:rFonts w:hint="default"/>
      </w:rPr>
    </w:lvl>
    <w:lvl w:ilvl="4">
      <w:start w:val="1"/>
      <w:numFmt w:val="decimal"/>
      <w:lvlText w:val="%1-%2.%3.%4.%5"/>
      <w:lvlJc w:val="left"/>
      <w:pPr>
        <w:tabs>
          <w:tab w:val="num" w:pos="4962"/>
        </w:tabs>
        <w:ind w:left="4962" w:hanging="2130"/>
      </w:pPr>
      <w:rPr>
        <w:rFonts w:hint="default"/>
      </w:rPr>
    </w:lvl>
    <w:lvl w:ilvl="5">
      <w:start w:val="1"/>
      <w:numFmt w:val="decimal"/>
      <w:lvlText w:val="%1-%2.%3.%4.%5.%6"/>
      <w:lvlJc w:val="left"/>
      <w:pPr>
        <w:tabs>
          <w:tab w:val="num" w:pos="5670"/>
        </w:tabs>
        <w:ind w:left="5670" w:hanging="2130"/>
      </w:pPr>
      <w:rPr>
        <w:rFonts w:hint="default"/>
      </w:rPr>
    </w:lvl>
    <w:lvl w:ilvl="6">
      <w:start w:val="1"/>
      <w:numFmt w:val="decimal"/>
      <w:lvlText w:val="%1-%2.%3.%4.%5.%6.%7"/>
      <w:lvlJc w:val="left"/>
      <w:pPr>
        <w:tabs>
          <w:tab w:val="num" w:pos="6378"/>
        </w:tabs>
        <w:ind w:left="6378" w:hanging="2130"/>
      </w:pPr>
      <w:rPr>
        <w:rFonts w:hint="default"/>
      </w:rPr>
    </w:lvl>
    <w:lvl w:ilvl="7">
      <w:start w:val="1"/>
      <w:numFmt w:val="decimal"/>
      <w:lvlText w:val="%1-%2.%3.%4.%5.%6.%7.%8"/>
      <w:lvlJc w:val="left"/>
      <w:pPr>
        <w:tabs>
          <w:tab w:val="num" w:pos="7086"/>
        </w:tabs>
        <w:ind w:left="7086" w:hanging="2130"/>
      </w:pPr>
      <w:rPr>
        <w:rFonts w:hint="default"/>
      </w:rPr>
    </w:lvl>
    <w:lvl w:ilvl="8">
      <w:start w:val="1"/>
      <w:numFmt w:val="decimal"/>
      <w:lvlText w:val="%1-%2.%3.%4.%5.%6.%7.%8.%9"/>
      <w:lvlJc w:val="left"/>
      <w:pPr>
        <w:tabs>
          <w:tab w:val="num" w:pos="7794"/>
        </w:tabs>
        <w:ind w:left="7794" w:hanging="2130"/>
      </w:pPr>
      <w:rPr>
        <w:rFonts w:hint="default"/>
      </w:rPr>
    </w:lvl>
  </w:abstractNum>
  <w:abstractNum w:abstractNumId="2"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4"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5"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6"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7"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1"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2" w15:restartNumberingAfterBreak="0">
    <w:nsid w:val="47F54E7A"/>
    <w:multiLevelType w:val="multilevel"/>
    <w:tmpl w:val="D3586EA6"/>
    <w:lvl w:ilvl="0">
      <w:start w:val="2"/>
      <w:numFmt w:val="decimal"/>
      <w:lvlText w:val="%1"/>
      <w:lvlJc w:val="left"/>
      <w:pPr>
        <w:tabs>
          <w:tab w:val="num" w:pos="705"/>
        </w:tabs>
        <w:ind w:left="705" w:hanging="705"/>
      </w:pPr>
      <w:rPr>
        <w:rFonts w:hint="default"/>
      </w:rPr>
    </w:lvl>
    <w:lvl w:ilvl="1">
      <w:start w:val="3"/>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15:restartNumberingAfterBreak="0">
    <w:nsid w:val="48507987"/>
    <w:multiLevelType w:val="multilevel"/>
    <w:tmpl w:val="01649AB6"/>
    <w:lvl w:ilvl="0">
      <w:start w:val="2"/>
      <w:numFmt w:val="decimal"/>
      <w:lvlText w:val="%1"/>
      <w:lvlJc w:val="left"/>
      <w:pPr>
        <w:tabs>
          <w:tab w:val="num" w:pos="360"/>
        </w:tabs>
        <w:ind w:left="360" w:hanging="360"/>
      </w:pPr>
      <w:rPr>
        <w:rFonts w:hint="default"/>
        <w:b/>
      </w:rPr>
    </w:lvl>
    <w:lvl w:ilvl="1">
      <w:start w:val="3"/>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720"/>
        </w:tabs>
        <w:ind w:left="720" w:hanging="720"/>
      </w:pPr>
      <w:rPr>
        <w:rFonts w:hint="default"/>
        <w:b/>
      </w:rPr>
    </w:lvl>
    <w:lvl w:ilvl="4">
      <w:start w:val="1"/>
      <w:numFmt w:val="decimal"/>
      <w:lvlText w:val="%1.%2.%3.%4.%5"/>
      <w:lvlJc w:val="left"/>
      <w:pPr>
        <w:tabs>
          <w:tab w:val="num" w:pos="720"/>
        </w:tabs>
        <w:ind w:left="720" w:hanging="72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080"/>
        </w:tabs>
        <w:ind w:left="1080" w:hanging="108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440"/>
        </w:tabs>
        <w:ind w:left="1440" w:hanging="1440"/>
      </w:pPr>
      <w:rPr>
        <w:rFonts w:hint="default"/>
        <w:b/>
      </w:rPr>
    </w:lvl>
  </w:abstractNum>
  <w:abstractNum w:abstractNumId="14" w15:restartNumberingAfterBreak="0">
    <w:nsid w:val="4D6F677A"/>
    <w:multiLevelType w:val="hybridMultilevel"/>
    <w:tmpl w:val="E4A049BC"/>
    <w:lvl w:ilvl="0" w:tplc="04050017">
      <w:start w:val="1"/>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9124CAB"/>
    <w:multiLevelType w:val="multilevel"/>
    <w:tmpl w:val="FB8CE976"/>
    <w:lvl w:ilvl="0">
      <w:start w:val="1"/>
      <w:numFmt w:val="decimal"/>
      <w:pStyle w:val="Nadpis1"/>
      <w:lvlText w:val="%1"/>
      <w:lvlJc w:val="left"/>
      <w:pPr>
        <w:tabs>
          <w:tab w:val="num" w:pos="432"/>
        </w:tabs>
        <w:ind w:left="432" w:hanging="432"/>
      </w:pPr>
    </w:lvl>
    <w:lvl w:ilvl="1">
      <w:start w:val="1"/>
      <w:numFmt w:val="decimal"/>
      <w:pStyle w:val="Nadpis2"/>
      <w:lvlText w:val="%1.%2"/>
      <w:lvlJc w:val="left"/>
      <w:pPr>
        <w:tabs>
          <w:tab w:val="num" w:pos="576"/>
        </w:tabs>
        <w:ind w:left="576" w:hanging="576"/>
      </w:pPr>
    </w:lvl>
    <w:lvl w:ilvl="2">
      <w:start w:val="1"/>
      <w:numFmt w:val="decimal"/>
      <w:pStyle w:val="Nadpis3"/>
      <w:lvlText w:val="%1.%2.%3"/>
      <w:lvlJc w:val="left"/>
      <w:pPr>
        <w:tabs>
          <w:tab w:val="num" w:pos="720"/>
        </w:tabs>
        <w:ind w:left="720" w:hanging="720"/>
      </w:p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abstractNum w:abstractNumId="17" w15:restartNumberingAfterBreak="0">
    <w:nsid w:val="60F572E9"/>
    <w:multiLevelType w:val="hybridMultilevel"/>
    <w:tmpl w:val="421C8660"/>
    <w:lvl w:ilvl="0" w:tplc="656426DC">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AE47938"/>
    <w:multiLevelType w:val="hybridMultilevel"/>
    <w:tmpl w:val="8C1A3754"/>
    <w:lvl w:ilvl="0" w:tplc="EF52D994">
      <w:start w:val="106"/>
      <w:numFmt w:val="decimal"/>
      <w:lvlText w:val="%1."/>
      <w:lvlJc w:val="left"/>
      <w:pPr>
        <w:ind w:left="780" w:hanging="4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7"/>
  </w:num>
  <w:num w:numId="4">
    <w:abstractNumId w:val="19"/>
  </w:num>
  <w:num w:numId="5">
    <w:abstractNumId w:val="15"/>
  </w:num>
  <w:num w:numId="6">
    <w:abstractNumId w:val="2"/>
  </w:num>
  <w:num w:numId="7">
    <w:abstractNumId w:val="9"/>
  </w:num>
  <w:num w:numId="8">
    <w:abstractNumId w:val="10"/>
  </w:num>
  <w:num w:numId="9">
    <w:abstractNumId w:val="5"/>
  </w:num>
  <w:num w:numId="10">
    <w:abstractNumId w:val="11"/>
  </w:num>
  <w:num w:numId="11">
    <w:abstractNumId w:val="6"/>
  </w:num>
  <w:num w:numId="12">
    <w:abstractNumId w:val="4"/>
  </w:num>
  <w:num w:numId="13">
    <w:abstractNumId w:val="3"/>
  </w:num>
  <w:num w:numId="14">
    <w:abstractNumId w:val="16"/>
  </w:num>
  <w:num w:numId="15">
    <w:abstractNumId w:val="12"/>
  </w:num>
  <w:num w:numId="16">
    <w:abstractNumId w:val="1"/>
  </w:num>
  <w:num w:numId="17">
    <w:abstractNumId w:val="13"/>
  </w:num>
  <w:num w:numId="18">
    <w:abstractNumId w:val="17"/>
  </w:num>
  <w:num w:numId="19">
    <w:abstractNumId w:val="14"/>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TrueTypeFonts/>
  <w:proofState w:spelling="clean" w:grammar="clean"/>
  <w:stylePaneSortMethod w:val="0000"/>
  <w:defaultTabStop w:val="284"/>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25A0"/>
    <w:rsid w:val="00005B8A"/>
    <w:rsid w:val="00010253"/>
    <w:rsid w:val="00022D8A"/>
    <w:rsid w:val="00025417"/>
    <w:rsid w:val="00025AF3"/>
    <w:rsid w:val="000351D3"/>
    <w:rsid w:val="0003744F"/>
    <w:rsid w:val="00061A1C"/>
    <w:rsid w:val="000622D1"/>
    <w:rsid w:val="00070171"/>
    <w:rsid w:val="00071E41"/>
    <w:rsid w:val="00073639"/>
    <w:rsid w:val="00082DE7"/>
    <w:rsid w:val="00084719"/>
    <w:rsid w:val="00090AFF"/>
    <w:rsid w:val="000A2670"/>
    <w:rsid w:val="000B255B"/>
    <w:rsid w:val="000B681A"/>
    <w:rsid w:val="000C0A9D"/>
    <w:rsid w:val="000D21C1"/>
    <w:rsid w:val="000D2FAC"/>
    <w:rsid w:val="000D5891"/>
    <w:rsid w:val="000D6963"/>
    <w:rsid w:val="000E36EB"/>
    <w:rsid w:val="000E7A32"/>
    <w:rsid w:val="000F0959"/>
    <w:rsid w:val="000F3A41"/>
    <w:rsid w:val="00104ACB"/>
    <w:rsid w:val="00120227"/>
    <w:rsid w:val="001214F9"/>
    <w:rsid w:val="00123A4C"/>
    <w:rsid w:val="00126027"/>
    <w:rsid w:val="00130485"/>
    <w:rsid w:val="001508E9"/>
    <w:rsid w:val="001573A4"/>
    <w:rsid w:val="001633D9"/>
    <w:rsid w:val="00166576"/>
    <w:rsid w:val="00180ABE"/>
    <w:rsid w:val="00180CCB"/>
    <w:rsid w:val="001923AB"/>
    <w:rsid w:val="0019285F"/>
    <w:rsid w:val="001A4492"/>
    <w:rsid w:val="001A50E0"/>
    <w:rsid w:val="001A52A0"/>
    <w:rsid w:val="001C1EB8"/>
    <w:rsid w:val="001D4A75"/>
    <w:rsid w:val="001E0264"/>
    <w:rsid w:val="001E35C3"/>
    <w:rsid w:val="001E60F9"/>
    <w:rsid w:val="00206A82"/>
    <w:rsid w:val="002107BE"/>
    <w:rsid w:val="00214AA5"/>
    <w:rsid w:val="00214BEC"/>
    <w:rsid w:val="002225C9"/>
    <w:rsid w:val="002352D4"/>
    <w:rsid w:val="00237C8A"/>
    <w:rsid w:val="00240212"/>
    <w:rsid w:val="0024022C"/>
    <w:rsid w:val="00240537"/>
    <w:rsid w:val="00241ACD"/>
    <w:rsid w:val="00246271"/>
    <w:rsid w:val="00251D0D"/>
    <w:rsid w:val="00253551"/>
    <w:rsid w:val="00270DD5"/>
    <w:rsid w:val="00271235"/>
    <w:rsid w:val="00272D6F"/>
    <w:rsid w:val="00284AE7"/>
    <w:rsid w:val="002A123A"/>
    <w:rsid w:val="002A5421"/>
    <w:rsid w:val="002C0803"/>
    <w:rsid w:val="002C0E0B"/>
    <w:rsid w:val="002C251C"/>
    <w:rsid w:val="002C33C5"/>
    <w:rsid w:val="002C3D7C"/>
    <w:rsid w:val="002C60B7"/>
    <w:rsid w:val="002E5B1D"/>
    <w:rsid w:val="002F3901"/>
    <w:rsid w:val="002F50C4"/>
    <w:rsid w:val="002F52C3"/>
    <w:rsid w:val="00305751"/>
    <w:rsid w:val="0033030C"/>
    <w:rsid w:val="00333A3D"/>
    <w:rsid w:val="00352029"/>
    <w:rsid w:val="00352AA4"/>
    <w:rsid w:val="00354579"/>
    <w:rsid w:val="00356F00"/>
    <w:rsid w:val="00357335"/>
    <w:rsid w:val="0037505D"/>
    <w:rsid w:val="00377481"/>
    <w:rsid w:val="00382DA9"/>
    <w:rsid w:val="00385965"/>
    <w:rsid w:val="003942F5"/>
    <w:rsid w:val="003A7AE4"/>
    <w:rsid w:val="003A7E95"/>
    <w:rsid w:val="003B107F"/>
    <w:rsid w:val="003B739C"/>
    <w:rsid w:val="003C6313"/>
    <w:rsid w:val="003D4ECA"/>
    <w:rsid w:val="003D6715"/>
    <w:rsid w:val="003E55B2"/>
    <w:rsid w:val="0043180D"/>
    <w:rsid w:val="004414A5"/>
    <w:rsid w:val="004430BE"/>
    <w:rsid w:val="0044700B"/>
    <w:rsid w:val="0046465A"/>
    <w:rsid w:val="00467171"/>
    <w:rsid w:val="004678FA"/>
    <w:rsid w:val="00467C80"/>
    <w:rsid w:val="00474052"/>
    <w:rsid w:val="004877C8"/>
    <w:rsid w:val="004901D3"/>
    <w:rsid w:val="004B4A74"/>
    <w:rsid w:val="004B5EA4"/>
    <w:rsid w:val="004C531E"/>
    <w:rsid w:val="004C6201"/>
    <w:rsid w:val="004C6C90"/>
    <w:rsid w:val="004D3DB5"/>
    <w:rsid w:val="004D6D99"/>
    <w:rsid w:val="004F46E6"/>
    <w:rsid w:val="005037CD"/>
    <w:rsid w:val="00504795"/>
    <w:rsid w:val="00514CBA"/>
    <w:rsid w:val="0052368F"/>
    <w:rsid w:val="0052630A"/>
    <w:rsid w:val="0053177A"/>
    <w:rsid w:val="00533EA1"/>
    <w:rsid w:val="00543978"/>
    <w:rsid w:val="005667B4"/>
    <w:rsid w:val="005771C3"/>
    <w:rsid w:val="00577B54"/>
    <w:rsid w:val="00590F6D"/>
    <w:rsid w:val="005A5A6D"/>
    <w:rsid w:val="005A5ED7"/>
    <w:rsid w:val="005A5FB8"/>
    <w:rsid w:val="005B1748"/>
    <w:rsid w:val="005B5017"/>
    <w:rsid w:val="005C1A41"/>
    <w:rsid w:val="005C4565"/>
    <w:rsid w:val="005C688F"/>
    <w:rsid w:val="005D0E8F"/>
    <w:rsid w:val="005D2664"/>
    <w:rsid w:val="005D448E"/>
    <w:rsid w:val="005E05CD"/>
    <w:rsid w:val="00600DF2"/>
    <w:rsid w:val="00602CA1"/>
    <w:rsid w:val="0061572F"/>
    <w:rsid w:val="006178D9"/>
    <w:rsid w:val="00621161"/>
    <w:rsid w:val="00627925"/>
    <w:rsid w:val="00630DA5"/>
    <w:rsid w:val="00631441"/>
    <w:rsid w:val="00641030"/>
    <w:rsid w:val="00645D52"/>
    <w:rsid w:val="0065133B"/>
    <w:rsid w:val="006556AC"/>
    <w:rsid w:val="00656870"/>
    <w:rsid w:val="006602F1"/>
    <w:rsid w:val="0066192E"/>
    <w:rsid w:val="00667165"/>
    <w:rsid w:val="00670ED4"/>
    <w:rsid w:val="00672928"/>
    <w:rsid w:val="00674A86"/>
    <w:rsid w:val="006834CF"/>
    <w:rsid w:val="00696158"/>
    <w:rsid w:val="006A69C8"/>
    <w:rsid w:val="006C618F"/>
    <w:rsid w:val="006D15F6"/>
    <w:rsid w:val="006D6163"/>
    <w:rsid w:val="006E436B"/>
    <w:rsid w:val="006E58B1"/>
    <w:rsid w:val="006F01C4"/>
    <w:rsid w:val="006F487B"/>
    <w:rsid w:val="006F740B"/>
    <w:rsid w:val="007214D8"/>
    <w:rsid w:val="00735965"/>
    <w:rsid w:val="00744A41"/>
    <w:rsid w:val="0075539C"/>
    <w:rsid w:val="007741C5"/>
    <w:rsid w:val="00780A41"/>
    <w:rsid w:val="00794342"/>
    <w:rsid w:val="00794787"/>
    <w:rsid w:val="007A2087"/>
    <w:rsid w:val="007A37D8"/>
    <w:rsid w:val="007C3369"/>
    <w:rsid w:val="007C3D03"/>
    <w:rsid w:val="007C45C4"/>
    <w:rsid w:val="007D1EFA"/>
    <w:rsid w:val="007D5FE4"/>
    <w:rsid w:val="00800860"/>
    <w:rsid w:val="008028F5"/>
    <w:rsid w:val="008125A0"/>
    <w:rsid w:val="00831720"/>
    <w:rsid w:val="00832F13"/>
    <w:rsid w:val="008337FD"/>
    <w:rsid w:val="00841613"/>
    <w:rsid w:val="00850225"/>
    <w:rsid w:val="008560DE"/>
    <w:rsid w:val="00870E54"/>
    <w:rsid w:val="0088525A"/>
    <w:rsid w:val="008A0D60"/>
    <w:rsid w:val="008A7D79"/>
    <w:rsid w:val="008B67F7"/>
    <w:rsid w:val="008C1387"/>
    <w:rsid w:val="008C2E22"/>
    <w:rsid w:val="008C682F"/>
    <w:rsid w:val="008E19FA"/>
    <w:rsid w:val="008E509B"/>
    <w:rsid w:val="008F2154"/>
    <w:rsid w:val="008F2920"/>
    <w:rsid w:val="008F4811"/>
    <w:rsid w:val="008F525A"/>
    <w:rsid w:val="008F7914"/>
    <w:rsid w:val="009026D4"/>
    <w:rsid w:val="00921B7E"/>
    <w:rsid w:val="0092763E"/>
    <w:rsid w:val="009316A6"/>
    <w:rsid w:val="00936114"/>
    <w:rsid w:val="009400E9"/>
    <w:rsid w:val="00945AB5"/>
    <w:rsid w:val="00946830"/>
    <w:rsid w:val="0095100A"/>
    <w:rsid w:val="00951507"/>
    <w:rsid w:val="00953D70"/>
    <w:rsid w:val="00962779"/>
    <w:rsid w:val="009654EC"/>
    <w:rsid w:val="00973FE9"/>
    <w:rsid w:val="00975246"/>
    <w:rsid w:val="00983E37"/>
    <w:rsid w:val="00986E00"/>
    <w:rsid w:val="009918D9"/>
    <w:rsid w:val="009964FB"/>
    <w:rsid w:val="009A21C5"/>
    <w:rsid w:val="009A392D"/>
    <w:rsid w:val="009B44DD"/>
    <w:rsid w:val="009D04FE"/>
    <w:rsid w:val="009D17C3"/>
    <w:rsid w:val="009D2921"/>
    <w:rsid w:val="009D47C2"/>
    <w:rsid w:val="009D5953"/>
    <w:rsid w:val="009E3DDD"/>
    <w:rsid w:val="009E51F8"/>
    <w:rsid w:val="009F2649"/>
    <w:rsid w:val="00A00696"/>
    <w:rsid w:val="00A05364"/>
    <w:rsid w:val="00A074D7"/>
    <w:rsid w:val="00A17D23"/>
    <w:rsid w:val="00A208E1"/>
    <w:rsid w:val="00A21540"/>
    <w:rsid w:val="00A23D38"/>
    <w:rsid w:val="00A334F0"/>
    <w:rsid w:val="00A521AB"/>
    <w:rsid w:val="00A5329A"/>
    <w:rsid w:val="00A53BC8"/>
    <w:rsid w:val="00A558BE"/>
    <w:rsid w:val="00A56244"/>
    <w:rsid w:val="00A5631D"/>
    <w:rsid w:val="00A56CD0"/>
    <w:rsid w:val="00A61D3E"/>
    <w:rsid w:val="00A645C2"/>
    <w:rsid w:val="00A7643E"/>
    <w:rsid w:val="00A82FE0"/>
    <w:rsid w:val="00A9649E"/>
    <w:rsid w:val="00AA1341"/>
    <w:rsid w:val="00AB16D0"/>
    <w:rsid w:val="00AB2C1B"/>
    <w:rsid w:val="00AB313E"/>
    <w:rsid w:val="00AB711A"/>
    <w:rsid w:val="00AC214A"/>
    <w:rsid w:val="00AC2F44"/>
    <w:rsid w:val="00AC3A92"/>
    <w:rsid w:val="00AC3BF2"/>
    <w:rsid w:val="00AD425F"/>
    <w:rsid w:val="00AD5483"/>
    <w:rsid w:val="00AD72EA"/>
    <w:rsid w:val="00AE37FC"/>
    <w:rsid w:val="00AF0249"/>
    <w:rsid w:val="00AF150F"/>
    <w:rsid w:val="00AF4737"/>
    <w:rsid w:val="00B0470A"/>
    <w:rsid w:val="00B0488E"/>
    <w:rsid w:val="00B11FCA"/>
    <w:rsid w:val="00B2364D"/>
    <w:rsid w:val="00B53582"/>
    <w:rsid w:val="00B6239D"/>
    <w:rsid w:val="00B67630"/>
    <w:rsid w:val="00B70B18"/>
    <w:rsid w:val="00B722DE"/>
    <w:rsid w:val="00B80503"/>
    <w:rsid w:val="00B80940"/>
    <w:rsid w:val="00B80DDB"/>
    <w:rsid w:val="00B81EE1"/>
    <w:rsid w:val="00B9392D"/>
    <w:rsid w:val="00BA42DD"/>
    <w:rsid w:val="00BA761E"/>
    <w:rsid w:val="00BB3FBE"/>
    <w:rsid w:val="00BC603D"/>
    <w:rsid w:val="00BE553A"/>
    <w:rsid w:val="00C03CE1"/>
    <w:rsid w:val="00C3016F"/>
    <w:rsid w:val="00C31922"/>
    <w:rsid w:val="00C32EDF"/>
    <w:rsid w:val="00C405FD"/>
    <w:rsid w:val="00C42573"/>
    <w:rsid w:val="00C5024A"/>
    <w:rsid w:val="00C57107"/>
    <w:rsid w:val="00C62C2D"/>
    <w:rsid w:val="00C74E20"/>
    <w:rsid w:val="00C75D37"/>
    <w:rsid w:val="00C9227C"/>
    <w:rsid w:val="00C9557D"/>
    <w:rsid w:val="00C9650B"/>
    <w:rsid w:val="00C97C52"/>
    <w:rsid w:val="00CA2740"/>
    <w:rsid w:val="00CA3891"/>
    <w:rsid w:val="00CA7AD4"/>
    <w:rsid w:val="00CB1500"/>
    <w:rsid w:val="00CB68FD"/>
    <w:rsid w:val="00CC12E6"/>
    <w:rsid w:val="00CC2E25"/>
    <w:rsid w:val="00CC7C64"/>
    <w:rsid w:val="00CD0B47"/>
    <w:rsid w:val="00CE3E1D"/>
    <w:rsid w:val="00CE7F00"/>
    <w:rsid w:val="00CF5F1A"/>
    <w:rsid w:val="00CF6142"/>
    <w:rsid w:val="00D010E8"/>
    <w:rsid w:val="00D02C04"/>
    <w:rsid w:val="00D116F8"/>
    <w:rsid w:val="00D138E8"/>
    <w:rsid w:val="00D20259"/>
    <w:rsid w:val="00D208BA"/>
    <w:rsid w:val="00D21668"/>
    <w:rsid w:val="00D216BC"/>
    <w:rsid w:val="00D26F30"/>
    <w:rsid w:val="00D34BBC"/>
    <w:rsid w:val="00D36E2E"/>
    <w:rsid w:val="00D42F8F"/>
    <w:rsid w:val="00D45ADF"/>
    <w:rsid w:val="00D46DF3"/>
    <w:rsid w:val="00D47B05"/>
    <w:rsid w:val="00D60F6A"/>
    <w:rsid w:val="00D624AD"/>
    <w:rsid w:val="00D6524A"/>
    <w:rsid w:val="00D654AD"/>
    <w:rsid w:val="00D6730B"/>
    <w:rsid w:val="00D9212E"/>
    <w:rsid w:val="00D96CCB"/>
    <w:rsid w:val="00DA07F1"/>
    <w:rsid w:val="00DB3700"/>
    <w:rsid w:val="00DC2F2A"/>
    <w:rsid w:val="00DD06F4"/>
    <w:rsid w:val="00DD1497"/>
    <w:rsid w:val="00DD500F"/>
    <w:rsid w:val="00DF45E7"/>
    <w:rsid w:val="00DF48B4"/>
    <w:rsid w:val="00DF53E4"/>
    <w:rsid w:val="00E2136E"/>
    <w:rsid w:val="00E233F3"/>
    <w:rsid w:val="00E25AF8"/>
    <w:rsid w:val="00E31A6A"/>
    <w:rsid w:val="00E34A45"/>
    <w:rsid w:val="00E46BDF"/>
    <w:rsid w:val="00E547DB"/>
    <w:rsid w:val="00E54EA9"/>
    <w:rsid w:val="00E555BF"/>
    <w:rsid w:val="00E61949"/>
    <w:rsid w:val="00E63D72"/>
    <w:rsid w:val="00E70DCE"/>
    <w:rsid w:val="00E8452E"/>
    <w:rsid w:val="00E8544B"/>
    <w:rsid w:val="00E96229"/>
    <w:rsid w:val="00EA446A"/>
    <w:rsid w:val="00EA7DC1"/>
    <w:rsid w:val="00EB132C"/>
    <w:rsid w:val="00EB3290"/>
    <w:rsid w:val="00EB5BA2"/>
    <w:rsid w:val="00EB5C28"/>
    <w:rsid w:val="00EC2B1D"/>
    <w:rsid w:val="00ED03E0"/>
    <w:rsid w:val="00EE03D5"/>
    <w:rsid w:val="00EE3AFB"/>
    <w:rsid w:val="00EF0D19"/>
    <w:rsid w:val="00EF1577"/>
    <w:rsid w:val="00EF6BD4"/>
    <w:rsid w:val="00F01A97"/>
    <w:rsid w:val="00F02A47"/>
    <w:rsid w:val="00F05C18"/>
    <w:rsid w:val="00F157DD"/>
    <w:rsid w:val="00F15F90"/>
    <w:rsid w:val="00F21465"/>
    <w:rsid w:val="00F26C79"/>
    <w:rsid w:val="00F27945"/>
    <w:rsid w:val="00F341E3"/>
    <w:rsid w:val="00F4533D"/>
    <w:rsid w:val="00F550BA"/>
    <w:rsid w:val="00F6065C"/>
    <w:rsid w:val="00F61EB1"/>
    <w:rsid w:val="00F62C8B"/>
    <w:rsid w:val="00F633EC"/>
    <w:rsid w:val="00F802D4"/>
    <w:rsid w:val="00F91982"/>
    <w:rsid w:val="00F94577"/>
    <w:rsid w:val="00FA2DA2"/>
    <w:rsid w:val="00FA311A"/>
    <w:rsid w:val="00FB16A8"/>
    <w:rsid w:val="00FC1AAD"/>
    <w:rsid w:val="00FC52D2"/>
    <w:rsid w:val="00FC545D"/>
    <w:rsid w:val="00FD0BF2"/>
    <w:rsid w:val="00FD27DF"/>
    <w:rsid w:val="00FD34C5"/>
    <w:rsid w:val="00FD3523"/>
    <w:rsid w:val="00FD46BE"/>
    <w:rsid w:val="00FE0FE8"/>
    <w:rsid w:val="00FF56AA"/>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798CE5"/>
  <w15:docId w15:val="{CF3F5ACC-1CA5-4210-8B53-3F54D543B5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rsid w:val="00EF1577"/>
  </w:style>
  <w:style w:type="paragraph" w:styleId="Nadpis1">
    <w:name w:val="heading 1"/>
    <w:aliases w:val="1u"/>
    <w:basedOn w:val="Normln"/>
    <w:next w:val="Normln"/>
    <w:link w:val="Nadpis1Char"/>
    <w:qFormat/>
    <w:rsid w:val="00AE37FC"/>
    <w:pPr>
      <w:keepNext/>
      <w:numPr>
        <w:numId w:val="14"/>
      </w:numPr>
      <w:spacing w:before="240" w:after="60" w:line="240" w:lineRule="auto"/>
      <w:outlineLvl w:val="0"/>
    </w:pPr>
    <w:rPr>
      <w:rFonts w:ascii="Arial" w:eastAsia="Times New Roman" w:hAnsi="Arial" w:cs="Times New Roman"/>
      <w:b/>
      <w:bCs/>
      <w:smallCaps/>
      <w:kern w:val="32"/>
      <w:sz w:val="24"/>
      <w:szCs w:val="32"/>
      <w:lang w:val="en-US" w:eastAsia="x-none"/>
    </w:rPr>
  </w:style>
  <w:style w:type="paragraph" w:styleId="Nadpis2">
    <w:name w:val="heading 2"/>
    <w:aliases w:val="2u"/>
    <w:basedOn w:val="Normln"/>
    <w:next w:val="Normln"/>
    <w:link w:val="Nadpis2Char"/>
    <w:qFormat/>
    <w:rsid w:val="00AE37FC"/>
    <w:pPr>
      <w:keepNext/>
      <w:numPr>
        <w:ilvl w:val="1"/>
        <w:numId w:val="14"/>
      </w:numPr>
      <w:spacing w:before="240" w:after="60" w:line="240" w:lineRule="auto"/>
      <w:outlineLvl w:val="1"/>
    </w:pPr>
    <w:rPr>
      <w:rFonts w:ascii="Times New Roman" w:eastAsia="Times New Roman" w:hAnsi="Times New Roman" w:cs="Times New Roman"/>
      <w:b/>
      <w:bCs/>
      <w:sz w:val="20"/>
      <w:szCs w:val="28"/>
      <w:lang w:val="en-US" w:eastAsia="x-none"/>
    </w:rPr>
  </w:style>
  <w:style w:type="paragraph" w:styleId="Nadpis3">
    <w:name w:val="heading 3"/>
    <w:aliases w:val="3u"/>
    <w:basedOn w:val="Normln"/>
    <w:next w:val="Normln"/>
    <w:link w:val="Nadpis3Char"/>
    <w:qFormat/>
    <w:rsid w:val="00AE37FC"/>
    <w:pPr>
      <w:keepNext/>
      <w:numPr>
        <w:ilvl w:val="2"/>
        <w:numId w:val="14"/>
      </w:numPr>
      <w:spacing w:before="240" w:after="60" w:line="240" w:lineRule="auto"/>
      <w:outlineLvl w:val="2"/>
    </w:pPr>
    <w:rPr>
      <w:rFonts w:ascii="Times New Roman" w:eastAsia="Times New Roman" w:hAnsi="Times New Roman" w:cs="Times New Roman"/>
      <w:b/>
      <w:bCs/>
      <w:i/>
      <w:iCs/>
      <w:sz w:val="20"/>
      <w:szCs w:val="26"/>
      <w:lang w:val="en-US" w:eastAsia="x-none"/>
    </w:rPr>
  </w:style>
  <w:style w:type="paragraph" w:styleId="Nadpis4">
    <w:name w:val="heading 4"/>
    <w:basedOn w:val="Normln"/>
    <w:next w:val="Normln"/>
    <w:link w:val="Nadpis4Char"/>
    <w:qFormat/>
    <w:rsid w:val="00AE37FC"/>
    <w:pPr>
      <w:keepNext/>
      <w:numPr>
        <w:ilvl w:val="3"/>
        <w:numId w:val="14"/>
      </w:numPr>
      <w:spacing w:before="240" w:after="60" w:line="240" w:lineRule="auto"/>
      <w:outlineLvl w:val="3"/>
    </w:pPr>
    <w:rPr>
      <w:rFonts w:ascii="Times New Roman" w:eastAsia="Times New Roman" w:hAnsi="Times New Roman" w:cs="Times New Roman"/>
      <w:b/>
      <w:bCs/>
      <w:sz w:val="28"/>
      <w:szCs w:val="28"/>
      <w:lang w:val="x-none" w:eastAsia="x-none"/>
    </w:rPr>
  </w:style>
  <w:style w:type="paragraph" w:styleId="Nadpis5">
    <w:name w:val="heading 5"/>
    <w:basedOn w:val="Normln"/>
    <w:next w:val="Normln"/>
    <w:link w:val="Nadpis5Char"/>
    <w:qFormat/>
    <w:rsid w:val="00AE37FC"/>
    <w:pPr>
      <w:numPr>
        <w:ilvl w:val="4"/>
        <w:numId w:val="14"/>
      </w:numPr>
      <w:spacing w:before="240" w:after="60" w:line="240" w:lineRule="auto"/>
      <w:outlineLvl w:val="4"/>
    </w:pPr>
    <w:rPr>
      <w:rFonts w:ascii="Times New Roman" w:eastAsia="Times New Roman" w:hAnsi="Times New Roman" w:cs="Times New Roman"/>
      <w:b/>
      <w:bCs/>
      <w:i/>
      <w:iCs/>
      <w:sz w:val="26"/>
      <w:szCs w:val="26"/>
      <w:lang w:val="x-none" w:eastAsia="x-none"/>
    </w:rPr>
  </w:style>
  <w:style w:type="paragraph" w:styleId="Nadpis6">
    <w:name w:val="heading 6"/>
    <w:basedOn w:val="Normln"/>
    <w:next w:val="Normln"/>
    <w:link w:val="Nadpis6Char"/>
    <w:qFormat/>
    <w:rsid w:val="00AE37FC"/>
    <w:pPr>
      <w:numPr>
        <w:ilvl w:val="5"/>
        <w:numId w:val="14"/>
      </w:numPr>
      <w:spacing w:before="240" w:after="60" w:line="240" w:lineRule="auto"/>
      <w:outlineLvl w:val="5"/>
    </w:pPr>
    <w:rPr>
      <w:rFonts w:ascii="Times New Roman" w:eastAsia="Times New Roman" w:hAnsi="Times New Roman" w:cs="Times New Roman"/>
      <w:b/>
      <w:bCs/>
      <w:lang w:val="x-none" w:eastAsia="x-none"/>
    </w:rPr>
  </w:style>
  <w:style w:type="paragraph" w:styleId="Nadpis7">
    <w:name w:val="heading 7"/>
    <w:basedOn w:val="Normln"/>
    <w:next w:val="Normln"/>
    <w:link w:val="Nadpis7Char"/>
    <w:qFormat/>
    <w:rsid w:val="00AE37FC"/>
    <w:pPr>
      <w:numPr>
        <w:ilvl w:val="6"/>
        <w:numId w:val="14"/>
      </w:numPr>
      <w:spacing w:before="240" w:after="60" w:line="240" w:lineRule="auto"/>
      <w:outlineLvl w:val="6"/>
    </w:pPr>
    <w:rPr>
      <w:rFonts w:ascii="Times New Roman" w:eastAsia="Times New Roman" w:hAnsi="Times New Roman" w:cs="Times New Roman"/>
      <w:sz w:val="24"/>
      <w:szCs w:val="24"/>
      <w:lang w:val="x-none" w:eastAsia="x-none"/>
    </w:rPr>
  </w:style>
  <w:style w:type="paragraph" w:styleId="Nadpis8">
    <w:name w:val="heading 8"/>
    <w:basedOn w:val="Normln"/>
    <w:next w:val="Normln"/>
    <w:link w:val="Nadpis8Char"/>
    <w:qFormat/>
    <w:rsid w:val="00AE37FC"/>
    <w:pPr>
      <w:numPr>
        <w:ilvl w:val="7"/>
        <w:numId w:val="14"/>
      </w:numPr>
      <w:spacing w:before="240" w:after="60" w:line="240" w:lineRule="auto"/>
      <w:outlineLvl w:val="7"/>
    </w:pPr>
    <w:rPr>
      <w:rFonts w:ascii="Times New Roman" w:eastAsia="Times New Roman" w:hAnsi="Times New Roman" w:cs="Times New Roman"/>
      <w:i/>
      <w:iCs/>
      <w:sz w:val="24"/>
      <w:szCs w:val="24"/>
      <w:lang w:val="x-none" w:eastAsia="x-none"/>
    </w:rPr>
  </w:style>
  <w:style w:type="paragraph" w:styleId="Nadpis9">
    <w:name w:val="heading 9"/>
    <w:basedOn w:val="Normln"/>
    <w:next w:val="Normln"/>
    <w:link w:val="Nadpis9Char"/>
    <w:qFormat/>
    <w:rsid w:val="00AE37FC"/>
    <w:pPr>
      <w:numPr>
        <w:ilvl w:val="8"/>
        <w:numId w:val="14"/>
      </w:numPr>
      <w:spacing w:before="240" w:after="60" w:line="240" w:lineRule="auto"/>
      <w:outlineLvl w:val="8"/>
    </w:pPr>
    <w:rPr>
      <w:rFonts w:ascii="Arial" w:eastAsia="Times New Roman" w:hAnsi="Arial" w:cs="Times New Roman"/>
      <w:lang w:val="x-none" w:eastAsia="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aliases w:val="1u Char"/>
    <w:basedOn w:val="Standardnpsmoodstavce"/>
    <w:link w:val="Nadpis1"/>
    <w:rsid w:val="00AE37FC"/>
    <w:rPr>
      <w:rFonts w:ascii="Arial" w:eastAsia="Times New Roman" w:hAnsi="Arial" w:cs="Times New Roman"/>
      <w:b/>
      <w:bCs/>
      <w:smallCaps/>
      <w:kern w:val="32"/>
      <w:sz w:val="24"/>
      <w:szCs w:val="32"/>
      <w:lang w:val="en-US" w:eastAsia="x-none"/>
    </w:rPr>
  </w:style>
  <w:style w:type="character" w:customStyle="1" w:styleId="Nadpis2Char">
    <w:name w:val="Nadpis 2 Char"/>
    <w:aliases w:val="2u Char"/>
    <w:basedOn w:val="Standardnpsmoodstavce"/>
    <w:link w:val="Nadpis2"/>
    <w:rsid w:val="00AE37FC"/>
    <w:rPr>
      <w:rFonts w:ascii="Times New Roman" w:eastAsia="Times New Roman" w:hAnsi="Times New Roman" w:cs="Times New Roman"/>
      <w:b/>
      <w:bCs/>
      <w:sz w:val="20"/>
      <w:szCs w:val="28"/>
      <w:lang w:val="en-US" w:eastAsia="x-none"/>
    </w:rPr>
  </w:style>
  <w:style w:type="character" w:customStyle="1" w:styleId="Nadpis3Char">
    <w:name w:val="Nadpis 3 Char"/>
    <w:aliases w:val="3u Char"/>
    <w:basedOn w:val="Standardnpsmoodstavce"/>
    <w:link w:val="Nadpis3"/>
    <w:rsid w:val="00AE37FC"/>
    <w:rPr>
      <w:rFonts w:ascii="Times New Roman" w:eastAsia="Times New Roman" w:hAnsi="Times New Roman" w:cs="Times New Roman"/>
      <w:b/>
      <w:bCs/>
      <w:i/>
      <w:iCs/>
      <w:sz w:val="20"/>
      <w:szCs w:val="26"/>
      <w:lang w:val="en-US" w:eastAsia="x-none"/>
    </w:rPr>
  </w:style>
  <w:style w:type="character" w:customStyle="1" w:styleId="Nadpis4Char">
    <w:name w:val="Nadpis 4 Char"/>
    <w:basedOn w:val="Standardnpsmoodstavce"/>
    <w:link w:val="Nadpis4"/>
    <w:rsid w:val="00AE37FC"/>
    <w:rPr>
      <w:rFonts w:ascii="Times New Roman" w:eastAsia="Times New Roman" w:hAnsi="Times New Roman" w:cs="Times New Roman"/>
      <w:b/>
      <w:bCs/>
      <w:sz w:val="28"/>
      <w:szCs w:val="28"/>
      <w:lang w:val="x-none" w:eastAsia="x-none"/>
    </w:rPr>
  </w:style>
  <w:style w:type="character" w:customStyle="1" w:styleId="Nadpis5Char">
    <w:name w:val="Nadpis 5 Char"/>
    <w:basedOn w:val="Standardnpsmoodstavce"/>
    <w:link w:val="Nadpis5"/>
    <w:rsid w:val="00AE37FC"/>
    <w:rPr>
      <w:rFonts w:ascii="Times New Roman" w:eastAsia="Times New Roman" w:hAnsi="Times New Roman" w:cs="Times New Roman"/>
      <w:b/>
      <w:bCs/>
      <w:i/>
      <w:iCs/>
      <w:sz w:val="26"/>
      <w:szCs w:val="26"/>
      <w:lang w:val="x-none" w:eastAsia="x-none"/>
    </w:rPr>
  </w:style>
  <w:style w:type="character" w:customStyle="1" w:styleId="Nadpis6Char">
    <w:name w:val="Nadpis 6 Char"/>
    <w:basedOn w:val="Standardnpsmoodstavce"/>
    <w:link w:val="Nadpis6"/>
    <w:rsid w:val="00AE37FC"/>
    <w:rPr>
      <w:rFonts w:ascii="Times New Roman" w:eastAsia="Times New Roman" w:hAnsi="Times New Roman" w:cs="Times New Roman"/>
      <w:b/>
      <w:bCs/>
      <w:lang w:val="x-none" w:eastAsia="x-none"/>
    </w:rPr>
  </w:style>
  <w:style w:type="character" w:customStyle="1" w:styleId="Nadpis7Char">
    <w:name w:val="Nadpis 7 Char"/>
    <w:basedOn w:val="Standardnpsmoodstavce"/>
    <w:link w:val="Nadpis7"/>
    <w:rsid w:val="00AE37FC"/>
    <w:rPr>
      <w:rFonts w:ascii="Times New Roman" w:eastAsia="Times New Roman" w:hAnsi="Times New Roman" w:cs="Times New Roman"/>
      <w:sz w:val="24"/>
      <w:szCs w:val="24"/>
      <w:lang w:val="x-none" w:eastAsia="x-none"/>
    </w:rPr>
  </w:style>
  <w:style w:type="character" w:customStyle="1" w:styleId="Nadpis8Char">
    <w:name w:val="Nadpis 8 Char"/>
    <w:basedOn w:val="Standardnpsmoodstavce"/>
    <w:link w:val="Nadpis8"/>
    <w:rsid w:val="00AE37FC"/>
    <w:rPr>
      <w:rFonts w:ascii="Times New Roman" w:eastAsia="Times New Roman" w:hAnsi="Times New Roman" w:cs="Times New Roman"/>
      <w:i/>
      <w:iCs/>
      <w:sz w:val="24"/>
      <w:szCs w:val="24"/>
      <w:lang w:val="x-none" w:eastAsia="x-none"/>
    </w:rPr>
  </w:style>
  <w:style w:type="character" w:customStyle="1" w:styleId="Nadpis9Char">
    <w:name w:val="Nadpis 9 Char"/>
    <w:basedOn w:val="Standardnpsmoodstavce"/>
    <w:link w:val="Nadpis9"/>
    <w:rsid w:val="00AE37FC"/>
    <w:rPr>
      <w:rFonts w:ascii="Arial" w:eastAsia="Times New Roman" w:hAnsi="Arial" w:cs="Times New Roman"/>
      <w:lang w:val="x-none" w:eastAsia="x-none"/>
    </w:rPr>
  </w:style>
  <w:style w:type="paragraph" w:styleId="Zhlav">
    <w:name w:val="header"/>
    <w:basedOn w:val="Normln"/>
    <w:link w:val="ZhlavChar"/>
    <w:uiPriority w:val="99"/>
    <w:unhideWhenUsed/>
    <w:rsid w:val="00E547DB"/>
    <w:pPr>
      <w:tabs>
        <w:tab w:val="center" w:pos="4513"/>
        <w:tab w:val="right" w:pos="9026"/>
      </w:tabs>
      <w:spacing w:after="0" w:line="240" w:lineRule="auto"/>
    </w:pPr>
  </w:style>
  <w:style w:type="character" w:customStyle="1" w:styleId="ZhlavChar">
    <w:name w:val="Záhlaví Char"/>
    <w:basedOn w:val="Standardnpsmoodstavce"/>
    <w:link w:val="Zhlav"/>
    <w:uiPriority w:val="99"/>
    <w:rsid w:val="00E547DB"/>
  </w:style>
  <w:style w:type="paragraph" w:styleId="Zpat">
    <w:name w:val="footer"/>
    <w:basedOn w:val="Normln"/>
    <w:link w:val="ZpatChar"/>
    <w:uiPriority w:val="99"/>
    <w:unhideWhenUsed/>
    <w:rsid w:val="00E547DB"/>
    <w:pPr>
      <w:tabs>
        <w:tab w:val="center" w:pos="4513"/>
        <w:tab w:val="right" w:pos="9026"/>
      </w:tabs>
      <w:spacing w:after="0" w:line="240" w:lineRule="auto"/>
    </w:pPr>
  </w:style>
  <w:style w:type="character" w:customStyle="1" w:styleId="ZpatChar">
    <w:name w:val="Zápatí Char"/>
    <w:basedOn w:val="Standardnpsmoodstavce"/>
    <w:link w:val="Zpat"/>
    <w:uiPriority w:val="99"/>
    <w:rsid w:val="00E547DB"/>
  </w:style>
  <w:style w:type="paragraph" w:styleId="Textbubliny">
    <w:name w:val="Balloon Text"/>
    <w:basedOn w:val="Normln"/>
    <w:link w:val="TextbublinyChar"/>
    <w:uiPriority w:val="99"/>
    <w:semiHidden/>
    <w:unhideWhenUsed/>
    <w:rsid w:val="00E547DB"/>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E547DB"/>
    <w:rPr>
      <w:rFonts w:ascii="Tahoma" w:hAnsi="Tahoma" w:cs="Tahoma"/>
      <w:sz w:val="16"/>
      <w:szCs w:val="16"/>
    </w:rPr>
  </w:style>
  <w:style w:type="paragraph" w:customStyle="1" w:styleId="RSCH01PaperTitle">
    <w:name w:val="RSC H01 Paper Title"/>
    <w:basedOn w:val="Normln"/>
    <w:next w:val="Normln"/>
    <w:link w:val="RSCH01PaperTitleChar"/>
    <w:qFormat/>
    <w:rsid w:val="00C32EDF"/>
    <w:pPr>
      <w:tabs>
        <w:tab w:val="left" w:pos="284"/>
      </w:tabs>
      <w:spacing w:before="400" w:after="160" w:line="240" w:lineRule="auto"/>
    </w:pPr>
    <w:rPr>
      <w:rFonts w:cs="Times New Roman"/>
      <w:b/>
      <w:sz w:val="29"/>
      <w:szCs w:val="32"/>
    </w:rPr>
  </w:style>
  <w:style w:type="character" w:customStyle="1" w:styleId="RSCH01PaperTitleChar">
    <w:name w:val="RSC H01 Paper Title Char"/>
    <w:basedOn w:val="Standardnpsmoodstavce"/>
    <w:link w:val="RSCH01PaperTitle"/>
    <w:rsid w:val="00C32EDF"/>
    <w:rPr>
      <w:rFonts w:cs="Times New Roman"/>
      <w:b/>
      <w:sz w:val="29"/>
      <w:szCs w:val="32"/>
    </w:rPr>
  </w:style>
  <w:style w:type="paragraph" w:customStyle="1" w:styleId="RSCH02PaperAuthorsandByline">
    <w:name w:val="RSC H02 Paper Authors and Byline"/>
    <w:basedOn w:val="Normln"/>
    <w:link w:val="RSCH02PaperAuthorsandBylineChar"/>
    <w:qFormat/>
    <w:rsid w:val="001633D9"/>
    <w:pPr>
      <w:spacing w:after="120" w:line="240" w:lineRule="exact"/>
    </w:pPr>
    <w:rPr>
      <w:rFonts w:cs="Times New Roman"/>
      <w:sz w:val="20"/>
    </w:rPr>
  </w:style>
  <w:style w:type="character" w:customStyle="1" w:styleId="RSCH02PaperAuthorsandBylineChar">
    <w:name w:val="RSC H02 Paper Authors and Byline Char"/>
    <w:basedOn w:val="Standardnpsmoodstavce"/>
    <w:link w:val="RSCH02PaperAuthorsandByline"/>
    <w:rsid w:val="001633D9"/>
    <w:rPr>
      <w:rFonts w:cs="Times New Roman"/>
      <w:sz w:val="20"/>
    </w:rPr>
  </w:style>
  <w:style w:type="paragraph" w:customStyle="1" w:styleId="RSCB01ARTAbstract">
    <w:name w:val="RSC B01 ART Abstract"/>
    <w:basedOn w:val="Normln"/>
    <w:link w:val="RSCB01ARTAbstractChar"/>
    <w:qFormat/>
    <w:rsid w:val="00FA2DA2"/>
    <w:pPr>
      <w:spacing w:line="240" w:lineRule="exact"/>
      <w:jc w:val="both"/>
    </w:pPr>
    <w:rPr>
      <w:noProof/>
      <w:sz w:val="16"/>
      <w:lang w:eastAsia="en-GB"/>
    </w:rPr>
  </w:style>
  <w:style w:type="character" w:customStyle="1" w:styleId="RSCB01ARTAbstractChar">
    <w:name w:val="RSC B01 ART Abstract Char"/>
    <w:basedOn w:val="Standardnpsmoodstavce"/>
    <w:link w:val="RSCB01ARTAbstract"/>
    <w:rsid w:val="00FA2DA2"/>
    <w:rPr>
      <w:noProof/>
      <w:sz w:val="16"/>
      <w:lang w:eastAsia="en-GB"/>
    </w:rPr>
  </w:style>
  <w:style w:type="table" w:styleId="Mkatabulky">
    <w:name w:val="Table Grid"/>
    <w:basedOn w:val="Normlntabulka"/>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4AHeadingSection">
    <w:name w:val="RSC B04 A Heading (Section)"/>
    <w:basedOn w:val="Normln"/>
    <w:link w:val="RSCB04AHeadingSectionChar"/>
    <w:qFormat/>
    <w:rsid w:val="00EF6BD4"/>
    <w:pPr>
      <w:spacing w:before="400" w:after="80" w:line="240" w:lineRule="auto"/>
    </w:pPr>
    <w:rPr>
      <w:b/>
      <w:sz w:val="24"/>
    </w:rPr>
  </w:style>
  <w:style w:type="character" w:customStyle="1" w:styleId="RSCB04AHeadingSectionChar">
    <w:name w:val="RSC B04 A Heading (Section) Char"/>
    <w:basedOn w:val="Standardnpsmoodstavce"/>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B02ArticleText">
    <w:name w:val="RSC B02 Article Text"/>
    <w:basedOn w:val="Normln"/>
    <w:link w:val="RSCB02ArticleTextChar"/>
    <w:qFormat/>
    <w:rsid w:val="00EE3AFB"/>
    <w:pPr>
      <w:spacing w:after="0" w:line="240" w:lineRule="exact"/>
      <w:jc w:val="both"/>
    </w:pPr>
    <w:rPr>
      <w:rFonts w:cs="Times New Roman"/>
      <w:w w:val="108"/>
      <w:sz w:val="18"/>
      <w:szCs w:val="18"/>
    </w:rPr>
  </w:style>
  <w:style w:type="character" w:customStyle="1" w:styleId="RSCB02ArticleTextChar">
    <w:name w:val="RSC B02 Article Text Char"/>
    <w:basedOn w:val="Standardnpsmoodstavce"/>
    <w:link w:val="RSCB02ArticleText"/>
    <w:rsid w:val="00EE3AFB"/>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character" w:customStyle="1" w:styleId="RSCF01FootnoteAuthorAddressChar">
    <w:name w:val="RSC F01 Footnote Author Address Char"/>
    <w:basedOn w:val="Standardnpsmoodstavce"/>
    <w:link w:val="RSCF01FootnoteAuthorAddress"/>
    <w:rsid w:val="006556AC"/>
    <w:rPr>
      <w:rFonts w:cs="Times New Roman"/>
      <w:i/>
      <w:w w:val="105"/>
      <w:sz w:val="14"/>
      <w:szCs w:val="14"/>
    </w:rPr>
  </w:style>
  <w:style w:type="paragraph" w:customStyle="1" w:styleId="RSCI02FigureSchemeChartwithtopbar">
    <w:name w:val="RSC I02 Figure/Scheme/Chart with top bar"/>
    <w:basedOn w:val="Normln"/>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character" w:customStyle="1" w:styleId="RSCI02FigureSchemeChartwithtopbarChar">
    <w:name w:val="RSC I02 Figure/Scheme/Chart with top bar Char"/>
    <w:basedOn w:val="Standardnpsmoodstavce"/>
    <w:link w:val="RSCI02FigureSchemeChartwithtopbar"/>
    <w:rsid w:val="006556AC"/>
    <w:rPr>
      <w:rFonts w:cs="Times New Roman"/>
      <w:w w:val="108"/>
      <w:sz w:val="14"/>
      <w:szCs w:val="18"/>
    </w:rPr>
  </w:style>
  <w:style w:type="paragraph" w:customStyle="1" w:styleId="RSCI01FigureSchemeChartwithbottombar">
    <w:name w:val="RSC I01 Figure/Scheme/Chart with bottom bar"/>
    <w:basedOn w:val="Normln"/>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character" w:customStyle="1" w:styleId="RSCI01FigureSchemeChartwithbottombarChar">
    <w:name w:val="RSC I01 Figure/Scheme/Chart with bottom bar Char"/>
    <w:basedOn w:val="Standardnpsmoodstavce"/>
    <w:link w:val="RSCI01FigureSchemeChartwithbottombar"/>
    <w:rsid w:val="006556AC"/>
    <w:rPr>
      <w:rFonts w:cstheme="minorHAnsi"/>
      <w:w w:val="108"/>
      <w:sz w:val="14"/>
      <w:szCs w:val="14"/>
    </w:rPr>
  </w:style>
  <w:style w:type="paragraph" w:customStyle="1" w:styleId="RSCI03FigureSchemeChartUncaptioned">
    <w:name w:val="RSC I03 Figure/Scheme/Chart Uncaptioned"/>
    <w:basedOn w:val="Normln"/>
    <w:link w:val="RSCI03FigureSchemeChartUncaptionedChar"/>
    <w:qFormat/>
    <w:rsid w:val="006556AC"/>
    <w:pPr>
      <w:spacing w:before="160" w:after="160" w:line="240" w:lineRule="auto"/>
      <w:jc w:val="center"/>
    </w:pPr>
    <w:rPr>
      <w:rFonts w:cs="Times New Roman"/>
      <w:sz w:val="16"/>
      <w:szCs w:val="16"/>
    </w:rPr>
  </w:style>
  <w:style w:type="character" w:customStyle="1" w:styleId="RSCI03FigureSchemeChartUncaptionedChar">
    <w:name w:val="RSC I03 Figure/Scheme/Chart Uncaptioned Char"/>
    <w:basedOn w:val="Standardnpsmoodstavce"/>
    <w:link w:val="RSCI03FigureSchemeChartUncaptioned"/>
    <w:rsid w:val="006556AC"/>
    <w:rPr>
      <w:rFonts w:cs="Times New Roman"/>
      <w:sz w:val="16"/>
      <w:szCs w:val="16"/>
    </w:rPr>
  </w:style>
  <w:style w:type="paragraph" w:customStyle="1" w:styleId="RSCB03MathematicsGreeketc">
    <w:name w:val="RSC B03 Mathematics/Greek etc"/>
    <w:basedOn w:val="Normln"/>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character" w:customStyle="1" w:styleId="RSCB03MathematicsGreeketcChar">
    <w:name w:val="RSC B03 Mathematics/Greek etc Char"/>
    <w:basedOn w:val="Standardnpsmoodstavce"/>
    <w:link w:val="RSCB03MathematicsGreeketc"/>
    <w:rsid w:val="007A37D8"/>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ln"/>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2FootnotestoTitleAuthorsChar">
    <w:name w:val="RSC F02 Footnotes to Title/Authors Char"/>
    <w:basedOn w:val="Standardnpsmoodstavce"/>
    <w:link w:val="RSCF02FootnotestoTitleAuthors"/>
    <w:rsid w:val="006556AC"/>
    <w:rPr>
      <w:rFonts w:cs="Times New Roman"/>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R02ReferencesChar">
    <w:name w:val="RSC R02 References Char"/>
    <w:basedOn w:val="Standardnpsmoodstavce"/>
    <w:link w:val="RSCR02References"/>
    <w:rsid w:val="00CF5F1A"/>
    <w:rPr>
      <w:rFonts w:cs="Times New Roman"/>
      <w:w w:val="105"/>
      <w:sz w:val="18"/>
      <w:szCs w:val="18"/>
    </w:rPr>
  </w:style>
  <w:style w:type="paragraph" w:styleId="Bezmezer">
    <w:name w:val="No Spacing"/>
    <w:uiPriority w:val="1"/>
    <w:rsid w:val="00272D6F"/>
    <w:pPr>
      <w:spacing w:after="0" w:line="240" w:lineRule="auto"/>
    </w:pPr>
  </w:style>
  <w:style w:type="paragraph" w:customStyle="1" w:styleId="RSCT01TableTitlewithtopbar">
    <w:name w:val="RSC T01 Table Title with top bar"/>
    <w:basedOn w:val="Normln"/>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T01TableTitlewithtopbarChar">
    <w:name w:val="RSC T01 Table Title with top bar Char"/>
    <w:basedOn w:val="Standardnpsmoodstavce"/>
    <w:link w:val="RSCT01TableTitlewithtopbar"/>
    <w:rsid w:val="006556AC"/>
    <w:rPr>
      <w:rFonts w:eastAsia="Times New Roman" w:cs="Times New Roman"/>
      <w:sz w:val="14"/>
      <w:szCs w:val="20"/>
      <w:lang w:eastAsia="en-GB"/>
    </w:rPr>
  </w:style>
  <w:style w:type="paragraph" w:customStyle="1" w:styleId="RSCT03TableBody">
    <w:name w:val="RSC T03 Table Body"/>
    <w:basedOn w:val="Normln"/>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3TableBodyChar">
    <w:name w:val="RSC T03 Table Body Char"/>
    <w:basedOn w:val="Standardnpsmoodstavce"/>
    <w:link w:val="RSCT03TableBody"/>
    <w:rsid w:val="00B0470A"/>
    <w:rPr>
      <w:rFonts w:eastAsia="Times New Roman" w:cs="Times New Roman"/>
      <w:sz w:val="16"/>
      <w:szCs w:val="16"/>
      <w:lang w:eastAsia="en-GB"/>
    </w:rPr>
  </w:style>
  <w:style w:type="paragraph" w:customStyle="1" w:styleId="RSCT04TableFootnotewithbottombar">
    <w:name w:val="RSC T04 Table Footnote with bottom bar"/>
    <w:basedOn w:val="Normln"/>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4TableFootnotewithbottombarChar">
    <w:name w:val="RSC T04 Table Footnote with bottom bar Char"/>
    <w:basedOn w:val="Standardnpsmoodstavce"/>
    <w:link w:val="RSCT04TableFootnotewithbottombar"/>
    <w:rsid w:val="006556AC"/>
    <w:rPr>
      <w:rFonts w:eastAsia="Times New Roman" w:cs="Times New Roman"/>
      <w:sz w:val="15"/>
      <w:szCs w:val="20"/>
      <w:lang w:eastAsia="en-GB"/>
    </w:rPr>
  </w:style>
  <w:style w:type="character" w:styleId="Hypertextovodkaz">
    <w:name w:val="Hyperlink"/>
    <w:basedOn w:val="Standardnpsmoodstavce"/>
    <w:unhideWhenUsed/>
    <w:rsid w:val="005037CD"/>
    <w:rPr>
      <w:color w:val="0000FF" w:themeColor="hyperlink"/>
      <w:u w:val="single"/>
    </w:rPr>
  </w:style>
  <w:style w:type="paragraph" w:styleId="Odstavecseseznamem">
    <w:name w:val="List Paragraph"/>
    <w:basedOn w:val="Normln"/>
    <w:uiPriority w:val="34"/>
    <w:qFormat/>
    <w:rsid w:val="00F15F90"/>
    <w:pPr>
      <w:ind w:left="720"/>
      <w:contextualSpacing/>
    </w:pPr>
  </w:style>
  <w:style w:type="paragraph" w:styleId="Revize">
    <w:name w:val="Revision"/>
    <w:hidden/>
    <w:uiPriority w:val="99"/>
    <w:semiHidden/>
    <w:rsid w:val="000D5891"/>
    <w:pPr>
      <w:spacing w:after="0" w:line="240" w:lineRule="auto"/>
    </w:pPr>
  </w:style>
  <w:style w:type="paragraph" w:styleId="Textpoznpodarou">
    <w:name w:val="footnote text"/>
    <w:basedOn w:val="Normln"/>
    <w:link w:val="TextpoznpodarouChar"/>
    <w:uiPriority w:val="99"/>
    <w:semiHidden/>
    <w:unhideWhenUsed/>
    <w:rsid w:val="00CA2740"/>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CA2740"/>
    <w:rPr>
      <w:sz w:val="20"/>
      <w:szCs w:val="20"/>
    </w:rPr>
  </w:style>
  <w:style w:type="character" w:styleId="Znakapoznpodarou">
    <w:name w:val="footnote reference"/>
    <w:basedOn w:val="Standardnpsmoodstavce"/>
    <w:uiPriority w:val="99"/>
    <w:semiHidden/>
    <w:unhideWhenUsed/>
    <w:rsid w:val="00CA2740"/>
    <w:rPr>
      <w:vertAlign w:val="superscript"/>
    </w:rPr>
  </w:style>
  <w:style w:type="paragraph" w:styleId="Normlnweb">
    <w:name w:val="Normal (Web)"/>
    <w:basedOn w:val="Normln"/>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Titulek">
    <w:name w:val="caption"/>
    <w:basedOn w:val="Normln"/>
    <w:next w:val="Normln"/>
    <w:uiPriority w:val="35"/>
    <w:unhideWhenUsed/>
    <w:qFormat/>
    <w:rsid w:val="00B0470A"/>
    <w:pPr>
      <w:spacing w:line="200" w:lineRule="exact"/>
    </w:pPr>
    <w:rPr>
      <w:bCs/>
      <w:sz w:val="14"/>
      <w:szCs w:val="18"/>
    </w:rPr>
  </w:style>
  <w:style w:type="paragraph" w:customStyle="1" w:styleId="Style1">
    <w:name w:val="Style1"/>
    <w:basedOn w:val="RSCB02ArticleText"/>
    <w:link w:val="Style1Char"/>
    <w:rsid w:val="00B0470A"/>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I04CaptiontoFigureSchemeChartChar">
    <w:name w:val="RSC I04 Caption to Figure/Scheme/Chart Char"/>
    <w:basedOn w:val="Standardnpsmoodstavce"/>
    <w:link w:val="RSCI04CaptiontoFigureSchemeChart"/>
    <w:rsid w:val="006556AC"/>
    <w:rPr>
      <w:bCs/>
      <w:sz w:val="14"/>
      <w:szCs w:val="18"/>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1ReceivedAccepted">
    <w:name w:val="RSC M01 Received/Accepted"/>
    <w:basedOn w:val="Normln"/>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M01ReceivedAcceptedChar">
    <w:name w:val="RSC M01 Received/Accepted Char"/>
    <w:basedOn w:val="Standardnpsmoodstavce"/>
    <w:link w:val="RSCM01ReceivedAccepted"/>
    <w:rsid w:val="004C531E"/>
    <w:rPr>
      <w:rFonts w:eastAsiaTheme="minorEastAsia"/>
      <w:noProof/>
      <w:sz w:val="14"/>
      <w:szCs w:val="14"/>
      <w:lang w:eastAsia="en-GB"/>
    </w:rPr>
  </w:style>
  <w:style w:type="paragraph" w:customStyle="1" w:styleId="RSCM02DOI">
    <w:name w:val="RSC M02 DOI"/>
    <w:basedOn w:val="Normln"/>
    <w:link w:val="RSCM02DOIChar"/>
    <w:qFormat/>
    <w:rsid w:val="004C531E"/>
    <w:pPr>
      <w:spacing w:before="180" w:after="0" w:line="180" w:lineRule="exact"/>
    </w:pPr>
    <w:rPr>
      <w:sz w:val="14"/>
      <w:szCs w:val="14"/>
    </w:rPr>
  </w:style>
  <w:style w:type="character" w:customStyle="1" w:styleId="RSCM02DOIChar">
    <w:name w:val="RSC M02 DOI Char"/>
    <w:basedOn w:val="Standardnpsmoodstavce"/>
    <w:link w:val="RSCM02DOI"/>
    <w:rsid w:val="004C531E"/>
    <w:rPr>
      <w:sz w:val="14"/>
      <w:szCs w:val="14"/>
    </w:rPr>
  </w:style>
  <w:style w:type="paragraph" w:customStyle="1" w:styleId="RSCM03Website">
    <w:name w:val="RSC M03 Website"/>
    <w:basedOn w:val="Normln"/>
    <w:link w:val="RSCM03WebsiteChar"/>
    <w:qFormat/>
    <w:rsid w:val="004C531E"/>
    <w:pPr>
      <w:spacing w:line="400" w:lineRule="exact"/>
    </w:pPr>
    <w:rPr>
      <w:b/>
      <w:sz w:val="14"/>
      <w:szCs w:val="14"/>
    </w:rPr>
  </w:style>
  <w:style w:type="character" w:customStyle="1" w:styleId="RSCM03WebsiteChar">
    <w:name w:val="RSC M03 Website Char"/>
    <w:basedOn w:val="Standardnpsmoodstavce"/>
    <w:link w:val="RSCM03Website"/>
    <w:rsid w:val="004C531E"/>
    <w:rPr>
      <w:b/>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6BHeadingSub-SectionChar">
    <w:name w:val="RSC B06 B Heading (Sub-Section) Char"/>
    <w:basedOn w:val="Standardnpsmoodstavce"/>
    <w:link w:val="RSCB06BHeadingSub-Section"/>
    <w:rsid w:val="00EF6BD4"/>
    <w:rPr>
      <w:b/>
      <w:sz w:val="18"/>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7BHeadingSub-Section-standaloneChar">
    <w:name w:val="RSC B07 B Heading (Sub-Section - stand alone) Char"/>
    <w:basedOn w:val="Standardnpsmoodstavce"/>
    <w:link w:val="RSCB07BHeadingSub-Section-standalone"/>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8CHeadingIn-lineChar">
    <w:name w:val="RSC B08 C Heading (In-line) Char"/>
    <w:basedOn w:val="Standardnpsmoodstavce"/>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ln"/>
    <w:next w:val="Normln"/>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ln"/>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Sledovanodkaz">
    <w:name w:val="FollowedHyperlink"/>
    <w:basedOn w:val="Standardnpsmoodstavce"/>
    <w:uiPriority w:val="99"/>
    <w:semiHidden/>
    <w:unhideWhenUsed/>
    <w:rsid w:val="0024022C"/>
    <w:rPr>
      <w:color w:val="800080" w:themeColor="followedHyperlink"/>
      <w:u w:val="single"/>
    </w:rPr>
  </w:style>
  <w:style w:type="paragraph" w:customStyle="1" w:styleId="Abstract">
    <w:name w:val="Abstract"/>
    <w:basedOn w:val="Normln"/>
    <w:qFormat/>
    <w:rsid w:val="0037505D"/>
    <w:pPr>
      <w:spacing w:after="600" w:line="225" w:lineRule="exact"/>
      <w:jc w:val="both"/>
    </w:pPr>
    <w:rPr>
      <w:rFonts w:ascii="Arial" w:eastAsia="MS Mincho" w:hAnsi="Arial" w:cs="Times New Roman"/>
      <w:sz w:val="16"/>
      <w:szCs w:val="20"/>
      <w:lang w:eastAsia="ja-JP"/>
    </w:rPr>
  </w:style>
  <w:style w:type="paragraph" w:customStyle="1" w:styleId="SchemeCaption">
    <w:name w:val="SchemeCaption"/>
    <w:basedOn w:val="Normln"/>
    <w:rsid w:val="003942F5"/>
    <w:pPr>
      <w:spacing w:before="230" w:after="460" w:line="180" w:lineRule="exact"/>
      <w:jc w:val="both"/>
    </w:pPr>
    <w:rPr>
      <w:rFonts w:ascii="Arial" w:eastAsia="MS Mincho" w:hAnsi="Arial" w:cs="Times New Roman"/>
      <w:sz w:val="14"/>
      <w:szCs w:val="14"/>
      <w:lang w:eastAsia="ja-JP"/>
    </w:rPr>
  </w:style>
  <w:style w:type="paragraph" w:customStyle="1" w:styleId="P1">
    <w:name w:val="P1"/>
    <w:basedOn w:val="Normln"/>
    <w:qFormat/>
    <w:rsid w:val="003942F5"/>
    <w:pPr>
      <w:spacing w:after="0" w:line="225" w:lineRule="exact"/>
      <w:jc w:val="both"/>
    </w:pPr>
    <w:rPr>
      <w:rFonts w:ascii="Arial" w:eastAsia="MS Mincho" w:hAnsi="Arial" w:cs="Times New Roman"/>
      <w:sz w:val="17"/>
      <w:szCs w:val="24"/>
      <w:lang w:val="en-US" w:eastAsia="ja-JP"/>
    </w:rPr>
  </w:style>
  <w:style w:type="paragraph" w:customStyle="1" w:styleId="Title1">
    <w:name w:val="Title1"/>
    <w:basedOn w:val="Normln"/>
    <w:next w:val="Normln"/>
    <w:qFormat/>
    <w:rsid w:val="00AE37FC"/>
    <w:pPr>
      <w:spacing w:before="120" w:after="0" w:line="480" w:lineRule="exact"/>
    </w:pPr>
    <w:rPr>
      <w:rFonts w:ascii="Arial" w:eastAsia="MS Mincho" w:hAnsi="Arial" w:cs="Times New Roman"/>
      <w:b/>
      <w:sz w:val="32"/>
      <w:szCs w:val="28"/>
      <w:lang w:val="de-DE" w:eastAsia="ja-JP"/>
    </w:rPr>
  </w:style>
  <w:style w:type="paragraph" w:customStyle="1" w:styleId="Authors">
    <w:name w:val="Authors"/>
    <w:basedOn w:val="Normln"/>
    <w:qFormat/>
    <w:rsid w:val="00AE37FC"/>
    <w:pPr>
      <w:spacing w:before="120" w:after="120" w:line="320" w:lineRule="exact"/>
    </w:pPr>
    <w:rPr>
      <w:rFonts w:ascii="Arial" w:eastAsia="MS Mincho" w:hAnsi="Arial" w:cs="Times New Roman"/>
      <w:szCs w:val="24"/>
      <w:lang w:eastAsia="ja-JP"/>
    </w:rPr>
  </w:style>
  <w:style w:type="paragraph" w:customStyle="1" w:styleId="Dedication">
    <w:name w:val="Dedication"/>
    <w:basedOn w:val="Normln"/>
    <w:qFormat/>
    <w:rsid w:val="00AE37FC"/>
    <w:pPr>
      <w:spacing w:before="230" w:after="360" w:line="230" w:lineRule="exact"/>
    </w:pPr>
    <w:rPr>
      <w:rFonts w:ascii="Arial" w:eastAsia="MS Mincho" w:hAnsi="Arial" w:cs="Times New Roman"/>
      <w:sz w:val="17"/>
      <w:szCs w:val="24"/>
      <w:lang w:val="de-DE" w:eastAsia="ja-JP"/>
    </w:rPr>
  </w:style>
  <w:style w:type="paragraph" w:customStyle="1" w:styleId="P1withoutIndendation">
    <w:name w:val="P1_without_Indendation"/>
    <w:basedOn w:val="Normln"/>
    <w:qFormat/>
    <w:rsid w:val="00AE37FC"/>
    <w:pPr>
      <w:spacing w:after="0" w:line="225" w:lineRule="exact"/>
      <w:jc w:val="both"/>
    </w:pPr>
    <w:rPr>
      <w:rFonts w:ascii="Arial" w:eastAsia="MS Mincho" w:hAnsi="Arial" w:cs="Times New Roman"/>
      <w:sz w:val="17"/>
      <w:szCs w:val="24"/>
      <w:lang w:val="de-DE" w:eastAsia="ja-JP"/>
    </w:rPr>
  </w:style>
  <w:style w:type="paragraph" w:customStyle="1" w:styleId="History">
    <w:name w:val="History"/>
    <w:basedOn w:val="Normln"/>
    <w:rsid w:val="00AE37FC"/>
    <w:pPr>
      <w:spacing w:before="230" w:after="460" w:line="180" w:lineRule="exact"/>
    </w:pPr>
    <w:rPr>
      <w:rFonts w:ascii="Arial" w:eastAsia="MS Mincho" w:hAnsi="Arial" w:cs="Times New Roman"/>
      <w:sz w:val="14"/>
      <w:szCs w:val="16"/>
      <w:lang w:val="de-DE" w:eastAsia="ja-JP"/>
    </w:rPr>
  </w:style>
  <w:style w:type="paragraph" w:customStyle="1" w:styleId="Adress">
    <w:name w:val="Adress"/>
    <w:basedOn w:val="Normln"/>
    <w:qFormat/>
    <w:rsid w:val="00AE37FC"/>
    <w:pPr>
      <w:spacing w:after="0" w:line="180" w:lineRule="exact"/>
      <w:ind w:left="425" w:hanging="425"/>
    </w:pPr>
    <w:rPr>
      <w:rFonts w:ascii="Arial" w:eastAsia="MS Mincho" w:hAnsi="Arial" w:cs="Times New Roman"/>
      <w:sz w:val="14"/>
      <w:szCs w:val="20"/>
      <w:lang w:val="de-DE" w:eastAsia="ja-JP"/>
    </w:rPr>
  </w:style>
  <w:style w:type="paragraph" w:customStyle="1" w:styleId="Footnote">
    <w:name w:val="Footnote"/>
    <w:basedOn w:val="Adress"/>
    <w:rsid w:val="00AE37FC"/>
    <w:pPr>
      <w:spacing w:before="120"/>
    </w:pPr>
    <w:rPr>
      <w:szCs w:val="14"/>
      <w:lang w:val="en-GB"/>
    </w:rPr>
  </w:style>
  <w:style w:type="paragraph" w:customStyle="1" w:styleId="References">
    <w:name w:val="References"/>
    <w:basedOn w:val="Normln"/>
    <w:qFormat/>
    <w:rsid w:val="00AE37FC"/>
    <w:pPr>
      <w:spacing w:after="0" w:line="200" w:lineRule="exact"/>
      <w:ind w:left="425" w:hanging="425"/>
      <w:jc w:val="both"/>
    </w:pPr>
    <w:rPr>
      <w:rFonts w:ascii="Arial" w:eastAsia="MS Mincho" w:hAnsi="Arial" w:cs="Times New Roman"/>
      <w:sz w:val="14"/>
      <w:szCs w:val="14"/>
      <w:lang w:eastAsia="ja-JP"/>
    </w:rPr>
  </w:style>
  <w:style w:type="paragraph" w:customStyle="1" w:styleId="ColumnTitle">
    <w:name w:val="ColumnTitle"/>
    <w:basedOn w:val="Normln"/>
    <w:rsid w:val="00AE37FC"/>
    <w:pPr>
      <w:pBdr>
        <w:bottom w:val="single" w:sz="36" w:space="1" w:color="DDDDDD"/>
      </w:pBdr>
      <w:spacing w:after="320" w:line="240" w:lineRule="auto"/>
      <w:jc w:val="right"/>
    </w:pPr>
    <w:rPr>
      <w:rFonts w:ascii="Arial" w:eastAsia="MS Mincho" w:hAnsi="Arial" w:cs="Arial"/>
      <w:b/>
      <w:color w:val="C0C0C0"/>
      <w:sz w:val="36"/>
      <w:szCs w:val="36"/>
      <w:lang w:eastAsia="ja-JP"/>
    </w:rPr>
  </w:style>
  <w:style w:type="paragraph" w:customStyle="1" w:styleId="ExperimentalSection">
    <w:name w:val="ExperimentalSection"/>
    <w:basedOn w:val="Normln"/>
    <w:qFormat/>
    <w:rsid w:val="00AE37FC"/>
    <w:pPr>
      <w:spacing w:after="240" w:line="200" w:lineRule="exact"/>
      <w:jc w:val="both"/>
    </w:pPr>
    <w:rPr>
      <w:rFonts w:ascii="Arial" w:eastAsia="MS Mincho" w:hAnsi="Arial" w:cs="Times New Roman"/>
      <w:sz w:val="15"/>
      <w:szCs w:val="14"/>
      <w:lang w:eastAsia="ja-JP"/>
    </w:rPr>
  </w:style>
  <w:style w:type="paragraph" w:customStyle="1" w:styleId="HExperimentalSection">
    <w:name w:val="HExperimental_Section"/>
    <w:basedOn w:val="Normln"/>
    <w:autoRedefine/>
    <w:qFormat/>
    <w:rsid w:val="00AE37FC"/>
    <w:pPr>
      <w:spacing w:before="460" w:after="230" w:line="230" w:lineRule="atLeast"/>
    </w:pPr>
    <w:rPr>
      <w:rFonts w:ascii="Arial" w:eastAsia="MS Mincho" w:hAnsi="Arial" w:cs="Times New Roman"/>
      <w:b/>
      <w:szCs w:val="20"/>
      <w:lang w:val="de-DE" w:eastAsia="ja-JP"/>
    </w:rPr>
  </w:style>
  <w:style w:type="paragraph" w:customStyle="1" w:styleId="FigureCaption">
    <w:name w:val="FigureCaption"/>
    <w:basedOn w:val="Normln"/>
    <w:rsid w:val="00AE37FC"/>
    <w:pPr>
      <w:spacing w:before="230" w:after="460" w:line="180" w:lineRule="exact"/>
      <w:jc w:val="both"/>
    </w:pPr>
    <w:rPr>
      <w:rFonts w:ascii="Arial" w:eastAsia="MS Mincho" w:hAnsi="Arial" w:cs="Times New Roman"/>
      <w:sz w:val="14"/>
      <w:szCs w:val="14"/>
      <w:lang w:eastAsia="ja-JP"/>
    </w:rPr>
  </w:style>
  <w:style w:type="paragraph" w:customStyle="1" w:styleId="TableCaption">
    <w:name w:val="TableCaption"/>
    <w:basedOn w:val="Normln"/>
    <w:qFormat/>
    <w:rsid w:val="00AE37FC"/>
    <w:pPr>
      <w:pBdr>
        <w:top w:val="single" w:sz="4" w:space="4" w:color="DDDDDD"/>
        <w:left w:val="single" w:sz="4" w:space="4" w:color="DDDDDD"/>
        <w:bottom w:val="single" w:sz="4" w:space="4" w:color="DDDDDD"/>
        <w:right w:val="single" w:sz="4" w:space="4" w:color="DDDDDD"/>
      </w:pBdr>
      <w:spacing w:after="0" w:line="180" w:lineRule="exact"/>
      <w:jc w:val="both"/>
    </w:pPr>
    <w:rPr>
      <w:rFonts w:ascii="Arial" w:eastAsia="MS Mincho" w:hAnsi="Arial" w:cs="Times New Roman"/>
      <w:sz w:val="14"/>
      <w:szCs w:val="14"/>
      <w:lang w:eastAsia="ja-JP"/>
    </w:rPr>
  </w:style>
  <w:style w:type="paragraph" w:customStyle="1" w:styleId="TableHead">
    <w:name w:val="TableHead"/>
    <w:basedOn w:val="TableCaption"/>
    <w:rsid w:val="00AE37FC"/>
    <w:pPr>
      <w:pBdr>
        <w:top w:val="single" w:sz="4" w:space="4" w:color="FFFFFF"/>
        <w:left w:val="single" w:sz="4" w:space="4" w:color="FFFFFF"/>
        <w:bottom w:val="single" w:sz="4" w:space="4" w:color="FFFFFF"/>
        <w:right w:val="single" w:sz="4" w:space="4" w:color="FFFFFF"/>
      </w:pBdr>
    </w:pPr>
  </w:style>
  <w:style w:type="paragraph" w:customStyle="1" w:styleId="TableBody">
    <w:name w:val="TableBody"/>
    <w:basedOn w:val="TableHead"/>
    <w:rsid w:val="00AE37FC"/>
  </w:style>
  <w:style w:type="paragraph" w:customStyle="1" w:styleId="TableFoot">
    <w:name w:val="TableFoot"/>
    <w:basedOn w:val="TableBody"/>
    <w:rsid w:val="00AE37FC"/>
    <w:pPr>
      <w:spacing w:before="60" w:after="60"/>
    </w:pPr>
  </w:style>
  <w:style w:type="paragraph" w:customStyle="1" w:styleId="Keywords">
    <w:name w:val="Keywords"/>
    <w:basedOn w:val="Normln"/>
    <w:qFormat/>
    <w:rsid w:val="00AE37FC"/>
    <w:pPr>
      <w:spacing w:before="240" w:after="240" w:line="250" w:lineRule="exact"/>
    </w:pPr>
    <w:rPr>
      <w:rFonts w:ascii="Arial" w:eastAsia="MS Mincho" w:hAnsi="Arial" w:cs="Times New Roman"/>
      <w:sz w:val="17"/>
      <w:szCs w:val="20"/>
      <w:lang w:eastAsia="ja-JP"/>
    </w:rPr>
  </w:style>
  <w:style w:type="paragraph" w:customStyle="1" w:styleId="ManuscriptID">
    <w:name w:val="ManuscriptID"/>
    <w:basedOn w:val="Normln"/>
    <w:qFormat/>
    <w:rsid w:val="00AE37FC"/>
    <w:pPr>
      <w:spacing w:before="220" w:after="0" w:line="230" w:lineRule="exact"/>
    </w:pPr>
    <w:rPr>
      <w:rFonts w:ascii="Arial" w:eastAsia="MS Mincho" w:hAnsi="Arial" w:cs="Times New Roman"/>
      <w:b/>
      <w:sz w:val="17"/>
      <w:szCs w:val="15"/>
      <w:lang w:eastAsia="ja-JP"/>
    </w:rPr>
  </w:style>
  <w:style w:type="paragraph" w:customStyle="1" w:styleId="AuthorsTOC">
    <w:name w:val="Authors_TOC"/>
    <w:basedOn w:val="Authors"/>
    <w:rsid w:val="00AE37FC"/>
    <w:pPr>
      <w:spacing w:after="0" w:line="225" w:lineRule="atLeast"/>
    </w:pPr>
    <w:rPr>
      <w:i/>
      <w:sz w:val="17"/>
      <w:szCs w:val="20"/>
    </w:rPr>
  </w:style>
  <w:style w:type="paragraph" w:customStyle="1" w:styleId="TitleTOC">
    <w:name w:val="Title_TOC"/>
    <w:basedOn w:val="AuthorsTOC"/>
    <w:rsid w:val="00AE37FC"/>
    <w:rPr>
      <w:b/>
      <w:i w:val="0"/>
    </w:rPr>
  </w:style>
  <w:style w:type="paragraph" w:customStyle="1" w:styleId="TableOfContentText">
    <w:name w:val="TableOfContentText"/>
    <w:basedOn w:val="AuthorsTOC"/>
    <w:rsid w:val="00AE37FC"/>
    <w:rPr>
      <w:i w:val="0"/>
      <w:color w:val="000000"/>
    </w:rPr>
  </w:style>
  <w:style w:type="paragraph" w:customStyle="1" w:styleId="P1withIndendation">
    <w:name w:val="P1_with_Indendation"/>
    <w:basedOn w:val="TableCaption"/>
    <w:qFormat/>
    <w:rsid w:val="00AE37FC"/>
    <w:pPr>
      <w:pBdr>
        <w:top w:val="none" w:sz="0" w:space="0" w:color="auto"/>
        <w:left w:val="none" w:sz="0" w:space="0" w:color="auto"/>
        <w:bottom w:val="none" w:sz="0" w:space="0" w:color="auto"/>
        <w:right w:val="none" w:sz="0" w:space="0" w:color="auto"/>
      </w:pBdr>
      <w:spacing w:line="225" w:lineRule="exact"/>
      <w:ind w:firstLine="284"/>
    </w:pPr>
    <w:rPr>
      <w:sz w:val="17"/>
    </w:rPr>
  </w:style>
  <w:style w:type="paragraph" w:customStyle="1" w:styleId="HAcknowledgements">
    <w:name w:val="HAcknowledgements"/>
    <w:basedOn w:val="Normln"/>
    <w:qFormat/>
    <w:rsid w:val="00AE37FC"/>
    <w:pPr>
      <w:spacing w:before="480" w:after="230" w:line="230" w:lineRule="atLeast"/>
    </w:pPr>
    <w:rPr>
      <w:rFonts w:ascii="Arial" w:eastAsia="MS Mincho" w:hAnsi="Arial" w:cs="Times New Roman"/>
      <w:b/>
      <w:szCs w:val="24"/>
      <w:lang w:eastAsia="ja-JP"/>
    </w:rPr>
  </w:style>
  <w:style w:type="paragraph" w:customStyle="1" w:styleId="Acknowledgements">
    <w:name w:val="Acknowledgements"/>
    <w:basedOn w:val="P1withoutIndendation"/>
    <w:qFormat/>
    <w:rsid w:val="00AE37FC"/>
    <w:pPr>
      <w:spacing w:after="240" w:line="230" w:lineRule="atLeast"/>
    </w:pPr>
  </w:style>
  <w:style w:type="paragraph" w:customStyle="1" w:styleId="ColumnTitleTOC">
    <w:name w:val="ColumnTitle_TOC"/>
    <w:basedOn w:val="ColumnTitle"/>
    <w:rsid w:val="00AE37FC"/>
    <w:pPr>
      <w:pBdr>
        <w:bottom w:val="single" w:sz="36" w:space="3" w:color="008080"/>
      </w:pBdr>
      <w:spacing w:after="0"/>
      <w:jc w:val="left"/>
    </w:pPr>
    <w:rPr>
      <w:b w:val="0"/>
      <w:color w:val="000000"/>
      <w:sz w:val="28"/>
      <w:szCs w:val="28"/>
    </w:rPr>
  </w:style>
  <w:style w:type="paragraph" w:customStyle="1" w:styleId="SubjectHeadingTOC">
    <w:name w:val="SubjectHeading_TOC"/>
    <w:basedOn w:val="Normln"/>
    <w:rsid w:val="00AE37FC"/>
    <w:pPr>
      <w:spacing w:before="60" w:after="60" w:line="230" w:lineRule="exact"/>
    </w:pPr>
    <w:rPr>
      <w:rFonts w:ascii="Arial" w:eastAsia="MS Mincho" w:hAnsi="Arial" w:cs="Times New Roman"/>
      <w:b/>
      <w:i/>
      <w:color w:val="FFFFFF"/>
      <w:sz w:val="21"/>
      <w:szCs w:val="18"/>
      <w:lang w:eastAsia="ja-JP"/>
    </w:rPr>
  </w:style>
  <w:style w:type="paragraph" w:customStyle="1" w:styleId="GAAuthors">
    <w:name w:val="GAAuthors"/>
    <w:basedOn w:val="Normln"/>
    <w:rsid w:val="00AE37FC"/>
    <w:pPr>
      <w:spacing w:before="360" w:after="60" w:line="220" w:lineRule="exact"/>
    </w:pPr>
    <w:rPr>
      <w:rFonts w:ascii="Times New Roman" w:eastAsia="MS Mincho" w:hAnsi="Times New Roman" w:cs="Times New Roman"/>
      <w:b/>
      <w:sz w:val="18"/>
      <w:szCs w:val="20"/>
      <w:lang w:eastAsia="ja-JP"/>
    </w:rPr>
  </w:style>
  <w:style w:type="paragraph" w:customStyle="1" w:styleId="GACatchPhrase">
    <w:name w:val="GACatchPhrase"/>
    <w:basedOn w:val="Normln"/>
    <w:rsid w:val="00AE37FC"/>
    <w:pPr>
      <w:spacing w:before="40" w:after="0" w:line="240" w:lineRule="auto"/>
      <w:jc w:val="right"/>
    </w:pPr>
    <w:rPr>
      <w:rFonts w:ascii="Times New Roman" w:eastAsia="MS Mincho" w:hAnsi="Times New Roman" w:cs="Arial"/>
      <w:b/>
      <w:color w:val="008080"/>
      <w:sz w:val="18"/>
      <w:szCs w:val="16"/>
      <w:lang w:eastAsia="ja-JP"/>
    </w:rPr>
  </w:style>
  <w:style w:type="paragraph" w:customStyle="1" w:styleId="GAText">
    <w:name w:val="GAText"/>
    <w:basedOn w:val="Normln"/>
    <w:rsid w:val="00AE37FC"/>
    <w:pPr>
      <w:spacing w:before="120" w:after="0" w:line="220" w:lineRule="exact"/>
    </w:pPr>
    <w:rPr>
      <w:rFonts w:ascii="Times New Roman" w:eastAsia="MS Mincho" w:hAnsi="Times New Roman" w:cs="Times New Roman"/>
      <w:color w:val="000000"/>
      <w:sz w:val="18"/>
      <w:szCs w:val="24"/>
      <w:lang w:val="de-DE" w:eastAsia="ja-JP"/>
    </w:rPr>
  </w:style>
  <w:style w:type="paragraph" w:customStyle="1" w:styleId="GATitel">
    <w:name w:val="GATitel"/>
    <w:basedOn w:val="GAAuthors"/>
    <w:rsid w:val="00AE37FC"/>
    <w:pPr>
      <w:spacing w:before="240"/>
    </w:pPr>
    <w:rPr>
      <w:b w:val="0"/>
    </w:rPr>
  </w:style>
  <w:style w:type="paragraph" w:customStyle="1" w:styleId="GAKeywords">
    <w:name w:val="GAKeywords"/>
    <w:basedOn w:val="Keywords"/>
    <w:rsid w:val="00AE37FC"/>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AE37FC"/>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ln"/>
    <w:rsid w:val="00AE37FC"/>
    <w:pPr>
      <w:spacing w:before="230" w:after="0" w:line="240" w:lineRule="auto"/>
    </w:pPr>
    <w:rPr>
      <w:rFonts w:ascii="Arial" w:eastAsia="MS Mincho" w:hAnsi="Arial" w:cs="Times New Roman"/>
      <w:b/>
      <w:i/>
      <w:sz w:val="17"/>
      <w:szCs w:val="24"/>
      <w:lang w:val="de-DE" w:eastAsia="ja-JP"/>
    </w:rPr>
  </w:style>
  <w:style w:type="paragraph" w:customStyle="1" w:styleId="FormatvorlageHistoryObenEinfacheeinfarbigeLinie05PtZeilenbr">
    <w:name w:val="Formatvorlage History + Oben: (Einfache einfarbige Linie  05 Pt. Zeilenbr..."/>
    <w:basedOn w:val="History"/>
    <w:qFormat/>
    <w:rsid w:val="00AE37FC"/>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AE37FC"/>
    <w:pPr>
      <w:spacing w:before="720"/>
    </w:pPr>
    <w:rPr>
      <w:szCs w:val="20"/>
    </w:rPr>
  </w:style>
  <w:style w:type="paragraph" w:customStyle="1" w:styleId="TableSpacer">
    <w:name w:val="TableSpacer"/>
    <w:basedOn w:val="Normln"/>
    <w:qFormat/>
    <w:rsid w:val="00AE37FC"/>
    <w:pPr>
      <w:spacing w:before="360" w:after="0" w:line="240" w:lineRule="auto"/>
    </w:pPr>
    <w:rPr>
      <w:rFonts w:ascii="Arial" w:eastAsia="MS Mincho" w:hAnsi="Arial" w:cs="Times New Roman"/>
      <w:noProof/>
      <w:sz w:val="14"/>
      <w:szCs w:val="24"/>
      <w:lang w:val="de-DE" w:eastAsia="ja-JP"/>
    </w:rPr>
  </w:style>
  <w:style w:type="paragraph" w:customStyle="1" w:styleId="H1">
    <w:name w:val="H1"/>
    <w:basedOn w:val="Normln"/>
    <w:qFormat/>
    <w:rsid w:val="00AE37FC"/>
    <w:pPr>
      <w:spacing w:before="480" w:after="230" w:line="225" w:lineRule="exact"/>
    </w:pPr>
    <w:rPr>
      <w:rFonts w:ascii="Arial" w:eastAsia="MS Mincho" w:hAnsi="Arial" w:cs="Times New Roman"/>
      <w:b/>
      <w:szCs w:val="24"/>
      <w:lang w:eastAsia="ja-JP"/>
    </w:rPr>
  </w:style>
  <w:style w:type="paragraph" w:customStyle="1" w:styleId="TAMainText">
    <w:name w:val="TA_Main_Text"/>
    <w:basedOn w:val="Normln"/>
    <w:rsid w:val="00AE37FC"/>
    <w:pPr>
      <w:spacing w:after="0" w:line="480" w:lineRule="auto"/>
      <w:ind w:firstLine="202"/>
      <w:jc w:val="both"/>
    </w:pPr>
    <w:rPr>
      <w:rFonts w:ascii="Times" w:eastAsia="Times New Roman" w:hAnsi="Times" w:cs="Times New Roman"/>
      <w:sz w:val="24"/>
      <w:szCs w:val="20"/>
      <w:lang w:val="en-US"/>
    </w:rPr>
  </w:style>
  <w:style w:type="paragraph" w:customStyle="1" w:styleId="P2">
    <w:name w:val="P2"/>
    <w:basedOn w:val="Normln"/>
    <w:rsid w:val="00AE37FC"/>
    <w:pPr>
      <w:spacing w:after="0" w:line="230" w:lineRule="exact"/>
    </w:pPr>
    <w:rPr>
      <w:rFonts w:ascii="Times New Roman" w:eastAsia="MS Mincho" w:hAnsi="Times New Roman" w:cs="Times New Roman"/>
      <w:sz w:val="16"/>
      <w:szCs w:val="24"/>
      <w:lang w:val="de-DE" w:eastAsia="ja-JP"/>
    </w:rPr>
  </w:style>
  <w:style w:type="paragraph" w:customStyle="1" w:styleId="Odstavecseseznamem1">
    <w:name w:val="Odstavec se seznamem1"/>
    <w:basedOn w:val="Normln"/>
    <w:uiPriority w:val="99"/>
    <w:rsid w:val="00AE37FC"/>
    <w:pPr>
      <w:ind w:left="720"/>
    </w:pPr>
    <w:rPr>
      <w:rFonts w:ascii="Calibri" w:eastAsia="Times New Roman" w:hAnsi="Calibri" w:cs="Calibri"/>
      <w:lang w:val="cs-CZ" w:eastAsia="cs-CZ"/>
    </w:rPr>
  </w:style>
  <w:style w:type="character" w:customStyle="1" w:styleId="apple-converted-space">
    <w:name w:val="apple-converted-space"/>
    <w:uiPriority w:val="99"/>
    <w:rsid w:val="00AE37FC"/>
  </w:style>
  <w:style w:type="paragraph" w:styleId="Zkladntext">
    <w:name w:val="Body Text"/>
    <w:basedOn w:val="Normln"/>
    <w:link w:val="ZkladntextChar"/>
    <w:uiPriority w:val="99"/>
    <w:semiHidden/>
    <w:unhideWhenUsed/>
    <w:rsid w:val="00AE37FC"/>
    <w:pPr>
      <w:spacing w:after="120" w:line="240" w:lineRule="auto"/>
    </w:pPr>
    <w:rPr>
      <w:rFonts w:ascii="Times New Roman" w:eastAsia="MS Mincho" w:hAnsi="Times New Roman" w:cs="Times New Roman"/>
      <w:sz w:val="24"/>
      <w:szCs w:val="24"/>
      <w:lang w:val="de-DE" w:eastAsia="ja-JP"/>
    </w:rPr>
  </w:style>
  <w:style w:type="character" w:customStyle="1" w:styleId="ZkladntextChar">
    <w:name w:val="Základní text Char"/>
    <w:basedOn w:val="Standardnpsmoodstavce"/>
    <w:link w:val="Zkladntext"/>
    <w:uiPriority w:val="99"/>
    <w:semiHidden/>
    <w:rsid w:val="00AE37FC"/>
    <w:rPr>
      <w:rFonts w:ascii="Times New Roman" w:eastAsia="MS Mincho" w:hAnsi="Times New Roman" w:cs="Times New Roman"/>
      <w:sz w:val="24"/>
      <w:szCs w:val="24"/>
      <w:lang w:val="de-DE" w:eastAsia="ja-JP"/>
    </w:rPr>
  </w:style>
  <w:style w:type="paragraph" w:styleId="Zkladntext-prvnodsazen">
    <w:name w:val="Body Text First Indent"/>
    <w:basedOn w:val="Zkladntext"/>
    <w:link w:val="Zkladntext-prvnodsazenChar"/>
    <w:uiPriority w:val="99"/>
    <w:rsid w:val="00AE37FC"/>
    <w:pPr>
      <w:spacing w:line="360" w:lineRule="auto"/>
      <w:ind w:firstLine="210"/>
      <w:jc w:val="both"/>
    </w:pPr>
    <w:rPr>
      <w:rFonts w:eastAsia="Times New Roman"/>
      <w:lang w:val="cs-CZ" w:eastAsia="cs-CZ"/>
    </w:rPr>
  </w:style>
  <w:style w:type="character" w:customStyle="1" w:styleId="Zkladntext-prvnodsazenChar">
    <w:name w:val="Základní text - první odsazený Char"/>
    <w:basedOn w:val="ZkladntextChar"/>
    <w:link w:val="Zkladntext-prvnodsazen"/>
    <w:uiPriority w:val="99"/>
    <w:rsid w:val="00AE37FC"/>
    <w:rPr>
      <w:rFonts w:ascii="Times New Roman" w:eastAsia="Times New Roman" w:hAnsi="Times New Roman" w:cs="Times New Roman"/>
      <w:sz w:val="24"/>
      <w:szCs w:val="24"/>
      <w:lang w:val="cs-CZ" w:eastAsia="cs-CZ"/>
    </w:rPr>
  </w:style>
  <w:style w:type="paragraph" w:customStyle="1" w:styleId="Odstavecseseznamem11">
    <w:name w:val="Odstavec se seznamem11"/>
    <w:basedOn w:val="Normln"/>
    <w:uiPriority w:val="99"/>
    <w:rsid w:val="00AE37FC"/>
    <w:pPr>
      <w:ind w:left="720"/>
    </w:pPr>
    <w:rPr>
      <w:rFonts w:ascii="Calibri" w:eastAsia="Times New Roman" w:hAnsi="Calibri" w:cs="Calibri"/>
      <w:lang w:val="cs-CZ" w:eastAsia="cs-CZ"/>
    </w:rPr>
  </w:style>
  <w:style w:type="character" w:customStyle="1" w:styleId="TextkomenteChar">
    <w:name w:val="Text komentáře Char"/>
    <w:basedOn w:val="Standardnpsmoodstavce"/>
    <w:link w:val="Textkomente"/>
    <w:uiPriority w:val="99"/>
    <w:semiHidden/>
    <w:rsid w:val="00AE37FC"/>
    <w:rPr>
      <w:rFonts w:ascii="Times New Roman" w:eastAsia="MS Mincho" w:hAnsi="Times New Roman" w:cs="Times New Roman"/>
      <w:sz w:val="20"/>
      <w:szCs w:val="20"/>
      <w:lang w:val="de-DE" w:eastAsia="ja-JP"/>
    </w:rPr>
  </w:style>
  <w:style w:type="paragraph" w:styleId="Textkomente">
    <w:name w:val="annotation text"/>
    <w:basedOn w:val="Normln"/>
    <w:link w:val="TextkomenteChar"/>
    <w:uiPriority w:val="99"/>
    <w:semiHidden/>
    <w:unhideWhenUsed/>
    <w:rsid w:val="00AE37FC"/>
    <w:pPr>
      <w:spacing w:after="0" w:line="240" w:lineRule="auto"/>
    </w:pPr>
    <w:rPr>
      <w:rFonts w:ascii="Times New Roman" w:eastAsia="MS Mincho" w:hAnsi="Times New Roman" w:cs="Times New Roman"/>
      <w:sz w:val="20"/>
      <w:szCs w:val="20"/>
      <w:lang w:val="de-DE" w:eastAsia="ja-JP"/>
    </w:rPr>
  </w:style>
  <w:style w:type="character" w:customStyle="1" w:styleId="PedmtkomenteChar">
    <w:name w:val="Předmět komentáře Char"/>
    <w:basedOn w:val="TextkomenteChar"/>
    <w:link w:val="Pedmtkomente"/>
    <w:uiPriority w:val="99"/>
    <w:semiHidden/>
    <w:rsid w:val="00AE37FC"/>
    <w:rPr>
      <w:rFonts w:ascii="Times New Roman" w:eastAsia="MS Mincho" w:hAnsi="Times New Roman" w:cs="Times New Roman"/>
      <w:b/>
      <w:bCs/>
      <w:sz w:val="20"/>
      <w:szCs w:val="20"/>
      <w:lang w:val="de-DE" w:eastAsia="ja-JP"/>
    </w:rPr>
  </w:style>
  <w:style w:type="paragraph" w:styleId="Pedmtkomente">
    <w:name w:val="annotation subject"/>
    <w:basedOn w:val="Textkomente"/>
    <w:next w:val="Textkomente"/>
    <w:link w:val="PedmtkomenteChar"/>
    <w:uiPriority w:val="99"/>
    <w:semiHidden/>
    <w:unhideWhenUsed/>
    <w:rsid w:val="00AE37FC"/>
    <w:rPr>
      <w:b/>
      <w:bCs/>
    </w:rPr>
  </w:style>
  <w:style w:type="paragraph" w:customStyle="1" w:styleId="1">
    <w:name w:val="1"/>
    <w:uiPriority w:val="20"/>
    <w:qFormat/>
    <w:rsid w:val="005D2664"/>
  </w:style>
  <w:style w:type="character" w:styleId="Zdraznn">
    <w:name w:val="Emphasis"/>
    <w:basedOn w:val="Standardnpsmoodstavce"/>
    <w:uiPriority w:val="20"/>
    <w:rsid w:val="006D15F6"/>
    <w:rPr>
      <w:i/>
      <w:iCs/>
    </w:rPr>
  </w:style>
  <w:style w:type="character" w:styleId="Odkaznakoment">
    <w:name w:val="annotation reference"/>
    <w:basedOn w:val="Standardnpsmoodstavce"/>
    <w:uiPriority w:val="99"/>
    <w:semiHidden/>
    <w:unhideWhenUsed/>
    <w:rsid w:val="00945AB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5.tiff"/><Relationship Id="rId26" Type="http://schemas.openxmlformats.org/officeDocument/2006/relationships/image" Target="media/image13.tiff"/><Relationship Id="rId3" Type="http://schemas.openxmlformats.org/officeDocument/2006/relationships/styles" Target="styles.xml"/><Relationship Id="rId21" Type="http://schemas.openxmlformats.org/officeDocument/2006/relationships/image" Target="media/image8.tiff"/><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tiff"/><Relationship Id="rId25" Type="http://schemas.openxmlformats.org/officeDocument/2006/relationships/image" Target="media/image12.tiff"/><Relationship Id="rId2" Type="http://schemas.openxmlformats.org/officeDocument/2006/relationships/numbering" Target="numbering.xml"/><Relationship Id="rId16" Type="http://schemas.openxmlformats.org/officeDocument/2006/relationships/image" Target="media/image3.tiff"/><Relationship Id="rId20" Type="http://schemas.openxmlformats.org/officeDocument/2006/relationships/image" Target="media/image7.tif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1.tiff"/><Relationship Id="rId5" Type="http://schemas.openxmlformats.org/officeDocument/2006/relationships/webSettings" Target="webSettings.xml"/><Relationship Id="rId15" Type="http://schemas.openxmlformats.org/officeDocument/2006/relationships/image" Target="media/image2.tiff"/><Relationship Id="rId23" Type="http://schemas.openxmlformats.org/officeDocument/2006/relationships/image" Target="media/image10.tiff"/><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6.ti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9.tiff"/><Relationship Id="rId27" Type="http://schemas.openxmlformats.org/officeDocument/2006/relationships/hyperlink" Target="http://www.ccdc.cam.ac.uk/data_request/cif"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2A790D-2937-4D97-A72B-CD0695C56E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475</TotalTime>
  <Pages>12</Pages>
  <Words>30018</Words>
  <Characters>171107</Characters>
  <Application>Microsoft Office Word</Application>
  <DocSecurity>0</DocSecurity>
  <Lines>1425</Lines>
  <Paragraphs>401</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The Royal Society of Chemistry</Company>
  <LinksUpToDate>false</LinksUpToDate>
  <CharactersWithSpaces>200724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McCallum</dc:creator>
  <cp:keywords/>
  <dc:description/>
  <cp:lastModifiedBy>Honzicek Jan</cp:lastModifiedBy>
  <cp:revision>2</cp:revision>
  <cp:lastPrinted>2019-04-10T12:22:00Z</cp:lastPrinted>
  <dcterms:created xsi:type="dcterms:W3CDTF">2019-04-17T08:46:00Z</dcterms:created>
  <dcterms:modified xsi:type="dcterms:W3CDTF">2019-05-31T06:58:00Z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http://www.zotero.org/styles/angewandte-chemie</vt:lpwstr>
  </property>
  <property fmtid="{D5CDD505-2E9C-101B-9397-08002B2CF9AE}" pid="9" name="Mendeley Recent Style Name 3_1">
    <vt:lpwstr>Angewandte Chemie International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http://www.zotero.org/styles/dalton-transactions</vt:lpwstr>
  </property>
  <property fmtid="{D5CDD505-2E9C-101B-9397-08002B2CF9AE}" pid="15" name="Mendeley Recent Style Name 6_1">
    <vt:lpwstr>Dalton Transactions</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http://www.zotero.org/styles/journal-of-the-american-chemical-society</vt:lpwstr>
  </property>
  <property fmtid="{D5CDD505-2E9C-101B-9397-08002B2CF9AE}" pid="19" name="Mendeley Recent Style Name 8_1">
    <vt:lpwstr>Journal of the American Chemical Society</vt:lpwstr>
  </property>
  <property fmtid="{D5CDD505-2E9C-101B-9397-08002B2CF9AE}" pid="20" name="Mendeley Recent Style Id 9_1">
    <vt:lpwstr>http://www.zotero.org/styles/organometallics</vt:lpwstr>
  </property>
  <property fmtid="{D5CDD505-2E9C-101B-9397-08002B2CF9AE}" pid="21" name="Mendeley Recent Style Name 9_1">
    <vt:lpwstr>Organometallics</vt:lpwstr>
  </property>
  <property fmtid="{D5CDD505-2E9C-101B-9397-08002B2CF9AE}" pid="22" name="Mendeley Document_1">
    <vt:lpwstr>True</vt:lpwstr>
  </property>
  <property fmtid="{D5CDD505-2E9C-101B-9397-08002B2CF9AE}" pid="23" name="Mendeley Unique User Id_1">
    <vt:lpwstr>6e41f1d2-e7aa-37b0-85cb-bee3e64a5e2e</vt:lpwstr>
  </property>
  <property fmtid="{D5CDD505-2E9C-101B-9397-08002B2CF9AE}" pid="24" name="Mendeley Citation Style_1">
    <vt:lpwstr>http://www.zotero.org/styles/dalton-transactions</vt:lpwstr>
  </property>
</Properties>
</file>