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2E6A45" w14:textId="77777777" w:rsidR="00091825" w:rsidRPr="003C01B1" w:rsidRDefault="00091825" w:rsidP="00091825">
      <w:pPr>
        <w:rPr>
          <w:sz w:val="28"/>
          <w:szCs w:val="28"/>
        </w:rPr>
      </w:pPr>
      <w:bookmarkStart w:id="0" w:name="_GoBack"/>
      <w:bookmarkEnd w:id="0"/>
      <w:r w:rsidRPr="003C01B1">
        <w:rPr>
          <w:sz w:val="28"/>
          <w:szCs w:val="28"/>
        </w:rPr>
        <w:t xml:space="preserve">B.A.Abschlussarbeit: </w:t>
      </w:r>
    </w:p>
    <w:p w14:paraId="78F4F32F" w14:textId="2EFAC398" w:rsidR="00091825" w:rsidRPr="003C01B1" w:rsidRDefault="00091825" w:rsidP="00091825">
      <w:pPr>
        <w:rPr>
          <w:sz w:val="28"/>
          <w:szCs w:val="28"/>
        </w:rPr>
      </w:pPr>
      <w:r w:rsidRPr="003C01B1">
        <w:rPr>
          <w:sz w:val="28"/>
          <w:szCs w:val="28"/>
        </w:rPr>
        <w:t>Die Wahrnehmung von Kitsch und Geschmack in Deutschland und Tschechien</w:t>
      </w:r>
    </w:p>
    <w:p w14:paraId="6822405E" w14:textId="16739D28" w:rsidR="00091825" w:rsidRPr="003C01B1" w:rsidRDefault="00091825" w:rsidP="00091825">
      <w:pPr>
        <w:rPr>
          <w:sz w:val="28"/>
          <w:szCs w:val="28"/>
        </w:rPr>
      </w:pPr>
      <w:r w:rsidRPr="003C01B1">
        <w:rPr>
          <w:sz w:val="28"/>
          <w:szCs w:val="28"/>
        </w:rPr>
        <w:t>Kandidatin: Pavlína Hilscherová</w:t>
      </w:r>
    </w:p>
    <w:p w14:paraId="258A0DEA" w14:textId="0ECAD710" w:rsidR="00DE4961" w:rsidRPr="003C01B1" w:rsidRDefault="00091825">
      <w:pPr>
        <w:rPr>
          <w:sz w:val="28"/>
          <w:szCs w:val="28"/>
        </w:rPr>
      </w:pPr>
      <w:r w:rsidRPr="003C01B1">
        <w:rPr>
          <w:sz w:val="28"/>
          <w:szCs w:val="28"/>
        </w:rPr>
        <w:t>Gutachterin: Prof.Dr. habil.Ingrid Hudabiunigg</w:t>
      </w:r>
    </w:p>
    <w:p w14:paraId="158D5D51" w14:textId="747E6A18" w:rsidR="00091825" w:rsidRDefault="00091825"/>
    <w:p w14:paraId="0D578717" w14:textId="237D4F32" w:rsidR="00091825" w:rsidRDefault="00091825" w:rsidP="00823BAB">
      <w:pPr>
        <w:spacing w:line="360" w:lineRule="auto"/>
        <w:ind w:firstLine="708"/>
      </w:pPr>
      <w:r>
        <w:t>Die Kandidatin gibt als Ziel ihrer Arbeit an, aufgrund der tschechischen und deutschen Fachliteratur die Definitionen von Kitsch und Vorstellungen zu Kitsch „im Rahmen der beiden kulturellen Gemeinschaften“(Abstract) zu bestimmen. Weiters will sie feststellen, ob Kitsch „im praktischen Leben“ eher beliebt ist oder verurteil</w:t>
      </w:r>
      <w:r w:rsidR="003C0676">
        <w:t>t</w:t>
      </w:r>
      <w:r>
        <w:t xml:space="preserve"> wird und inwiefern </w:t>
      </w:r>
      <w:r w:rsidR="003C0676">
        <w:t xml:space="preserve">größerer oder geringerer </w:t>
      </w:r>
      <w:r>
        <w:t xml:space="preserve">kommerzieller Erfolg </w:t>
      </w:r>
      <w:r w:rsidR="003C0676">
        <w:t xml:space="preserve">von Kitschprodukten als Charakteristika von Deutschland oder Tschechien gelten können. </w:t>
      </w:r>
    </w:p>
    <w:p w14:paraId="1953FC9F" w14:textId="69B6BDCC" w:rsidR="00823BAB" w:rsidRDefault="00823BAB" w:rsidP="00823BAB">
      <w:pPr>
        <w:spacing w:line="360" w:lineRule="auto"/>
        <w:ind w:firstLine="708"/>
      </w:pPr>
      <w:r>
        <w:t xml:space="preserve">Nach der Definition von Kitsch in verschiedenen Publikationen und der Herausarbeitung der Etymologie des Wortes und der Übersetzbarkeit oder Übernahme des Wortes in andere Sprachen </w:t>
      </w:r>
      <w:r w:rsidR="008D6877">
        <w:t xml:space="preserve">( Kapitel 1 und 2) gibt sie danach einen Überblick über spezielle Werke zu Kitsch. </w:t>
      </w:r>
    </w:p>
    <w:p w14:paraId="5E3A8221" w14:textId="77777777" w:rsidR="008D6877" w:rsidRDefault="003C0676" w:rsidP="00823BAB">
      <w:pPr>
        <w:spacing w:line="360" w:lineRule="auto"/>
        <w:ind w:firstLine="708"/>
      </w:pPr>
      <w:r>
        <w:t xml:space="preserve">Aus der Fachliteratur zu Kitsch geht die Kandidatin auf eine Reihe von tschechischen und deutschen Autoren ein und zitiert aus ihren Werken. </w:t>
      </w:r>
    </w:p>
    <w:p w14:paraId="2658BB40" w14:textId="4068557D" w:rsidR="008D6877" w:rsidRDefault="00B21CF3" w:rsidP="00823BAB">
      <w:pPr>
        <w:spacing w:line="360" w:lineRule="auto"/>
        <w:ind w:firstLine="708"/>
      </w:pPr>
      <w:r>
        <w:t>Aus de</w:t>
      </w:r>
      <w:r w:rsidR="00443191">
        <w:t>m</w:t>
      </w:r>
      <w:r>
        <w:t xml:space="preserve"> deutschsprachigen Raum </w:t>
      </w:r>
      <w:r w:rsidR="00443191">
        <w:t xml:space="preserve">werden drei Autoren zu dem gegebenen Thema zitiert und ihre Ansichten verglichen. Es sind Hans- Dieter Gelfert,( Was ist Kitsch?; 2000), Hermann Broch </w:t>
      </w:r>
      <w:r w:rsidR="00472D09">
        <w:t xml:space="preserve">(Několik poznámek k problému kýče, 2000) und </w:t>
      </w:r>
      <w:r w:rsidR="00BB169A">
        <w:t>eine gewisse „Gabriele“</w:t>
      </w:r>
      <w:r w:rsidR="0094040A">
        <w:t>(!)</w:t>
      </w:r>
      <w:r w:rsidR="00BB169A">
        <w:t xml:space="preserve"> Thuller. Die letztere Nennung stammt aus einer online-Werbung </w:t>
      </w:r>
      <w:r w:rsidR="0094040A">
        <w:t>des</w:t>
      </w:r>
      <w:r w:rsidR="00BB169A">
        <w:t xml:space="preserve"> Münzhandels</w:t>
      </w:r>
      <w:r w:rsidR="0094040A">
        <w:t xml:space="preserve"> „mince lipka“</w:t>
      </w:r>
      <w:r w:rsidR="00BB169A">
        <w:t xml:space="preserve">, wobei an dieser Stelle der männliche Vorname „Gabriel“(!) angegeben ist. Im Literaturverzeichnis </w:t>
      </w:r>
      <w:r w:rsidR="003C01B1">
        <w:t xml:space="preserve">der Arbeit </w:t>
      </w:r>
      <w:r w:rsidR="00BB169A">
        <w:t>fehlt der Name de</w:t>
      </w:r>
      <w:r w:rsidR="0094040A">
        <w:t>r</w:t>
      </w:r>
      <w:r w:rsidR="00BB169A">
        <w:t xml:space="preserve"> Autor</w:t>
      </w:r>
      <w:r w:rsidR="0094040A">
        <w:t>in, bzw. des Autors</w:t>
      </w:r>
      <w:r w:rsidR="00BB169A">
        <w:t xml:space="preserve"> </w:t>
      </w:r>
    </w:p>
    <w:p w14:paraId="4918F31D" w14:textId="6BB1A958" w:rsidR="00091825" w:rsidRDefault="006F3451" w:rsidP="00823BAB">
      <w:pPr>
        <w:spacing w:line="360" w:lineRule="auto"/>
        <w:ind w:firstLine="708"/>
      </w:pPr>
      <w:r>
        <w:t xml:space="preserve">Das grundlegende </w:t>
      </w:r>
      <w:r w:rsidR="0017292C">
        <w:t xml:space="preserve">tschechische </w:t>
      </w:r>
      <w:r>
        <w:t xml:space="preserve">Werk zu Kitsch hat </w:t>
      </w:r>
      <w:r w:rsidR="00BB169A">
        <w:t xml:space="preserve">nach </w:t>
      </w:r>
      <w:r>
        <w:t xml:space="preserve">Meinung </w:t>
      </w:r>
      <w:r w:rsidR="00BB169A">
        <w:t xml:space="preserve">der Kandidatin </w:t>
      </w:r>
      <w:r w:rsidR="0017292C">
        <w:t xml:space="preserve">Tomáš Kulka in seinem Werk </w:t>
      </w:r>
      <w:r w:rsidR="00C56D7B">
        <w:t>„</w:t>
      </w:r>
      <w:r w:rsidR="0017292C">
        <w:t>Umění a kýč</w:t>
      </w:r>
      <w:r w:rsidR="00C56D7B">
        <w:t>“</w:t>
      </w:r>
      <w:r w:rsidR="0017292C">
        <w:t xml:space="preserve"> vorgelegt. </w:t>
      </w:r>
    </w:p>
    <w:p w14:paraId="710A9525" w14:textId="212DD3AF" w:rsidR="000D6161" w:rsidRDefault="008064BD" w:rsidP="00823BAB">
      <w:pPr>
        <w:spacing w:line="360" w:lineRule="auto"/>
      </w:pPr>
      <w:r>
        <w:tab/>
      </w:r>
      <w:r w:rsidR="00B44EB5">
        <w:t xml:space="preserve">In Kapitel 4 </w:t>
      </w:r>
      <w:r w:rsidR="00823BAB">
        <w:t xml:space="preserve">werden die Thesen von Kulka dargestellt, der </w:t>
      </w:r>
      <w:r>
        <w:t xml:space="preserve">neben einer Definition von Kitsch die Frage nach </w:t>
      </w:r>
      <w:r w:rsidR="00F6610E">
        <w:t>dessen</w:t>
      </w:r>
      <w:r>
        <w:t xml:space="preserve"> Attraktivität und seinem „ästhetischen Defekt“ zu beantworten</w:t>
      </w:r>
      <w:r w:rsidR="00823BAB">
        <w:t xml:space="preserve"> sucht.</w:t>
      </w:r>
      <w:r w:rsidR="00B44EB5">
        <w:t xml:space="preserve"> ( S.27-31)</w:t>
      </w:r>
      <w:r w:rsidR="000D6161">
        <w:t>.</w:t>
      </w:r>
    </w:p>
    <w:p w14:paraId="1BFA9B95" w14:textId="6BA4151A" w:rsidR="00091825" w:rsidRDefault="000D6161" w:rsidP="000D6161">
      <w:pPr>
        <w:spacing w:line="360" w:lineRule="auto"/>
        <w:ind w:firstLine="708"/>
      </w:pPr>
      <w:r>
        <w:t xml:space="preserve">Kapitel 5 widmet sich der Trivialliteratur. </w:t>
      </w:r>
      <w:r w:rsidR="00BD3B11">
        <w:t>Näher eingegangen wird auf die d</w:t>
      </w:r>
      <w:r>
        <w:t>eutsche</w:t>
      </w:r>
      <w:r w:rsidR="00BD3B11">
        <w:t>n</w:t>
      </w:r>
      <w:r>
        <w:t xml:space="preserve"> Autoren </w:t>
      </w:r>
      <w:r w:rsidR="00BD3B11">
        <w:t xml:space="preserve">Hedwig Courths Mahler und Heinz G. Konsalik. Die Kandidatin ist der Meinung, dass es im Tschechischen </w:t>
      </w:r>
      <w:r w:rsidR="00843C10">
        <w:t>„</w:t>
      </w:r>
      <w:r w:rsidR="00843C10">
        <w:rPr>
          <w:sz w:val="23"/>
          <w:szCs w:val="23"/>
        </w:rPr>
        <w:t>eher nicht so umfangreich Trivialliteratur gibt“(</w:t>
      </w:r>
      <w:r w:rsidR="00F6610E">
        <w:rPr>
          <w:sz w:val="23"/>
          <w:szCs w:val="23"/>
        </w:rPr>
        <w:t>S</w:t>
      </w:r>
      <w:r w:rsidR="00843C10">
        <w:rPr>
          <w:sz w:val="23"/>
          <w:szCs w:val="23"/>
        </w:rPr>
        <w:t>.36).</w:t>
      </w:r>
    </w:p>
    <w:p w14:paraId="4D537060" w14:textId="01A1012C" w:rsidR="00091825" w:rsidRDefault="00843C10" w:rsidP="00843C10">
      <w:pPr>
        <w:spacing w:line="360" w:lineRule="auto"/>
        <w:ind w:firstLine="708"/>
      </w:pPr>
      <w:r>
        <w:lastRenderedPageBreak/>
        <w:t xml:space="preserve">Kapitel 6 bringt eine Auseinandersetzung mit Kitsch in der Musik. Hier wird neben einigen Beispielen für tschechische und deutsche Popmusik u.a. das jährliche Musikfestival „Eurovision“ angeführt, das jedoch durch seine internationale Ausrichtung kaum als spezifisch für eines der beiden untersuchten Länder angesehen werden kann. </w:t>
      </w:r>
    </w:p>
    <w:p w14:paraId="18B6B56D" w14:textId="1A2F2B5B" w:rsidR="00843C10" w:rsidRDefault="00D26CEF" w:rsidP="00843C10">
      <w:pPr>
        <w:spacing w:line="360" w:lineRule="auto"/>
        <w:ind w:firstLine="708"/>
      </w:pPr>
      <w:r>
        <w:t xml:space="preserve">Kapitel 7 widmet sich dem </w:t>
      </w:r>
      <w:r w:rsidR="003C01B1">
        <w:t xml:space="preserve">deutschen </w:t>
      </w:r>
      <w:r>
        <w:t>Unternehmer und Modedesigner Herbert Glö</w:t>
      </w:r>
      <w:r w:rsidR="003C01B1">
        <w:t>ö</w:t>
      </w:r>
      <w:r>
        <w:t>ckler</w:t>
      </w:r>
    </w:p>
    <w:p w14:paraId="1B3D8A1C" w14:textId="1D55E91B" w:rsidR="00843C10" w:rsidRDefault="00296781" w:rsidP="00843C10">
      <w:pPr>
        <w:spacing w:line="360" w:lineRule="auto"/>
        <w:ind w:firstLine="708"/>
      </w:pPr>
      <w:r>
        <w:t xml:space="preserve">Kapitel 8 versucht </w:t>
      </w:r>
      <w:r w:rsidR="00FF7C0E">
        <w:t>einen Vergleich des Phänomens Kitsch in den beiden Ländern</w:t>
      </w:r>
      <w:r w:rsidR="003C01B1">
        <w:t xml:space="preserve"> Deutschland und Tschechien.</w:t>
      </w:r>
      <w:r w:rsidR="00FF7C0E">
        <w:t xml:space="preserve"> </w:t>
      </w:r>
    </w:p>
    <w:p w14:paraId="3011DDE0" w14:textId="4D473FD0" w:rsidR="00FF7C0E" w:rsidRDefault="00FF7C0E" w:rsidP="00FF7C0E">
      <w:pPr>
        <w:spacing w:line="360" w:lineRule="auto"/>
        <w:ind w:firstLine="708"/>
      </w:pPr>
      <w:r>
        <w:t xml:space="preserve">Zusammenfassend kann festgestellt werden, dass die Kandidatin das überaus anspruchsvolle Thema des Kitsches durch eine Auflistung der Meinungen aus Spezialwerken bearbeitet hat. Leider ist die Argumentation nicht durchgehend stringent, was sich speziell im Schlusskapitel negativ auswirkt. </w:t>
      </w:r>
    </w:p>
    <w:p w14:paraId="088457EF" w14:textId="77777777" w:rsidR="003C01B1" w:rsidRDefault="003C01B1">
      <w:r>
        <w:t>Auch finden sich eine Reihe von sprachlichen Fehlern:</w:t>
      </w:r>
    </w:p>
    <w:p w14:paraId="7E5EEA78" w14:textId="2D828047" w:rsidR="00305A15" w:rsidRDefault="00305A15" w:rsidP="003C01B1">
      <w:pPr>
        <w:spacing w:line="240" w:lineRule="auto"/>
      </w:pPr>
      <w:r>
        <w:t xml:space="preserve">Kasusfehler: </w:t>
      </w:r>
      <w:r w:rsidR="003C01B1">
        <w:t>„</w:t>
      </w:r>
      <w:r>
        <w:t>Schließlich folgen eine Komparation und Bewertung den ganzen Kitsch“</w:t>
      </w:r>
    </w:p>
    <w:p w14:paraId="1A5607C4" w14:textId="1AAA1470" w:rsidR="00305A15" w:rsidRDefault="003C01B1" w:rsidP="003C01B1">
      <w:pPr>
        <w:spacing w:line="240" w:lineRule="auto"/>
      </w:pPr>
      <w:r>
        <w:t>Adjektive</w:t>
      </w:r>
      <w:r w:rsidR="00305A15">
        <w:t xml:space="preserve">ndungen: </w:t>
      </w:r>
      <w:r>
        <w:t>„</w:t>
      </w:r>
      <w:r w:rsidR="00305A15">
        <w:t>in der türkische Sprache</w:t>
      </w:r>
      <w:r>
        <w:t>“</w:t>
      </w:r>
    </w:p>
    <w:p w14:paraId="71749B94" w14:textId="382E8BC4" w:rsidR="00DF69D2" w:rsidRDefault="003C01B1" w:rsidP="003C01B1">
      <w:pPr>
        <w:spacing w:line="240" w:lineRule="auto"/>
      </w:pPr>
      <w:r>
        <w:t>Falsche Reflexivformen: „d</w:t>
      </w:r>
      <w:r w:rsidR="00DF69D2">
        <w:t>abei geht es sich um</w:t>
      </w:r>
      <w:r>
        <w:t>“</w:t>
      </w:r>
    </w:p>
    <w:p w14:paraId="21817182" w14:textId="6F5DDA5B" w:rsidR="007A4F73" w:rsidRDefault="003C01B1" w:rsidP="003C01B1">
      <w:pPr>
        <w:spacing w:line="240" w:lineRule="auto"/>
      </w:pPr>
      <w:r>
        <w:t xml:space="preserve">Genusfehler: </w:t>
      </w:r>
      <w:r w:rsidR="007A4F73">
        <w:t>die Herstellung der Schmucke</w:t>
      </w:r>
    </w:p>
    <w:p w14:paraId="0FE9ECAB" w14:textId="19BA836A" w:rsidR="00FF7C0E" w:rsidRDefault="00FF7C0E" w:rsidP="003C01B1">
      <w:pPr>
        <w:spacing w:line="240" w:lineRule="auto"/>
      </w:pPr>
      <w:r>
        <w:t>unverständliche Sätze: „Kitsch kann nebenbei dem Kitsch im Bezug mit der menschlichen Einstellung werden.“</w:t>
      </w:r>
    </w:p>
    <w:p w14:paraId="0BFFA187" w14:textId="68E4825F" w:rsidR="003C01B1" w:rsidRDefault="003C01B1" w:rsidP="00FF7C0E"/>
    <w:p w14:paraId="216A578C" w14:textId="07AD51F5" w:rsidR="003C01B1" w:rsidRDefault="003C01B1" w:rsidP="00FF7C0E"/>
    <w:p w14:paraId="1F2DCB0B" w14:textId="4337E4C3" w:rsidR="003C01B1" w:rsidRPr="003C01B1" w:rsidRDefault="003C01B1" w:rsidP="00FF7C0E">
      <w:pPr>
        <w:rPr>
          <w:sz w:val="28"/>
          <w:szCs w:val="28"/>
        </w:rPr>
      </w:pPr>
      <w:r w:rsidRPr="003C01B1">
        <w:rPr>
          <w:sz w:val="28"/>
          <w:szCs w:val="28"/>
        </w:rPr>
        <w:t xml:space="preserve">Aus den angegebenen Gründen wird die Arbeit benotet mit der </w:t>
      </w:r>
    </w:p>
    <w:p w14:paraId="524FF3B7" w14:textId="5B2BB55C" w:rsidR="003C01B1" w:rsidRPr="003C01B1" w:rsidRDefault="003C01B1" w:rsidP="00FF7C0E">
      <w:pPr>
        <w:rPr>
          <w:sz w:val="28"/>
          <w:szCs w:val="28"/>
        </w:rPr>
      </w:pPr>
      <w:r w:rsidRPr="003C01B1">
        <w:rPr>
          <w:sz w:val="28"/>
          <w:szCs w:val="28"/>
        </w:rPr>
        <w:t>Note 3- (dobře -)</w:t>
      </w:r>
    </w:p>
    <w:p w14:paraId="686F4654" w14:textId="29E37348" w:rsidR="00FF7C0E" w:rsidRDefault="00FF7C0E">
      <w:pPr>
        <w:rPr>
          <w:sz w:val="28"/>
          <w:szCs w:val="28"/>
        </w:rPr>
      </w:pPr>
    </w:p>
    <w:p w14:paraId="15CA5319" w14:textId="0C43BA86" w:rsidR="003C01B1" w:rsidRDefault="003C01B1">
      <w:r>
        <w:t>Gutachterin: Prof. Dr. Ingrid Hudabiunigg</w:t>
      </w:r>
    </w:p>
    <w:p w14:paraId="1C46B9F6" w14:textId="77777777" w:rsidR="003C01B1" w:rsidRDefault="003C01B1"/>
    <w:p w14:paraId="496E3859" w14:textId="77777777" w:rsidR="003C01B1" w:rsidRDefault="003C01B1"/>
    <w:p w14:paraId="1D575031" w14:textId="6058CAF0" w:rsidR="003C01B1" w:rsidRPr="003C01B1" w:rsidRDefault="003C01B1">
      <w:r>
        <w:t>Pardubice, 21.07.2019</w:t>
      </w:r>
    </w:p>
    <w:sectPr w:rsidR="003C01B1" w:rsidRPr="003C01B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E9EB2F" w14:textId="77777777" w:rsidR="00344560" w:rsidRDefault="00344560" w:rsidP="00A72974">
      <w:pPr>
        <w:spacing w:after="0" w:line="240" w:lineRule="auto"/>
      </w:pPr>
      <w:r>
        <w:separator/>
      </w:r>
    </w:p>
  </w:endnote>
  <w:endnote w:type="continuationSeparator" w:id="0">
    <w:p w14:paraId="723319AE" w14:textId="77777777" w:rsidR="00344560" w:rsidRDefault="00344560" w:rsidP="00A729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F57DE6" w14:textId="77777777" w:rsidR="00344560" w:rsidRDefault="00344560" w:rsidP="00A72974">
      <w:pPr>
        <w:spacing w:after="0" w:line="240" w:lineRule="auto"/>
      </w:pPr>
      <w:r>
        <w:separator/>
      </w:r>
    </w:p>
  </w:footnote>
  <w:footnote w:type="continuationSeparator" w:id="0">
    <w:p w14:paraId="4CC81878" w14:textId="77777777" w:rsidR="00344560" w:rsidRDefault="00344560" w:rsidP="00A7297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4961"/>
    <w:rsid w:val="00091825"/>
    <w:rsid w:val="000D6161"/>
    <w:rsid w:val="0017292C"/>
    <w:rsid w:val="001F0C99"/>
    <w:rsid w:val="00236C03"/>
    <w:rsid w:val="00296781"/>
    <w:rsid w:val="00305A15"/>
    <w:rsid w:val="00331487"/>
    <w:rsid w:val="00344560"/>
    <w:rsid w:val="003C01B1"/>
    <w:rsid w:val="003C0676"/>
    <w:rsid w:val="00427DE5"/>
    <w:rsid w:val="00443191"/>
    <w:rsid w:val="00472D09"/>
    <w:rsid w:val="004865F6"/>
    <w:rsid w:val="005332A3"/>
    <w:rsid w:val="00582DF3"/>
    <w:rsid w:val="005B6690"/>
    <w:rsid w:val="006B58BE"/>
    <w:rsid w:val="006F3451"/>
    <w:rsid w:val="00715B63"/>
    <w:rsid w:val="007A4F73"/>
    <w:rsid w:val="008064BD"/>
    <w:rsid w:val="00823BAB"/>
    <w:rsid w:val="00843C10"/>
    <w:rsid w:val="00846F0A"/>
    <w:rsid w:val="008D6877"/>
    <w:rsid w:val="0094040A"/>
    <w:rsid w:val="00944599"/>
    <w:rsid w:val="00A1389A"/>
    <w:rsid w:val="00A72974"/>
    <w:rsid w:val="00B124EF"/>
    <w:rsid w:val="00B21CF3"/>
    <w:rsid w:val="00B44EB5"/>
    <w:rsid w:val="00BB169A"/>
    <w:rsid w:val="00BD3B11"/>
    <w:rsid w:val="00C56D7B"/>
    <w:rsid w:val="00CF24C8"/>
    <w:rsid w:val="00D26CEF"/>
    <w:rsid w:val="00DE4961"/>
    <w:rsid w:val="00DF69D2"/>
    <w:rsid w:val="00F6610E"/>
    <w:rsid w:val="00F932D6"/>
    <w:rsid w:val="00FF7C0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2FAB6E"/>
  <w15:chartTrackingRefBased/>
  <w15:docId w15:val="{4BB08144-A3DA-4990-8464-10EB80F7A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4"/>
        <w:szCs w:val="24"/>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footnotedescription">
    <w:name w:val="footnote description"/>
    <w:next w:val="Normln"/>
    <w:link w:val="footnotedescriptionChar"/>
    <w:hidden/>
    <w:rsid w:val="00A72974"/>
    <w:pPr>
      <w:spacing w:after="13"/>
    </w:pPr>
    <w:rPr>
      <w:rFonts w:ascii="Calibri" w:eastAsia="Calibri" w:hAnsi="Calibri" w:cs="Calibri"/>
      <w:color w:val="000000"/>
      <w:sz w:val="20"/>
      <w:szCs w:val="22"/>
      <w:lang w:eastAsia="de-DE"/>
    </w:rPr>
  </w:style>
  <w:style w:type="character" w:customStyle="1" w:styleId="footnotedescriptionChar">
    <w:name w:val="footnote description Char"/>
    <w:link w:val="footnotedescription"/>
    <w:rsid w:val="00A72974"/>
    <w:rPr>
      <w:rFonts w:ascii="Calibri" w:eastAsia="Calibri" w:hAnsi="Calibri" w:cs="Calibri"/>
      <w:color w:val="000000"/>
      <w:sz w:val="20"/>
      <w:szCs w:val="22"/>
      <w:lang w:eastAsia="de-DE"/>
    </w:rPr>
  </w:style>
  <w:style w:type="character" w:customStyle="1" w:styleId="footnotemark">
    <w:name w:val="footnote mark"/>
    <w:hidden/>
    <w:rsid w:val="00A72974"/>
    <w:rPr>
      <w:rFonts w:ascii="Calibri" w:eastAsia="Calibri" w:hAnsi="Calibri" w:cs="Calibri"/>
      <w:color w:val="000000"/>
      <w:sz w:val="25"/>
      <w:vertAlign w:val="superscript"/>
    </w:rPr>
  </w:style>
  <w:style w:type="character" w:styleId="Hypertextovodkaz">
    <w:name w:val="Hyperlink"/>
    <w:basedOn w:val="Standardnpsmoodstavce"/>
    <w:uiPriority w:val="99"/>
    <w:semiHidden/>
    <w:unhideWhenUsed/>
    <w:rsid w:val="00CF24C8"/>
    <w:rPr>
      <w:color w:val="0000FF"/>
      <w:u w:val="single"/>
    </w:rPr>
  </w:style>
  <w:style w:type="paragraph" w:styleId="Textbubliny">
    <w:name w:val="Balloon Text"/>
    <w:basedOn w:val="Normln"/>
    <w:link w:val="TextbublinyChar"/>
    <w:uiPriority w:val="99"/>
    <w:semiHidden/>
    <w:unhideWhenUsed/>
    <w:rsid w:val="00427DE5"/>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427DE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504</Words>
  <Characters>2974</Characters>
  <Application>Microsoft Office Word</Application>
  <DocSecurity>0</DocSecurity>
  <Lines>24</Lines>
  <Paragraphs>6</Paragraphs>
  <ScaleCrop>false</ScaleCrop>
  <HeadingPairs>
    <vt:vector size="4" baseType="variant">
      <vt:variant>
        <vt:lpstr>Název</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Inhu</dc:creator>
  <cp:keywords/>
  <dc:description/>
  <cp:lastModifiedBy>Chudobova Tatana</cp:lastModifiedBy>
  <cp:revision>2</cp:revision>
  <cp:lastPrinted>2019-07-23T06:11:00Z</cp:lastPrinted>
  <dcterms:created xsi:type="dcterms:W3CDTF">2019-07-23T06:12:00Z</dcterms:created>
  <dcterms:modified xsi:type="dcterms:W3CDTF">2019-07-23T06:12:00Z</dcterms:modified>
</cp:coreProperties>
</file>