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D35" w:rsidRPr="00A77E40" w:rsidRDefault="00896F5C" w:rsidP="008E3695">
      <w:pPr>
        <w:shd w:val="clear" w:color="auto" w:fill="FFFFFF"/>
        <w:spacing w:after="0" w:line="360" w:lineRule="auto"/>
        <w:jc w:val="both"/>
        <w:rPr>
          <w:rFonts w:cs="Arial"/>
          <w:b/>
          <w:i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>Denisa VÍDEŇSKÁ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,</w:t>
      </w:r>
      <w:r w:rsidR="00156A2F">
        <w:rPr>
          <w:rFonts w:cs="Arial"/>
          <w:b/>
          <w:color w:val="000000"/>
          <w:sz w:val="24"/>
          <w:szCs w:val="24"/>
          <w:lang w:eastAsia="cs-CZ"/>
        </w:rPr>
        <w:t xml:space="preserve"> 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Koncept romantické lásky v osobní korespondenci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Alphonse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Mensdorff-Pouilly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a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Theresie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Dietrich</w:t>
      </w:r>
      <w:r w:rsidR="001E339C">
        <w:rPr>
          <w:rFonts w:cs="Arial"/>
          <w:b/>
          <w:i/>
          <w:color w:val="000000"/>
          <w:sz w:val="24"/>
          <w:szCs w:val="24"/>
          <w:lang w:eastAsia="cs-CZ"/>
        </w:rPr>
        <w:t>s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>tein</w:t>
      </w:r>
      <w:proofErr w:type="spellEnd"/>
      <w:r w:rsidR="00414D35" w:rsidRPr="008E3695">
        <w:rPr>
          <w:rFonts w:cs="Arial"/>
          <w:b/>
          <w:i/>
          <w:color w:val="000000"/>
          <w:sz w:val="24"/>
          <w:szCs w:val="24"/>
          <w:lang w:eastAsia="cs-CZ"/>
        </w:rPr>
        <w:t xml:space="preserve">. 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Bakalář</w:t>
      </w:r>
      <w:r>
        <w:rPr>
          <w:rFonts w:cs="Arial"/>
          <w:b/>
          <w:color w:val="000000"/>
          <w:sz w:val="24"/>
          <w:szCs w:val="24"/>
          <w:lang w:eastAsia="cs-CZ"/>
        </w:rPr>
        <w:t>s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ká práce, Ústav historických věd Fakulty filozofické Univ</w:t>
      </w:r>
      <w:r>
        <w:rPr>
          <w:rFonts w:cs="Arial"/>
          <w:b/>
          <w:color w:val="000000"/>
          <w:sz w:val="24"/>
          <w:szCs w:val="24"/>
          <w:lang w:eastAsia="cs-CZ"/>
        </w:rPr>
        <w:t>erzity Pardubice, Pardubice 2016</w:t>
      </w:r>
      <w:r w:rsidR="00156A2F">
        <w:rPr>
          <w:rFonts w:cs="Arial"/>
          <w:b/>
          <w:color w:val="000000"/>
          <w:sz w:val="24"/>
          <w:szCs w:val="24"/>
          <w:lang w:eastAsia="cs-CZ"/>
        </w:rPr>
        <w:t xml:space="preserve">. </w:t>
      </w:r>
    </w:p>
    <w:p w:rsidR="00A77E40" w:rsidRDefault="00A77E40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5D68B5" w:rsidRDefault="001E339C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Denisa Vídeňská</w:t>
      </w:r>
      <w:r w:rsidR="003D425D">
        <w:rPr>
          <w:rFonts w:cs="Arial"/>
          <w:color w:val="000000"/>
          <w:sz w:val="24"/>
          <w:szCs w:val="24"/>
          <w:lang w:eastAsia="cs-CZ"/>
        </w:rPr>
        <w:t xml:space="preserve"> si předsevzala analyzovat osobní korespondenci </w:t>
      </w:r>
      <w:r w:rsidR="005D68B5">
        <w:rPr>
          <w:rFonts w:cs="Arial"/>
          <w:color w:val="000000"/>
          <w:sz w:val="24"/>
          <w:szCs w:val="24"/>
          <w:lang w:eastAsia="cs-CZ"/>
        </w:rPr>
        <w:t xml:space="preserve">Alfonse </w:t>
      </w:r>
      <w:proofErr w:type="spellStart"/>
      <w:r w:rsidR="005D68B5">
        <w:rPr>
          <w:rFonts w:cs="Arial"/>
          <w:color w:val="000000"/>
          <w:sz w:val="24"/>
          <w:szCs w:val="24"/>
          <w:lang w:eastAsia="cs-CZ"/>
        </w:rPr>
        <w:t>Mensdorff-Pouilly</w:t>
      </w:r>
      <w:proofErr w:type="spellEnd"/>
      <w:r w:rsidR="005D68B5">
        <w:rPr>
          <w:rFonts w:cs="Arial"/>
          <w:color w:val="000000"/>
          <w:sz w:val="24"/>
          <w:szCs w:val="24"/>
          <w:lang w:eastAsia="cs-CZ"/>
        </w:rPr>
        <w:t xml:space="preserve"> a Terezie </w:t>
      </w:r>
      <w:proofErr w:type="spellStart"/>
      <w:r w:rsidR="005D68B5">
        <w:rPr>
          <w:rFonts w:cs="Arial"/>
          <w:color w:val="000000"/>
          <w:sz w:val="24"/>
          <w:szCs w:val="24"/>
          <w:lang w:eastAsia="cs-CZ"/>
        </w:rPr>
        <w:t>Dietrischstein</w:t>
      </w:r>
      <w:proofErr w:type="spellEnd"/>
      <w:r w:rsidR="005D68B5">
        <w:rPr>
          <w:rFonts w:cs="Arial"/>
          <w:color w:val="000000"/>
          <w:sz w:val="24"/>
          <w:szCs w:val="24"/>
          <w:lang w:eastAsia="cs-CZ"/>
        </w:rPr>
        <w:t xml:space="preserve"> z hlediska formování a reprezentování citového aspektu vztahu mezi představiteli aristokracie v 19. století. Metodicky práce vychází především ze studií k dějinám sexuality Michela </w:t>
      </w:r>
      <w:proofErr w:type="spellStart"/>
      <w:r w:rsidR="005D68B5">
        <w:rPr>
          <w:rFonts w:cs="Arial"/>
          <w:color w:val="000000"/>
          <w:sz w:val="24"/>
          <w:szCs w:val="24"/>
          <w:lang w:eastAsia="cs-CZ"/>
        </w:rPr>
        <w:t>Fouca</w:t>
      </w:r>
      <w:r w:rsidR="00DD6F64">
        <w:rPr>
          <w:rFonts w:cs="Arial"/>
          <w:color w:val="000000"/>
          <w:sz w:val="24"/>
          <w:szCs w:val="24"/>
          <w:lang w:eastAsia="cs-CZ"/>
        </w:rPr>
        <w:t>ulta</w:t>
      </w:r>
      <w:proofErr w:type="spellEnd"/>
      <w:r w:rsidR="00DD6F64">
        <w:rPr>
          <w:rFonts w:cs="Arial"/>
          <w:color w:val="000000"/>
          <w:sz w:val="24"/>
          <w:szCs w:val="24"/>
          <w:lang w:eastAsia="cs-CZ"/>
        </w:rPr>
        <w:t xml:space="preserve">, statí Anthonyho </w:t>
      </w:r>
      <w:proofErr w:type="spellStart"/>
      <w:r w:rsidR="00DD6F64">
        <w:rPr>
          <w:rFonts w:cs="Arial"/>
          <w:color w:val="000000"/>
          <w:sz w:val="24"/>
          <w:szCs w:val="24"/>
          <w:lang w:eastAsia="cs-CZ"/>
        </w:rPr>
        <w:t>Giddense</w:t>
      </w:r>
      <w:proofErr w:type="spellEnd"/>
      <w:r w:rsidR="00DD6F64">
        <w:rPr>
          <w:rFonts w:cs="Arial"/>
          <w:color w:val="000000"/>
          <w:sz w:val="24"/>
          <w:szCs w:val="24"/>
          <w:lang w:eastAsia="cs-CZ"/>
        </w:rPr>
        <w:t>,</w:t>
      </w:r>
      <w:r w:rsidR="005D68B5">
        <w:rPr>
          <w:rFonts w:cs="Arial"/>
          <w:color w:val="000000"/>
          <w:sz w:val="24"/>
          <w:szCs w:val="24"/>
          <w:lang w:eastAsia="cs-CZ"/>
        </w:rPr>
        <w:t xml:space="preserve"> </w:t>
      </w:r>
      <w:proofErr w:type="spellStart"/>
      <w:r w:rsidR="005D68B5">
        <w:rPr>
          <w:rFonts w:cs="Arial"/>
          <w:color w:val="000000"/>
          <w:sz w:val="24"/>
          <w:szCs w:val="24"/>
          <w:lang w:eastAsia="cs-CZ"/>
        </w:rPr>
        <w:t>mikrosociologie</w:t>
      </w:r>
      <w:proofErr w:type="spellEnd"/>
      <w:r w:rsidR="005D68B5">
        <w:rPr>
          <w:rFonts w:cs="Arial"/>
          <w:color w:val="000000"/>
          <w:sz w:val="24"/>
          <w:szCs w:val="24"/>
          <w:lang w:eastAsia="cs-CZ"/>
        </w:rPr>
        <w:t xml:space="preserve"> Pierra </w:t>
      </w:r>
      <w:proofErr w:type="spellStart"/>
      <w:r w:rsidR="005D68B5">
        <w:rPr>
          <w:rFonts w:cs="Arial"/>
          <w:color w:val="000000"/>
          <w:sz w:val="24"/>
          <w:szCs w:val="24"/>
          <w:lang w:eastAsia="cs-CZ"/>
        </w:rPr>
        <w:t>Bourdieu</w:t>
      </w:r>
      <w:proofErr w:type="spellEnd"/>
      <w:r w:rsidR="00DD6F64">
        <w:rPr>
          <w:rFonts w:cs="Arial"/>
          <w:color w:val="000000"/>
          <w:sz w:val="24"/>
          <w:szCs w:val="24"/>
          <w:lang w:eastAsia="cs-CZ"/>
        </w:rPr>
        <w:t xml:space="preserve"> a soudobých prací věnovaných problematice ego dokumentů</w:t>
      </w:r>
      <w:r w:rsidR="005D68B5">
        <w:rPr>
          <w:rFonts w:cs="Arial"/>
          <w:color w:val="000000"/>
          <w:sz w:val="24"/>
          <w:szCs w:val="24"/>
          <w:lang w:eastAsia="cs-CZ"/>
        </w:rPr>
        <w:t>.</w:t>
      </w:r>
    </w:p>
    <w:p w:rsidR="00793EF4" w:rsidRDefault="005D68B5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Autorka se rozhodla představit v úvodu práce možnosti využití odlišných konceptuálních přístupů k analýze citového života a jeho vývoje napříč staletími, rovněž se zde pokusila vymezit základní užívané pojmy. Bohužel je tato pasáž nejvíce poznamenána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kvapem při finalizaci</w:t>
      </w:r>
      <w:r>
        <w:rPr>
          <w:rFonts w:cs="Arial"/>
          <w:color w:val="000000"/>
          <w:sz w:val="24"/>
          <w:szCs w:val="24"/>
          <w:lang w:eastAsia="cs-CZ"/>
        </w:rPr>
        <w:t xml:space="preserve"> předkládané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práce, ten</w:t>
      </w:r>
      <w:r>
        <w:rPr>
          <w:rFonts w:cs="Arial"/>
          <w:color w:val="000000"/>
          <w:sz w:val="24"/>
          <w:szCs w:val="24"/>
          <w:lang w:eastAsia="cs-CZ"/>
        </w:rPr>
        <w:t xml:space="preserve"> je však patrný i ve všech jejích dalších částech. Zatímco jinde je formální stránka poznamenána četnými stylistickými nedostatky v podobě chybné interpunkce, shody přísudku s podmětem, vybočení z větné vazby a překlepů, úvodní kapitoly bohužel do značné míry z uvedeného důvodu ztrácejí v některých pasážích srozumitelnost (rozsah formálních pochybení je natolik obsáhlý, že jej posuzovatel vyznačil raději přímo v textu, jedná se mimo gramatických prohřešků i o nesystematické využívání kurzívy při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vymezování pojmů, </w:t>
      </w:r>
      <w:proofErr w:type="spellStart"/>
      <w:r w:rsidR="00391ADE">
        <w:rPr>
          <w:rFonts w:cs="Arial"/>
          <w:color w:val="000000"/>
          <w:sz w:val="24"/>
          <w:szCs w:val="24"/>
          <w:lang w:eastAsia="cs-CZ"/>
        </w:rPr>
        <w:t>disrespekt</w:t>
      </w:r>
      <w:proofErr w:type="spellEnd"/>
      <w:r w:rsidR="00391ADE">
        <w:rPr>
          <w:rFonts w:cs="Arial"/>
          <w:color w:val="000000"/>
          <w:sz w:val="24"/>
          <w:szCs w:val="24"/>
          <w:lang w:eastAsia="cs-CZ"/>
        </w:rPr>
        <w:t xml:space="preserve"> vůči jednotné citační normě, opomenutí striktního využívání kurzívy a uvozovek při citacích,</w:t>
      </w:r>
      <w:r w:rsidR="00793EF4">
        <w:rPr>
          <w:rFonts w:cs="Arial"/>
          <w:color w:val="000000"/>
          <w:sz w:val="24"/>
          <w:szCs w:val="24"/>
          <w:lang w:eastAsia="cs-CZ"/>
        </w:rPr>
        <w:t xml:space="preserve"> nesjednocený přepis geografických názvů – </w:t>
      </w:r>
      <w:proofErr w:type="spellStart"/>
      <w:r w:rsidR="00793EF4">
        <w:rPr>
          <w:rFonts w:cs="Arial"/>
          <w:color w:val="000000"/>
          <w:sz w:val="24"/>
          <w:szCs w:val="24"/>
          <w:lang w:eastAsia="cs-CZ"/>
        </w:rPr>
        <w:t>Grodek</w:t>
      </w:r>
      <w:proofErr w:type="spellEnd"/>
      <w:r w:rsidR="00793EF4">
        <w:rPr>
          <w:rFonts w:cs="Arial"/>
          <w:color w:val="000000"/>
          <w:sz w:val="24"/>
          <w:szCs w:val="24"/>
          <w:lang w:eastAsia="cs-CZ"/>
        </w:rPr>
        <w:t xml:space="preserve">/Hrádek, </w:t>
      </w:r>
      <w:proofErr w:type="spellStart"/>
      <w:r w:rsidR="00793EF4">
        <w:rPr>
          <w:rFonts w:cs="Arial"/>
          <w:color w:val="000000"/>
          <w:sz w:val="24"/>
          <w:szCs w:val="24"/>
          <w:lang w:eastAsia="cs-CZ"/>
        </w:rPr>
        <w:t>Pre</w:t>
      </w:r>
      <w:proofErr w:type="spellEnd"/>
      <w:r w:rsidR="00793EF4">
        <w:rPr>
          <w:rFonts w:cs="Arial"/>
          <w:color w:val="000000"/>
          <w:sz w:val="24"/>
          <w:szCs w:val="24"/>
          <w:lang w:eastAsia="cs-CZ"/>
        </w:rPr>
        <w:t>(i)</w:t>
      </w:r>
      <w:proofErr w:type="spellStart"/>
      <w:r w:rsidR="00793EF4">
        <w:rPr>
          <w:rFonts w:cs="Arial"/>
          <w:color w:val="000000"/>
          <w:sz w:val="24"/>
          <w:szCs w:val="24"/>
          <w:lang w:eastAsia="cs-CZ"/>
        </w:rPr>
        <w:t>tenstein</w:t>
      </w:r>
      <w:proofErr w:type="spellEnd"/>
      <w:r w:rsidR="00793EF4">
        <w:rPr>
          <w:rFonts w:cs="Arial"/>
          <w:color w:val="000000"/>
          <w:sz w:val="24"/>
          <w:szCs w:val="24"/>
          <w:lang w:eastAsia="cs-CZ"/>
        </w:rPr>
        <w:t xml:space="preserve"> namísto Nečtin,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</w:t>
      </w:r>
      <w:proofErr w:type="spellStart"/>
      <w:r w:rsidR="00391ADE">
        <w:rPr>
          <w:rFonts w:cs="Arial"/>
          <w:color w:val="000000"/>
          <w:sz w:val="24"/>
          <w:szCs w:val="24"/>
          <w:lang w:eastAsia="cs-CZ"/>
        </w:rPr>
        <w:t>etc</w:t>
      </w:r>
      <w:proofErr w:type="spellEnd"/>
      <w:r w:rsidR="00391ADE">
        <w:rPr>
          <w:rFonts w:cs="Arial"/>
          <w:color w:val="000000"/>
          <w:sz w:val="24"/>
          <w:szCs w:val="24"/>
          <w:lang w:eastAsia="cs-CZ"/>
        </w:rPr>
        <w:t>)</w:t>
      </w:r>
      <w:r>
        <w:rPr>
          <w:rFonts w:cs="Arial"/>
          <w:color w:val="000000"/>
          <w:sz w:val="24"/>
          <w:szCs w:val="24"/>
          <w:lang w:eastAsia="cs-CZ"/>
        </w:rPr>
        <w:t>. Autorka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v úvodích dvou </w:t>
      </w:r>
      <w:proofErr w:type="gramStart"/>
      <w:r w:rsidR="00391ADE">
        <w:rPr>
          <w:rFonts w:cs="Arial"/>
          <w:color w:val="000000"/>
          <w:sz w:val="24"/>
          <w:szCs w:val="24"/>
          <w:lang w:eastAsia="cs-CZ"/>
        </w:rPr>
        <w:t>kapitolách</w:t>
      </w:r>
      <w:proofErr w:type="gramEnd"/>
      <w:r>
        <w:rPr>
          <w:rFonts w:cs="Arial"/>
          <w:color w:val="000000"/>
          <w:sz w:val="24"/>
          <w:szCs w:val="24"/>
          <w:lang w:eastAsia="cs-CZ"/>
        </w:rPr>
        <w:t xml:space="preserve"> vznáší otázky bez uvedení do kontextu, věty na sebe nenavazují a je problematické se v textu orientovat. Tyto pasáže místy působí jako nekorigovaný záznam toku autorčiných myšlenek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a postřehů</w:t>
      </w:r>
      <w:r>
        <w:rPr>
          <w:rFonts w:cs="Arial"/>
          <w:color w:val="000000"/>
          <w:sz w:val="24"/>
          <w:szCs w:val="24"/>
          <w:lang w:eastAsia="cs-CZ"/>
        </w:rPr>
        <w:t>.</w:t>
      </w:r>
      <w:r w:rsidR="00391ADE">
        <w:rPr>
          <w:rFonts w:cs="Arial"/>
          <w:color w:val="000000"/>
          <w:sz w:val="24"/>
          <w:szCs w:val="24"/>
          <w:lang w:eastAsia="cs-CZ"/>
        </w:rPr>
        <w:t xml:space="preserve"> </w:t>
      </w:r>
    </w:p>
    <w:p w:rsidR="00391ADE" w:rsidRDefault="00391ADE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Daný zmatek bývá obvykle zapříčiněn neschopností autorů pochopit vymezené koncepty, o to</w:t>
      </w:r>
      <w:r w:rsidR="005D68B5">
        <w:rPr>
          <w:rFonts w:cs="Arial"/>
          <w:color w:val="000000"/>
          <w:sz w:val="24"/>
          <w:szCs w:val="24"/>
          <w:lang w:eastAsia="cs-CZ"/>
        </w:rPr>
        <w:t xml:space="preserve"> </w:t>
      </w:r>
      <w:r>
        <w:rPr>
          <w:rFonts w:cs="Arial"/>
          <w:color w:val="000000"/>
          <w:sz w:val="24"/>
          <w:szCs w:val="24"/>
          <w:lang w:eastAsia="cs-CZ"/>
        </w:rPr>
        <w:t>překvapivější je fakt, že autorka v následují</w:t>
      </w:r>
      <w:r w:rsidR="00793EF4">
        <w:rPr>
          <w:rFonts w:cs="Arial"/>
          <w:color w:val="000000"/>
          <w:sz w:val="24"/>
          <w:szCs w:val="24"/>
          <w:lang w:eastAsia="cs-CZ"/>
        </w:rPr>
        <w:t>cích kapitolách všechny metodické přístupy</w:t>
      </w:r>
      <w:r>
        <w:rPr>
          <w:rFonts w:cs="Arial"/>
          <w:color w:val="000000"/>
          <w:sz w:val="24"/>
          <w:szCs w:val="24"/>
          <w:lang w:eastAsia="cs-CZ"/>
        </w:rPr>
        <w:t xml:space="preserve"> zcela přirozené vřazuje do analýzy pramenů a řada pojmů je tak pro čtenáře objasněna až v samotné historiografické naraci, než při jejich vysvětlení v úvodu (např. </w:t>
      </w:r>
      <w:proofErr w:type="spellStart"/>
      <w:r>
        <w:rPr>
          <w:rFonts w:cs="Arial"/>
          <w:i/>
          <w:color w:val="000000"/>
          <w:sz w:val="24"/>
          <w:szCs w:val="24"/>
          <w:lang w:eastAsia="cs-CZ"/>
        </w:rPr>
        <w:t>amour</w:t>
      </w:r>
      <w:proofErr w:type="spellEnd"/>
      <w:r>
        <w:rPr>
          <w:rFonts w:cs="Arial"/>
          <w:i/>
          <w:color w:val="000000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i/>
          <w:color w:val="000000"/>
          <w:sz w:val="24"/>
          <w:szCs w:val="24"/>
          <w:lang w:eastAsia="cs-CZ"/>
        </w:rPr>
        <w:t>passion</w:t>
      </w:r>
      <w:proofErr w:type="spellEnd"/>
      <w:r>
        <w:rPr>
          <w:rFonts w:cs="Arial"/>
          <w:i/>
          <w:color w:val="000000"/>
          <w:sz w:val="24"/>
          <w:szCs w:val="24"/>
          <w:lang w:eastAsia="cs-CZ"/>
        </w:rPr>
        <w:t xml:space="preserve">, </w:t>
      </w:r>
      <w:r w:rsidRPr="00391ADE">
        <w:rPr>
          <w:rFonts w:cs="Arial"/>
          <w:color w:val="000000"/>
          <w:sz w:val="24"/>
          <w:szCs w:val="24"/>
          <w:lang w:eastAsia="cs-CZ"/>
        </w:rPr>
        <w:t>s. 13)</w:t>
      </w:r>
      <w:r>
        <w:rPr>
          <w:rFonts w:cs="Arial"/>
          <w:color w:val="000000"/>
          <w:sz w:val="24"/>
          <w:szCs w:val="24"/>
          <w:lang w:eastAsia="cs-CZ"/>
        </w:rPr>
        <w:t>.</w:t>
      </w:r>
    </w:p>
    <w:p w:rsidR="00DD6F64" w:rsidRDefault="00391ADE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>Negativní hodnocení formální stránky práce naopak vyvažuje zajímavá analýza pramenů, tedy osobní korespondence Alfonse a Terezie, v níž autorka prok</w:t>
      </w:r>
      <w:r w:rsidR="00793EF4">
        <w:rPr>
          <w:rFonts w:cs="Arial"/>
          <w:color w:val="000000"/>
          <w:sz w:val="24"/>
          <w:szCs w:val="24"/>
          <w:lang w:eastAsia="cs-CZ"/>
        </w:rPr>
        <w:t>azuje nejen schopnost kritické</w:t>
      </w:r>
      <w:r>
        <w:rPr>
          <w:rFonts w:cs="Arial"/>
          <w:color w:val="000000"/>
          <w:sz w:val="24"/>
          <w:szCs w:val="24"/>
          <w:lang w:eastAsia="cs-CZ"/>
        </w:rPr>
        <w:t xml:space="preserve"> analýzy, ale i postřehů vůči drobným stylistickým odchylkám při </w:t>
      </w:r>
      <w:r>
        <w:rPr>
          <w:rFonts w:cs="Arial"/>
          <w:color w:val="000000"/>
          <w:sz w:val="24"/>
          <w:szCs w:val="24"/>
          <w:lang w:eastAsia="cs-CZ"/>
        </w:rPr>
        <w:lastRenderedPageBreak/>
        <w:t xml:space="preserve">komponování korespondence. Vhodné se zde jeví rozhodnutí reflektovat korespondenci jako dva oddělné konvoluty – před </w:t>
      </w:r>
      <w:r w:rsidR="00DD6F64">
        <w:rPr>
          <w:rFonts w:cs="Arial"/>
          <w:color w:val="000000"/>
          <w:sz w:val="24"/>
          <w:szCs w:val="24"/>
          <w:lang w:eastAsia="cs-CZ"/>
        </w:rPr>
        <w:t>svatbou a po ní, a sledování</w:t>
      </w:r>
      <w:r>
        <w:rPr>
          <w:rFonts w:cs="Arial"/>
          <w:color w:val="000000"/>
          <w:sz w:val="24"/>
          <w:szCs w:val="24"/>
          <w:lang w:eastAsia="cs-CZ"/>
        </w:rPr>
        <w:t xml:space="preserve"> korespondence v kontextu rodinné situace v případě zpočátku napjatých vztahů mezi Alfonsem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Mensdorffem-Pouilly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a otce</w:t>
      </w:r>
      <w:r w:rsidR="00793EF4">
        <w:rPr>
          <w:rFonts w:cs="Arial"/>
          <w:color w:val="000000"/>
          <w:sz w:val="24"/>
          <w:szCs w:val="24"/>
          <w:lang w:eastAsia="cs-CZ"/>
        </w:rPr>
        <w:t>m</w:t>
      </w:r>
      <w:r>
        <w:rPr>
          <w:rFonts w:cs="Arial"/>
          <w:color w:val="000000"/>
          <w:sz w:val="24"/>
          <w:szCs w:val="24"/>
          <w:lang w:eastAsia="cs-CZ"/>
        </w:rPr>
        <w:t xml:space="preserve"> Terezie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Dietrichstein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>. Za pozoruhodné rovněž považuji některé</w:t>
      </w:r>
      <w:r w:rsidR="00DD6F64">
        <w:rPr>
          <w:rFonts w:cs="Arial"/>
          <w:color w:val="000000"/>
          <w:sz w:val="24"/>
          <w:szCs w:val="24"/>
          <w:lang w:eastAsia="cs-CZ"/>
        </w:rPr>
        <w:t xml:space="preserve"> autonomní závěry autorky, zejména v ohledu zdůrazňování citu, jakožto specifické formy symbolického kapitálu. </w:t>
      </w:r>
    </w:p>
    <w:p w:rsidR="00DD6F64" w:rsidRDefault="00DD6F64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b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Denisa Vídeňská předkládá zajímavou analýzu korespondence, při níž dokázala využít interdisciplinární přístup, paradoxně je však hodnota práce silně poznamenána formálními nedostatky, jež v některých pasážích znesnadňují pochopení textu. Práci z tohoto důvodu </w:t>
      </w:r>
      <w:r w:rsidRPr="00DD6F64">
        <w:rPr>
          <w:rFonts w:cs="Arial"/>
          <w:b/>
          <w:color w:val="000000"/>
          <w:sz w:val="24"/>
          <w:szCs w:val="24"/>
          <w:lang w:eastAsia="cs-CZ"/>
        </w:rPr>
        <w:t>doporučuji k obhajobě,</w:t>
      </w:r>
      <w:r>
        <w:rPr>
          <w:rFonts w:cs="Arial"/>
          <w:b/>
          <w:color w:val="000000"/>
          <w:sz w:val="24"/>
          <w:szCs w:val="24"/>
          <w:lang w:eastAsia="cs-CZ"/>
        </w:rPr>
        <w:t xml:space="preserve"> navrhuji ji však hodnotit</w:t>
      </w:r>
      <w:r w:rsidRPr="00DD6F64">
        <w:rPr>
          <w:rFonts w:cs="Arial"/>
          <w:b/>
          <w:color w:val="000000"/>
          <w:sz w:val="24"/>
          <w:szCs w:val="24"/>
          <w:lang w:eastAsia="cs-CZ"/>
        </w:rPr>
        <w:t xml:space="preserve"> jako dobrou.</w:t>
      </w:r>
    </w:p>
    <w:p w:rsidR="00DD6F64" w:rsidRPr="00DD6F64" w:rsidRDefault="00DD6F64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Za účelem diskuze u obhajoby práce navrhuji následující otázky: jak lze definovat a sledovat </w:t>
      </w:r>
      <w:proofErr w:type="spellStart"/>
      <w:r w:rsidRPr="00DD6F64">
        <w:rPr>
          <w:rFonts w:cs="Arial"/>
          <w:i/>
          <w:color w:val="000000"/>
          <w:sz w:val="24"/>
          <w:szCs w:val="24"/>
          <w:lang w:eastAsia="cs-CZ"/>
        </w:rPr>
        <w:t>amour</w:t>
      </w:r>
      <w:proofErr w:type="spellEnd"/>
      <w:r w:rsidRPr="00DD6F64">
        <w:rPr>
          <w:rFonts w:cs="Arial"/>
          <w:i/>
          <w:color w:val="000000"/>
          <w:sz w:val="24"/>
          <w:szCs w:val="24"/>
          <w:lang w:eastAsia="cs-CZ"/>
        </w:rPr>
        <w:t xml:space="preserve"> </w:t>
      </w:r>
      <w:proofErr w:type="spellStart"/>
      <w:r w:rsidRPr="00DD6F64">
        <w:rPr>
          <w:rFonts w:cs="Arial"/>
          <w:i/>
          <w:color w:val="000000"/>
          <w:sz w:val="24"/>
          <w:szCs w:val="24"/>
          <w:lang w:eastAsia="cs-CZ"/>
        </w:rPr>
        <w:t>passion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ve sledované korespondenci? Autorka chápe cit jako přirozenou součást specifické rodinné strategie rodu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Mensdorff-Pouilly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>, jak je možné, že podobnou hodnotu (dle autorky) hrál cit i ve zcela odl</w:t>
      </w:r>
      <w:r w:rsidR="001D1662">
        <w:rPr>
          <w:rFonts w:cs="Arial"/>
          <w:color w:val="000000"/>
          <w:sz w:val="24"/>
          <w:szCs w:val="24"/>
          <w:lang w:eastAsia="cs-CZ"/>
        </w:rPr>
        <w:t>išné situaci rodu Dietrichstein</w:t>
      </w:r>
      <w:bookmarkStart w:id="0" w:name="_GoBack"/>
      <w:bookmarkEnd w:id="0"/>
      <w:r>
        <w:rPr>
          <w:rFonts w:cs="Arial"/>
          <w:color w:val="000000"/>
          <w:sz w:val="24"/>
          <w:szCs w:val="24"/>
          <w:lang w:eastAsia="cs-CZ"/>
        </w:rPr>
        <w:t>?</w:t>
      </w:r>
    </w:p>
    <w:p w:rsidR="00DD6F64" w:rsidRDefault="00DD6F64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793EF4" w:rsidRDefault="00793EF4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E06738" w:rsidRPr="00756F20" w:rsidRDefault="00DD6F64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  </w:t>
      </w:r>
      <w:r w:rsidR="0058537A">
        <w:rPr>
          <w:rFonts w:cs="Arial"/>
          <w:color w:val="000000"/>
          <w:sz w:val="24"/>
          <w:szCs w:val="24"/>
          <w:lang w:eastAsia="cs-CZ"/>
        </w:rPr>
        <w:br/>
      </w:r>
    </w:p>
    <w:p w:rsidR="00DA6BAE" w:rsidRPr="0058537A" w:rsidRDefault="0058537A" w:rsidP="008E369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Pardubicích </w:t>
      </w:r>
      <w:proofErr w:type="gramStart"/>
      <w:r>
        <w:rPr>
          <w:sz w:val="24"/>
          <w:szCs w:val="24"/>
        </w:rPr>
        <w:t>15.8</w:t>
      </w:r>
      <w:r w:rsidR="008E3695" w:rsidRPr="008E3695">
        <w:rPr>
          <w:sz w:val="24"/>
          <w:szCs w:val="24"/>
        </w:rPr>
        <w:t>.2015</w:t>
      </w:r>
      <w:proofErr w:type="gramEnd"/>
      <w:r w:rsidR="008E3695" w:rsidRPr="008E3695">
        <w:rPr>
          <w:sz w:val="24"/>
          <w:szCs w:val="24"/>
        </w:rPr>
        <w:t xml:space="preserve">              </w:t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                 Vladan </w:t>
      </w:r>
      <w:proofErr w:type="spellStart"/>
      <w:r>
        <w:rPr>
          <w:sz w:val="24"/>
          <w:szCs w:val="24"/>
        </w:rPr>
        <w:t>Hanulík</w:t>
      </w:r>
      <w:proofErr w:type="spellEnd"/>
    </w:p>
    <w:sectPr w:rsidR="00DA6BAE" w:rsidRPr="0058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B36429"/>
    <w:multiLevelType w:val="hybridMultilevel"/>
    <w:tmpl w:val="9280C9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4D35"/>
    <w:rsid w:val="00072A58"/>
    <w:rsid w:val="00156A2F"/>
    <w:rsid w:val="001D1662"/>
    <w:rsid w:val="001E339C"/>
    <w:rsid w:val="00292187"/>
    <w:rsid w:val="002A5304"/>
    <w:rsid w:val="00391ADE"/>
    <w:rsid w:val="003D425D"/>
    <w:rsid w:val="00414D35"/>
    <w:rsid w:val="0058537A"/>
    <w:rsid w:val="005D68B5"/>
    <w:rsid w:val="005F1F2E"/>
    <w:rsid w:val="0060267B"/>
    <w:rsid w:val="00652DB8"/>
    <w:rsid w:val="00756F20"/>
    <w:rsid w:val="00793EF4"/>
    <w:rsid w:val="007D0CC8"/>
    <w:rsid w:val="007D253B"/>
    <w:rsid w:val="00896F5C"/>
    <w:rsid w:val="008E3695"/>
    <w:rsid w:val="009026E3"/>
    <w:rsid w:val="00940ACC"/>
    <w:rsid w:val="00A77E40"/>
    <w:rsid w:val="00D36212"/>
    <w:rsid w:val="00DA6BAE"/>
    <w:rsid w:val="00DD6F64"/>
    <w:rsid w:val="00E045FF"/>
    <w:rsid w:val="00E06738"/>
    <w:rsid w:val="00E82E65"/>
    <w:rsid w:val="00EB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0A45A1"/>
  <w14:defaultImageDpi w14:val="0"/>
  <w15:docId w15:val="{ACA8012F-1105-4570-8C8B-C9019F87F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26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27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531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Hladova Mys</cp:lastModifiedBy>
  <cp:revision>6</cp:revision>
  <dcterms:created xsi:type="dcterms:W3CDTF">2016-08-15T10:43:00Z</dcterms:created>
  <dcterms:modified xsi:type="dcterms:W3CDTF">2016-08-15T12:14:00Z</dcterms:modified>
</cp:coreProperties>
</file>