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8545C" w14:textId="77777777" w:rsidR="00DD55F9" w:rsidRDefault="00907F7E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3CC94322" w14:textId="77777777" w:rsidR="00DD55F9" w:rsidRDefault="00DD55F9"/>
    <w:p w14:paraId="102156E8" w14:textId="257B9319" w:rsidR="00DD55F9" w:rsidRDefault="00907F7E">
      <w:pPr>
        <w:snapToGrid w:val="0"/>
      </w:pPr>
      <w:r>
        <w:rPr>
          <w:b/>
          <w:bCs/>
          <w:sz w:val="22"/>
          <w:szCs w:val="22"/>
        </w:rPr>
        <w:t>Posudek oponenta bakalářské práce – akademický rok 2022/2023</w:t>
      </w:r>
    </w:p>
    <w:p w14:paraId="6A0FB6CE" w14:textId="77777777" w:rsidR="00DD55F9" w:rsidRDefault="00DD55F9"/>
    <w:p w14:paraId="4B39DB18" w14:textId="53E89FC0" w:rsidR="00907F7E" w:rsidRDefault="00907F7E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CE5E57">
        <w:rPr>
          <w:sz w:val="22"/>
          <w:szCs w:val="22"/>
        </w:rPr>
        <w:t>Ondřej Valášek</w:t>
      </w:r>
    </w:p>
    <w:p w14:paraId="22F246AA" w14:textId="77777777" w:rsidR="00DD55F9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438DBB4E" w14:textId="65393F55" w:rsidR="00DD55F9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CE5E57" w:rsidRPr="00CE5E57">
        <w:rPr>
          <w:sz w:val="22"/>
          <w:szCs w:val="22"/>
        </w:rPr>
        <w:t>Příběhy vyprávěné spatra: Uplatnění naratologických teorií ve stolních hrách na hrdiny</w:t>
      </w:r>
    </w:p>
    <w:p w14:paraId="2F57671E" w14:textId="5A1C7AA5" w:rsidR="00DD55F9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CE5E57">
        <w:rPr>
          <w:sz w:val="22"/>
          <w:szCs w:val="22"/>
        </w:rPr>
        <w:t>Mgr. Jiří Studený, Ph.D.</w:t>
      </w:r>
    </w:p>
    <w:p w14:paraId="471BC430" w14:textId="671157C4" w:rsidR="00DD55F9" w:rsidRDefault="00907F7E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CE5E57">
        <w:rPr>
          <w:sz w:val="22"/>
          <w:szCs w:val="22"/>
        </w:rPr>
        <w:t>Mgr. Přemysl Krejčík, Ph.D.</w:t>
      </w:r>
    </w:p>
    <w:p w14:paraId="0F423A8F" w14:textId="77777777" w:rsidR="00DD55F9" w:rsidRDefault="00DD55F9">
      <w:pPr>
        <w:rPr>
          <w:sz w:val="22"/>
          <w:szCs w:val="22"/>
        </w:rPr>
      </w:pPr>
    </w:p>
    <w:p w14:paraId="7ACD409C" w14:textId="77777777" w:rsidR="00DD55F9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2F349782" w14:textId="77777777" w:rsidR="00DD55F9" w:rsidRDefault="00907F7E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0FA5335E" w14:textId="77777777" w:rsidR="00DD55F9" w:rsidRDefault="00DD55F9">
      <w:pPr>
        <w:rPr>
          <w:sz w:val="22"/>
          <w:szCs w:val="22"/>
        </w:rPr>
      </w:pPr>
    </w:p>
    <w:p w14:paraId="4FB04828" w14:textId="62D49E15" w:rsidR="00DD55F9" w:rsidRDefault="001252B8" w:rsidP="001252B8">
      <w:pPr>
        <w:tabs>
          <w:tab w:val="left" w:pos="10928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Coby cíl práce si její autor definuje poměrně </w:t>
      </w:r>
      <w:r w:rsidR="000E6A92">
        <w:rPr>
          <w:sz w:val="22"/>
          <w:szCs w:val="22"/>
        </w:rPr>
        <w:t>detailní</w:t>
      </w:r>
      <w:r>
        <w:rPr>
          <w:sz w:val="22"/>
          <w:szCs w:val="22"/>
        </w:rPr>
        <w:t xml:space="preserve"> rozbor fenoménu her na hrdiny, a to z hlediska naratologického. Kromě zvolených postupů</w:t>
      </w:r>
      <w:r w:rsidR="000E6A92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 metod</w:t>
      </w:r>
      <w:r w:rsidR="000E6A92">
        <w:rPr>
          <w:sz w:val="22"/>
          <w:szCs w:val="22"/>
        </w:rPr>
        <w:t>ologie zaujme zjevný autorův osobní zájem a patrné nadšení, které podporuje viditelný badatelský zápal. Cíle jsou definovány jasně, srozumitelně, a to včetně metodologie a dílčích záběrů autorova fokusu.</w:t>
      </w:r>
    </w:p>
    <w:p w14:paraId="38CD0A69" w14:textId="77777777" w:rsidR="00DD55F9" w:rsidRDefault="00DD55F9">
      <w:pPr>
        <w:rPr>
          <w:sz w:val="22"/>
          <w:szCs w:val="22"/>
        </w:rPr>
      </w:pPr>
    </w:p>
    <w:p w14:paraId="166890B4" w14:textId="77777777" w:rsidR="00DD55F9" w:rsidRDefault="00907F7E"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DD55F9" w14:paraId="1A5CD639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484166B" w14:textId="11C16BD7" w:rsidR="00DD55F9" w:rsidRDefault="000E6A92">
            <w:pPr>
              <w:pStyle w:val="Obsahtabulky"/>
              <w:snapToGrid w:val="0"/>
            </w:pPr>
            <w:r>
              <w:t>4</w:t>
            </w:r>
          </w:p>
        </w:tc>
      </w:tr>
    </w:tbl>
    <w:p w14:paraId="769309E4" w14:textId="77777777" w:rsidR="00DD55F9" w:rsidRDefault="00DD55F9">
      <w:pPr>
        <w:rPr>
          <w:sz w:val="22"/>
          <w:szCs w:val="22"/>
        </w:rPr>
      </w:pPr>
    </w:p>
    <w:p w14:paraId="01EF7115" w14:textId="77777777" w:rsidR="00DD55F9" w:rsidRDefault="00DD55F9">
      <w:pPr>
        <w:rPr>
          <w:b/>
          <w:bCs/>
          <w:sz w:val="22"/>
          <w:szCs w:val="22"/>
        </w:rPr>
      </w:pPr>
    </w:p>
    <w:p w14:paraId="59D1F2D7" w14:textId="77777777" w:rsidR="00DD55F9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665E157F" w14:textId="77777777" w:rsidR="00DD55F9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426B8F7D" w14:textId="77777777" w:rsidR="00DD55F9" w:rsidRDefault="00DD55F9">
      <w:pPr>
        <w:rPr>
          <w:sz w:val="22"/>
          <w:szCs w:val="22"/>
        </w:rPr>
      </w:pPr>
    </w:p>
    <w:p w14:paraId="3AF9516C" w14:textId="29079E5B" w:rsidR="00DD55F9" w:rsidRDefault="0075555B" w:rsidP="0075555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Výsledný text naplňuje své cíle beze zbytku a ve výsledku převyšuje standardní kvalitu bakalářských prací. A to jak co do hloubky bádání, tak zejména v jeho šíři, byť (jak autor v závěru správně uvádí) by bylo možné zajít ještě hlouběji, avšak rozsah bakalářské práce to </w:t>
      </w:r>
      <w:r w:rsidR="009D2786">
        <w:rPr>
          <w:sz w:val="22"/>
          <w:szCs w:val="22"/>
        </w:rPr>
        <w:t xml:space="preserve">příliš </w:t>
      </w:r>
      <w:r>
        <w:rPr>
          <w:sz w:val="22"/>
          <w:szCs w:val="22"/>
        </w:rPr>
        <w:t>neumožňuje. Troufám si tvrdit, že</w:t>
      </w:r>
      <w:r w:rsidR="006A43EE">
        <w:rPr>
          <w:sz w:val="22"/>
          <w:szCs w:val="22"/>
        </w:rPr>
        <w:t xml:space="preserve"> si</w:t>
      </w:r>
      <w:r>
        <w:rPr>
          <w:sz w:val="22"/>
          <w:szCs w:val="22"/>
        </w:rPr>
        <w:t xml:space="preserve"> zde autor položil stabilní základy k možnému rozsáhlejšímu dalšímu výzkumu.</w:t>
      </w:r>
    </w:p>
    <w:p w14:paraId="09B573FB" w14:textId="77777777" w:rsidR="00DD55F9" w:rsidRDefault="00DD55F9">
      <w:pPr>
        <w:rPr>
          <w:sz w:val="22"/>
          <w:szCs w:val="22"/>
        </w:rPr>
      </w:pPr>
    </w:p>
    <w:p w14:paraId="112F0C33" w14:textId="77777777" w:rsidR="00DD55F9" w:rsidRDefault="00907F7E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DD55F9" w14:paraId="24479C4C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4F3B3DA" w14:textId="41CC0B12" w:rsidR="00DD55F9" w:rsidRDefault="0075555B">
            <w:pPr>
              <w:pStyle w:val="Obsahtabulky"/>
              <w:snapToGrid w:val="0"/>
            </w:pPr>
            <w:r>
              <w:t>4</w:t>
            </w:r>
          </w:p>
        </w:tc>
      </w:tr>
    </w:tbl>
    <w:p w14:paraId="6A43CAE0" w14:textId="77777777" w:rsidR="00DD55F9" w:rsidRDefault="00DD55F9"/>
    <w:p w14:paraId="45CAE737" w14:textId="77777777" w:rsidR="00DD55F9" w:rsidRDefault="00DD55F9">
      <w:pPr>
        <w:ind w:left="-720"/>
        <w:rPr>
          <w:sz w:val="22"/>
          <w:szCs w:val="22"/>
        </w:rPr>
      </w:pPr>
    </w:p>
    <w:p w14:paraId="1414FBC7" w14:textId="77777777" w:rsidR="00DD55F9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40BD01F" w14:textId="77777777" w:rsidR="00DD55F9" w:rsidRDefault="00907F7E">
      <w:pPr>
        <w:rPr>
          <w:sz w:val="22"/>
          <w:szCs w:val="22"/>
        </w:rPr>
      </w:pPr>
      <w:r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543BEC09" w14:textId="77777777" w:rsidR="00DD55F9" w:rsidRDefault="00DD55F9">
      <w:pPr>
        <w:rPr>
          <w:sz w:val="22"/>
          <w:szCs w:val="22"/>
        </w:rPr>
      </w:pPr>
    </w:p>
    <w:p w14:paraId="7DCF0574" w14:textId="37035C72" w:rsidR="00DD55F9" w:rsidRDefault="000E6A92" w:rsidP="000E6A92">
      <w:pPr>
        <w:jc w:val="both"/>
        <w:rPr>
          <w:sz w:val="22"/>
          <w:szCs w:val="22"/>
        </w:rPr>
      </w:pPr>
      <w:r>
        <w:rPr>
          <w:sz w:val="22"/>
          <w:szCs w:val="22"/>
        </w:rPr>
        <w:t>Autor potenciální čtenáře detailně uvádí do světa stolních her, a to skrz jejich historii, dějin</w:t>
      </w:r>
      <w:r w:rsidR="009C3D6C">
        <w:rPr>
          <w:sz w:val="22"/>
          <w:szCs w:val="22"/>
        </w:rPr>
        <w:t>y</w:t>
      </w:r>
      <w:r>
        <w:rPr>
          <w:sz w:val="22"/>
          <w:szCs w:val="22"/>
        </w:rPr>
        <w:t xml:space="preserve"> bádání o nich (game studies), zahrnuje fenomén gamebooků, následně přechází k podrobné analýze jednotlivých typů příběhů v hrách na hrdiny, odsud </w:t>
      </w:r>
      <w:r w:rsidR="0075555B">
        <w:rPr>
          <w:sz w:val="22"/>
          <w:szCs w:val="22"/>
        </w:rPr>
        <w:t>pak</w:t>
      </w:r>
      <w:r w:rsidR="009C3D6C">
        <w:rPr>
          <w:sz w:val="22"/>
          <w:szCs w:val="22"/>
        </w:rPr>
        <w:t xml:space="preserve"> následuje</w:t>
      </w:r>
      <w:r w:rsidR="0075555B">
        <w:rPr>
          <w:sz w:val="22"/>
          <w:szCs w:val="22"/>
        </w:rPr>
        <w:t xml:space="preserve"> přirozenou cestou k jádru svého bádání: Tedy typům postav (vypravěč vs hráči). Svá tvrzení a zjištění opírá o příslušnou odbornou literaturu ale též o jednotlivé existující hry, na něž zjištěné aplikuje. Za velký plus považuji i aplikování dosavadních zjištění na epizodu herního podcastu, přičemž v de facto případové studii dokládá svá </w:t>
      </w:r>
      <w:r w:rsidR="009C3D6C">
        <w:rPr>
          <w:sz w:val="22"/>
          <w:szCs w:val="22"/>
        </w:rPr>
        <w:t>tvrzení</w:t>
      </w:r>
      <w:r w:rsidR="0075555B">
        <w:rPr>
          <w:sz w:val="22"/>
          <w:szCs w:val="22"/>
        </w:rPr>
        <w:t xml:space="preserve"> přímo v praxi. </w:t>
      </w:r>
    </w:p>
    <w:p w14:paraId="0A113838" w14:textId="296615A7" w:rsidR="00DD55F9" w:rsidRDefault="0075555B">
      <w:pPr>
        <w:rPr>
          <w:sz w:val="22"/>
          <w:szCs w:val="22"/>
        </w:rPr>
      </w:pPr>
      <w:r>
        <w:rPr>
          <w:sz w:val="22"/>
          <w:szCs w:val="22"/>
        </w:rPr>
        <w:t xml:space="preserve">Pro případně zcela nepoučené čtenáře na konci (coby přílohu) přidává též slovník pojmů, což považuji </w:t>
      </w:r>
      <w:r>
        <w:rPr>
          <w:sz w:val="22"/>
          <w:szCs w:val="22"/>
        </w:rPr>
        <w:lastRenderedPageBreak/>
        <w:t>za funkční a smysluplné.</w:t>
      </w:r>
    </w:p>
    <w:p w14:paraId="51A6603C" w14:textId="77777777" w:rsidR="00DD55F9" w:rsidRDefault="00DD55F9">
      <w:pPr>
        <w:rPr>
          <w:sz w:val="22"/>
          <w:szCs w:val="22"/>
        </w:rPr>
      </w:pPr>
    </w:p>
    <w:p w14:paraId="76C6B7DC" w14:textId="77777777" w:rsidR="00DD55F9" w:rsidRDefault="00DD55F9">
      <w:pPr>
        <w:rPr>
          <w:sz w:val="22"/>
          <w:szCs w:val="22"/>
        </w:rPr>
      </w:pPr>
    </w:p>
    <w:p w14:paraId="40885980" w14:textId="77777777" w:rsidR="00DD55F9" w:rsidRDefault="00907F7E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DD55F9" w14:paraId="70C6FA43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9DE509A" w14:textId="0B17D4DA" w:rsidR="00DD55F9" w:rsidRDefault="0075555B">
            <w:pPr>
              <w:pStyle w:val="Obsahtabulky"/>
              <w:snapToGrid w:val="0"/>
            </w:pPr>
            <w:r>
              <w:t>4</w:t>
            </w:r>
          </w:p>
        </w:tc>
      </w:tr>
    </w:tbl>
    <w:p w14:paraId="3327CB9E" w14:textId="77777777" w:rsidR="0075555B" w:rsidRDefault="0075555B">
      <w:pPr>
        <w:rPr>
          <w:b/>
          <w:bCs/>
          <w:sz w:val="22"/>
          <w:szCs w:val="22"/>
        </w:rPr>
      </w:pPr>
    </w:p>
    <w:p w14:paraId="1C7BBFC6" w14:textId="2C4D7900" w:rsidR="00DD55F9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5278C3E7" w14:textId="77777777" w:rsidR="00DD55F9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7E005EDD" w14:textId="77777777" w:rsidR="00DD55F9" w:rsidRDefault="00DD55F9">
      <w:pPr>
        <w:rPr>
          <w:sz w:val="22"/>
          <w:szCs w:val="22"/>
        </w:rPr>
      </w:pPr>
    </w:p>
    <w:p w14:paraId="24FCE1F9" w14:textId="2F2C6440" w:rsidR="00DD55F9" w:rsidRDefault="0075555B" w:rsidP="008A191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Jazyková a stylistická úroveň je na </w:t>
      </w:r>
      <w:r w:rsidR="00683044">
        <w:rPr>
          <w:sz w:val="22"/>
          <w:szCs w:val="22"/>
        </w:rPr>
        <w:t xml:space="preserve">odpovídající úrovni. Pokud lze nalézt nějaké prohřešky, jsou </w:t>
      </w:r>
      <w:r w:rsidR="00A262E8">
        <w:rPr>
          <w:sz w:val="22"/>
          <w:szCs w:val="22"/>
        </w:rPr>
        <w:t xml:space="preserve">v zásadě marginálního charakteru: </w:t>
      </w:r>
      <w:r w:rsidR="00683044">
        <w:rPr>
          <w:sz w:val="22"/>
          <w:szCs w:val="22"/>
        </w:rPr>
        <w:t>např. uvedení celé citace v poznámce pod čarou 101 namísto obligátního „Tamtéž“, jako v poznámce č. 100 či dvojice aktivních hypertextových odkazů v seznamu literatury, konkrétně na straně 49</w:t>
      </w:r>
      <w:r w:rsidR="00A262E8">
        <w:rPr>
          <w:sz w:val="22"/>
          <w:szCs w:val="22"/>
        </w:rPr>
        <w:t>; dále občasná nejednotnost toho, zda horní index psát před nebo až za čárkou/tečkou, srov. např. poznámky 128 a 129</w:t>
      </w:r>
      <w:r w:rsidR="00683044">
        <w:rPr>
          <w:sz w:val="22"/>
          <w:szCs w:val="22"/>
        </w:rPr>
        <w:t xml:space="preserve">. </w:t>
      </w:r>
    </w:p>
    <w:p w14:paraId="76C6DACF" w14:textId="77777777" w:rsidR="00A262E8" w:rsidRDefault="00A262E8">
      <w:pPr>
        <w:rPr>
          <w:sz w:val="22"/>
          <w:szCs w:val="22"/>
        </w:rPr>
      </w:pPr>
    </w:p>
    <w:p w14:paraId="1475D611" w14:textId="77777777" w:rsidR="00DD55F9" w:rsidRDefault="00907F7E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DD55F9" w14:paraId="6C9B20B1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A1FE08" w14:textId="5D2AE31E" w:rsidR="00DD55F9" w:rsidRDefault="00A262E8">
            <w:pPr>
              <w:pStyle w:val="Obsahtabulky"/>
              <w:snapToGrid w:val="0"/>
            </w:pPr>
            <w:r>
              <w:t>3</w:t>
            </w:r>
          </w:p>
        </w:tc>
      </w:tr>
    </w:tbl>
    <w:p w14:paraId="16421173" w14:textId="77777777" w:rsidR="00DD55F9" w:rsidRDefault="00DD55F9"/>
    <w:p w14:paraId="7FA43906" w14:textId="77777777" w:rsidR="00DD55F9" w:rsidRDefault="00DD55F9">
      <w:pPr>
        <w:rPr>
          <w:b/>
          <w:bCs/>
          <w:sz w:val="22"/>
          <w:szCs w:val="22"/>
        </w:rPr>
      </w:pPr>
    </w:p>
    <w:p w14:paraId="5A2C899F" w14:textId="77777777" w:rsidR="00DD55F9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79A88F12" w14:textId="77777777" w:rsidR="00DD55F9" w:rsidRDefault="00DD55F9">
      <w:pPr>
        <w:rPr>
          <w:sz w:val="22"/>
          <w:szCs w:val="22"/>
        </w:rPr>
      </w:pPr>
    </w:p>
    <w:p w14:paraId="2F8CD62C" w14:textId="672C26D6" w:rsidR="00DD55F9" w:rsidRDefault="009A7EF9" w:rsidP="008A191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práci se zabýváte aplikováním Ecova principu otevřeného díla do her na hrdiny. </w:t>
      </w:r>
      <w:r w:rsidR="000C7944">
        <w:rPr>
          <w:sz w:val="22"/>
          <w:szCs w:val="22"/>
        </w:rPr>
        <w:t>V</w:t>
      </w:r>
      <w:r>
        <w:rPr>
          <w:sz w:val="22"/>
          <w:szCs w:val="22"/>
        </w:rPr>
        <w:t>ypravěč (pán jeskyně či jiný)</w:t>
      </w:r>
      <w:r w:rsidR="000C7944">
        <w:rPr>
          <w:sz w:val="22"/>
          <w:szCs w:val="22"/>
        </w:rPr>
        <w:t xml:space="preserve"> konstruuje nastíněný fikční svět (tedy ho de facto interpretuje), do nějž vstupují hráči, aby ho dotvořili. Netkví celá otázka oné otevřenosti v tom, že herní světy jsou </w:t>
      </w:r>
      <w:r w:rsidR="008A1913">
        <w:rPr>
          <w:sz w:val="22"/>
          <w:szCs w:val="22"/>
        </w:rPr>
        <w:t xml:space="preserve">spíše </w:t>
      </w:r>
      <w:r w:rsidR="000C7944">
        <w:rPr>
          <w:sz w:val="22"/>
          <w:szCs w:val="22"/>
        </w:rPr>
        <w:t xml:space="preserve">návody k vytvoření vlastního světa než </w:t>
      </w:r>
      <w:r w:rsidR="00555C65">
        <w:rPr>
          <w:sz w:val="22"/>
          <w:szCs w:val="22"/>
        </w:rPr>
        <w:t xml:space="preserve">literárním </w:t>
      </w:r>
      <w:r w:rsidR="000C7944">
        <w:rPr>
          <w:sz w:val="22"/>
          <w:szCs w:val="22"/>
        </w:rPr>
        <w:t>dílem, které lze považovat za otevřené v ecovském smyslu?</w:t>
      </w:r>
    </w:p>
    <w:p w14:paraId="686C90AC" w14:textId="77777777" w:rsidR="000C7944" w:rsidRDefault="000C7944" w:rsidP="000C7944">
      <w:pPr>
        <w:jc w:val="both"/>
        <w:rPr>
          <w:sz w:val="22"/>
          <w:szCs w:val="22"/>
        </w:rPr>
      </w:pPr>
    </w:p>
    <w:p w14:paraId="490116A6" w14:textId="77777777" w:rsidR="00DD55F9" w:rsidRDefault="00DD55F9">
      <w:pPr>
        <w:rPr>
          <w:sz w:val="22"/>
          <w:szCs w:val="22"/>
        </w:rPr>
      </w:pPr>
    </w:p>
    <w:p w14:paraId="49CEAEC7" w14:textId="77777777" w:rsidR="00DD55F9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1913E548" w14:textId="77777777" w:rsidR="00DD55F9" w:rsidRDefault="00DD55F9">
      <w:pPr>
        <w:rPr>
          <w:sz w:val="22"/>
          <w:szCs w:val="22"/>
        </w:rPr>
      </w:pPr>
    </w:p>
    <w:p w14:paraId="2B4FBE98" w14:textId="7D8B12B7" w:rsidR="00DD55F9" w:rsidRDefault="00683044">
      <w:pPr>
        <w:rPr>
          <w:sz w:val="22"/>
          <w:szCs w:val="22"/>
        </w:rPr>
      </w:pPr>
      <w:r>
        <w:rPr>
          <w:sz w:val="22"/>
          <w:szCs w:val="22"/>
        </w:rPr>
        <w:t>Práci doporučuji k obhajobě.</w:t>
      </w:r>
    </w:p>
    <w:p w14:paraId="2D4F92FA" w14:textId="77777777" w:rsidR="00DD55F9" w:rsidRDefault="00DD55F9">
      <w:pPr>
        <w:rPr>
          <w:sz w:val="22"/>
          <w:szCs w:val="22"/>
        </w:rPr>
      </w:pPr>
    </w:p>
    <w:p w14:paraId="60C65EC7" w14:textId="77777777" w:rsidR="00DD55F9" w:rsidRDefault="00DD55F9">
      <w:pPr>
        <w:rPr>
          <w:sz w:val="22"/>
          <w:szCs w:val="22"/>
        </w:rPr>
      </w:pPr>
    </w:p>
    <w:p w14:paraId="352EEFF4" w14:textId="77777777" w:rsidR="00DD55F9" w:rsidRDefault="00DD55F9">
      <w:pPr>
        <w:rPr>
          <w:b/>
          <w:bCs/>
          <w:sz w:val="22"/>
          <w:szCs w:val="22"/>
        </w:rPr>
      </w:pPr>
    </w:p>
    <w:p w14:paraId="64B8408D" w14:textId="77777777" w:rsidR="00DD55F9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B91440E" w14:textId="77777777" w:rsidR="00DD55F9" w:rsidRDefault="00DD55F9">
      <w:pPr>
        <w:rPr>
          <w:sz w:val="22"/>
          <w:szCs w:val="22"/>
        </w:rPr>
      </w:pPr>
    </w:p>
    <w:p w14:paraId="5EEC96F7" w14:textId="1941A936" w:rsidR="00DD55F9" w:rsidRDefault="00683044">
      <w:pPr>
        <w:rPr>
          <w:sz w:val="22"/>
          <w:szCs w:val="22"/>
        </w:rPr>
      </w:pPr>
      <w:r>
        <w:rPr>
          <w:sz w:val="22"/>
          <w:szCs w:val="22"/>
        </w:rPr>
        <w:t>Výborně (A)</w:t>
      </w:r>
    </w:p>
    <w:p w14:paraId="35685F51" w14:textId="77777777" w:rsidR="00DD55F9" w:rsidRDefault="00DD55F9">
      <w:pPr>
        <w:rPr>
          <w:sz w:val="22"/>
          <w:szCs w:val="22"/>
        </w:rPr>
      </w:pPr>
    </w:p>
    <w:p w14:paraId="001D7B40" w14:textId="77777777" w:rsidR="00DD55F9" w:rsidRDefault="00DD55F9">
      <w:pPr>
        <w:rPr>
          <w:sz w:val="22"/>
          <w:szCs w:val="22"/>
        </w:rPr>
      </w:pPr>
    </w:p>
    <w:p w14:paraId="060DEB0B" w14:textId="77777777" w:rsidR="00DD55F9" w:rsidRDefault="00DD55F9">
      <w:pPr>
        <w:rPr>
          <w:sz w:val="22"/>
          <w:szCs w:val="22"/>
        </w:rPr>
      </w:pPr>
    </w:p>
    <w:p w14:paraId="5EFEBF97" w14:textId="77777777" w:rsidR="00DD55F9" w:rsidRDefault="00907F7E">
      <w:pPr>
        <w:rPr>
          <w:sz w:val="22"/>
          <w:szCs w:val="22"/>
        </w:rPr>
      </w:pPr>
      <w:r>
        <w:rPr>
          <w:sz w:val="22"/>
          <w:szCs w:val="22"/>
        </w:rPr>
        <w:t>datum:</w:t>
      </w:r>
    </w:p>
    <w:p w14:paraId="6E08EDB6" w14:textId="77777777" w:rsidR="00DD55F9" w:rsidRDefault="00DD55F9">
      <w:pPr>
        <w:rPr>
          <w:sz w:val="22"/>
          <w:szCs w:val="22"/>
        </w:rPr>
      </w:pPr>
    </w:p>
    <w:p w14:paraId="679461B7" w14:textId="77777777" w:rsidR="00DD55F9" w:rsidRDefault="00907F7E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42759A66" w14:textId="77777777" w:rsidR="00DD55F9" w:rsidRDefault="00DD55F9">
      <w:pPr>
        <w:rPr>
          <w:sz w:val="22"/>
          <w:szCs w:val="22"/>
        </w:rPr>
      </w:pPr>
    </w:p>
    <w:p w14:paraId="34B10AA1" w14:textId="77777777" w:rsidR="00DD55F9" w:rsidRDefault="00907F7E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06F19896" w14:textId="77777777" w:rsidR="00DD55F9" w:rsidRDefault="00DD55F9">
      <w:pPr>
        <w:rPr>
          <w:sz w:val="20"/>
          <w:szCs w:val="20"/>
        </w:rPr>
      </w:pPr>
    </w:p>
    <w:p w14:paraId="7D775AA6" w14:textId="77777777" w:rsidR="00DD55F9" w:rsidRDefault="00907F7E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66DDA04B" w14:textId="77777777" w:rsidR="00DD55F9" w:rsidRDefault="00DD55F9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DD55F9" w14:paraId="7690FD82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5B3F2D" w14:textId="77777777" w:rsidR="00DD55F9" w:rsidRDefault="00907F7E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A938AB2" w14:textId="77777777" w:rsidR="00DD55F9" w:rsidRDefault="00907F7E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93CB757" w14:textId="77777777" w:rsidR="00DD55F9" w:rsidRDefault="00DD55F9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95254EE" w14:textId="77777777" w:rsidR="00DD55F9" w:rsidRDefault="00907F7E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DD55F9" w14:paraId="22222E2C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35A5645" w14:textId="77777777" w:rsidR="00DD55F9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AC5A3A" w14:textId="77777777" w:rsidR="00DD55F9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0E2FA7" w14:textId="77777777" w:rsidR="00DD55F9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146BF35" w14:textId="77777777" w:rsidR="00DD55F9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D55F9" w14:paraId="45908421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4520044" w14:textId="77777777" w:rsidR="00DD55F9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E0DF9C" w14:textId="77777777" w:rsidR="00DD55F9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5EF3245" w14:textId="77777777" w:rsidR="00DD55F9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4686FA9" w14:textId="77777777" w:rsidR="00DD55F9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D55F9" w14:paraId="7BDC53AF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29C8BE" w14:textId="77777777" w:rsidR="00DD55F9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070A4C" w14:textId="77777777" w:rsidR="00DD55F9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322E751" w14:textId="77777777" w:rsidR="00DD55F9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D10E2DF" w14:textId="77777777" w:rsidR="00DD55F9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D55F9" w14:paraId="0FFB3BF9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E835623" w14:textId="77777777" w:rsidR="00DD55F9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F8C5668" w14:textId="77777777" w:rsidR="00DD55F9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DB9784" w14:textId="77777777" w:rsidR="00DD55F9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508496" w14:textId="77777777" w:rsidR="00DD55F9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D55F9" w14:paraId="46FC1814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4386BE4" w14:textId="77777777" w:rsidR="00DD55F9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8FD8A6" w14:textId="77777777" w:rsidR="00DD55F9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0775BCD" w14:textId="77777777" w:rsidR="00DD55F9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E09BF49" w14:textId="77777777" w:rsidR="00DD55F9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D55F9" w14:paraId="253749C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03498D2" w14:textId="77777777" w:rsidR="00DD55F9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CD79D2A" w14:textId="77777777" w:rsidR="00DD55F9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B504D0" w14:textId="77777777" w:rsidR="00DD55F9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9866E04" w14:textId="77777777" w:rsidR="00DD55F9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5150A5D" w14:textId="77777777" w:rsidR="00DD55F9" w:rsidRDefault="00DD55F9">
      <w:pPr>
        <w:rPr>
          <w:sz w:val="22"/>
          <w:szCs w:val="22"/>
        </w:rPr>
      </w:pPr>
    </w:p>
    <w:p w14:paraId="233B73CB" w14:textId="77777777" w:rsidR="00DD55F9" w:rsidRDefault="00DD55F9"/>
    <w:sectPr w:rsidR="00DD55F9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F6D7D3" w14:textId="77777777" w:rsidR="002B701C" w:rsidRDefault="002B701C">
      <w:r>
        <w:separator/>
      </w:r>
    </w:p>
  </w:endnote>
  <w:endnote w:type="continuationSeparator" w:id="0">
    <w:p w14:paraId="26B50E08" w14:textId="77777777" w:rsidR="002B701C" w:rsidRDefault="002B70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ECADDF" w14:textId="77777777" w:rsidR="002B701C" w:rsidRDefault="002B701C">
      <w:r>
        <w:separator/>
      </w:r>
    </w:p>
  </w:footnote>
  <w:footnote w:type="continuationSeparator" w:id="0">
    <w:p w14:paraId="44D008DC" w14:textId="77777777" w:rsidR="002B701C" w:rsidRDefault="002B701C">
      <w:r>
        <w:continuationSeparator/>
      </w:r>
    </w:p>
  </w:footnote>
  <w:footnote w:id="1">
    <w:p w14:paraId="2F083522" w14:textId="77777777" w:rsidR="00DD55F9" w:rsidRDefault="00907F7E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F7E"/>
    <w:rsid w:val="000C7944"/>
    <w:rsid w:val="000E6A92"/>
    <w:rsid w:val="001252B8"/>
    <w:rsid w:val="002B701C"/>
    <w:rsid w:val="00412554"/>
    <w:rsid w:val="00555C65"/>
    <w:rsid w:val="00673261"/>
    <w:rsid w:val="00683044"/>
    <w:rsid w:val="006A43EE"/>
    <w:rsid w:val="0075555B"/>
    <w:rsid w:val="008A1913"/>
    <w:rsid w:val="00907F7E"/>
    <w:rsid w:val="009A7EF9"/>
    <w:rsid w:val="009C3D6C"/>
    <w:rsid w:val="009D2786"/>
    <w:rsid w:val="009E7623"/>
    <w:rsid w:val="00A262E8"/>
    <w:rsid w:val="00CE5E57"/>
    <w:rsid w:val="00DD55F9"/>
    <w:rsid w:val="00EA4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349D1CE"/>
  <w15:chartTrackingRefBased/>
  <w15:docId w15:val="{0011758D-4BC3-4F17-9DC5-99DDC8629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3</Pages>
  <Words>596</Words>
  <Characters>3523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4111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Přemysl Krejčík</cp:lastModifiedBy>
  <cp:revision>10</cp:revision>
  <cp:lastPrinted>1899-12-31T23:00:00Z</cp:lastPrinted>
  <dcterms:created xsi:type="dcterms:W3CDTF">2025-05-13T04:52:00Z</dcterms:created>
  <dcterms:modified xsi:type="dcterms:W3CDTF">2025-05-13T06:38:00Z</dcterms:modified>
</cp:coreProperties>
</file>