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74B" w:rsidRPr="000724E4" w:rsidRDefault="006C44B3" w:rsidP="006C44B3">
      <w:pPr>
        <w:spacing w:after="0" w:line="360" w:lineRule="auto"/>
        <w:jc w:val="center"/>
        <w:rPr>
          <w:b/>
          <w:sz w:val="32"/>
        </w:rPr>
      </w:pPr>
      <w:r w:rsidRPr="000724E4">
        <w:rPr>
          <w:b/>
          <w:sz w:val="32"/>
        </w:rPr>
        <w:t xml:space="preserve">GOLDBERGOVÁ, Daniela, </w:t>
      </w:r>
      <w:r w:rsidRPr="000724E4">
        <w:rPr>
          <w:b/>
          <w:i/>
          <w:sz w:val="32"/>
        </w:rPr>
        <w:t>Čtyřicet let vdovou. Osudy Marie Filipíny Thun-Hohensteinové (1693-1763)</w:t>
      </w:r>
      <w:r w:rsidRPr="000724E4">
        <w:rPr>
          <w:b/>
          <w:sz w:val="32"/>
        </w:rPr>
        <w:t>, diplomová práce, Univerzita Pardubice 2016, 133 s.</w:t>
      </w:r>
    </w:p>
    <w:p w:rsidR="006C44B3" w:rsidRPr="006C44B3" w:rsidRDefault="006C44B3" w:rsidP="006C44B3">
      <w:pPr>
        <w:spacing w:after="0" w:line="360" w:lineRule="auto"/>
        <w:rPr>
          <w:sz w:val="24"/>
        </w:rPr>
      </w:pPr>
    </w:p>
    <w:p w:rsidR="006C44B3" w:rsidRPr="006C44B3" w:rsidRDefault="006C44B3" w:rsidP="006C44B3">
      <w:pPr>
        <w:spacing w:after="0" w:line="360" w:lineRule="auto"/>
        <w:jc w:val="center"/>
        <w:rPr>
          <w:sz w:val="24"/>
          <w:u w:val="single"/>
        </w:rPr>
      </w:pPr>
      <w:r w:rsidRPr="006C44B3">
        <w:rPr>
          <w:sz w:val="24"/>
          <w:u w:val="single"/>
        </w:rPr>
        <w:t>posudek vedoucího práce</w:t>
      </w:r>
    </w:p>
    <w:p w:rsidR="006C44B3" w:rsidRDefault="006C44B3" w:rsidP="00B22A06">
      <w:pPr>
        <w:spacing w:after="0" w:line="360" w:lineRule="auto"/>
        <w:jc w:val="both"/>
        <w:rPr>
          <w:sz w:val="24"/>
        </w:rPr>
      </w:pPr>
    </w:p>
    <w:p w:rsidR="006C44B3" w:rsidRDefault="00B22A06" w:rsidP="0096416F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V české historiografii se těší dějiny šlechty pobělohorské doby už více jak 15 let výraznému zájmu, který přinesl mnohé plody, ať už se jedná o první syntézy (Maťa, Vokáčová, Cerman), monografie (Cerman, Hrbek, Kubeš, Prchal, Smíšek</w:t>
      </w:r>
      <w:r w:rsidR="00315DDB">
        <w:rPr>
          <w:sz w:val="24"/>
        </w:rPr>
        <w:t>, Valenta</w:t>
      </w:r>
      <w:r>
        <w:rPr>
          <w:sz w:val="24"/>
        </w:rPr>
        <w:t xml:space="preserve"> a mnoho dalších), tematické sborníky či množství analytických studií. Tematický záběr těchto studií je velmi široký, ne všemu se ale dostalo </w:t>
      </w:r>
      <w:r w:rsidR="000724E4">
        <w:rPr>
          <w:sz w:val="24"/>
        </w:rPr>
        <w:t>stejné pozornosti. Mezi méně prozkoumané</w:t>
      </w:r>
      <w:r>
        <w:rPr>
          <w:sz w:val="24"/>
        </w:rPr>
        <w:t xml:space="preserve"> oblasti</w:t>
      </w:r>
      <w:r w:rsidR="0096416F">
        <w:rPr>
          <w:sz w:val="24"/>
        </w:rPr>
        <w:t xml:space="preserve"> patří gender history a dějiny žen. Kromě zásadních prací z dílny tandemu Storchová – Ratajová, které se však soustřeďují spíše na nižší vrtsvy společnosti, už můžeme využít jen několik dílčích studií, protože příslušná syntetická pasáž v kolektivní práci </w:t>
      </w:r>
      <w:r w:rsidR="0096416F">
        <w:rPr>
          <w:i/>
          <w:sz w:val="24"/>
        </w:rPr>
        <w:t>Žena v českých zemích od středověku do 20. století</w:t>
      </w:r>
      <w:r w:rsidR="0096416F">
        <w:rPr>
          <w:sz w:val="24"/>
        </w:rPr>
        <w:t xml:space="preserve"> (2009) není založena na systematickém archivním výzkumu a jen sumarizuje naše sporé znalosti tématu. V tomto smyslu se stále musíme spoléhat na kvalitní zahraniční výzkumy shrnuté v publikacích Bastl, </w:t>
      </w:r>
      <w:r w:rsidR="00694C7F">
        <w:rPr>
          <w:sz w:val="24"/>
        </w:rPr>
        <w:t xml:space="preserve">Keller, </w:t>
      </w:r>
      <w:r w:rsidR="0096416F">
        <w:rPr>
          <w:sz w:val="24"/>
        </w:rPr>
        <w:t xml:space="preserve">Pils či Wunder. Abychom v budoucnu mohli napsat „Ženy českého baroka“, musíme se vrátit </w:t>
      </w:r>
      <w:r w:rsidR="0096416F" w:rsidRPr="0096416F">
        <w:rPr>
          <w:i/>
          <w:sz w:val="24"/>
        </w:rPr>
        <w:t>ad fontes</w:t>
      </w:r>
      <w:r w:rsidR="0096416F">
        <w:rPr>
          <w:sz w:val="24"/>
        </w:rPr>
        <w:t xml:space="preserve"> a zrekonstruovat životní osudy jednotlivých žen, čímž se nám konečně podaří trochu více zalidnit dějiny. A právě touto cestou se vydala Daniela Goldbergová ve své diplomové práci</w:t>
      </w:r>
      <w:r w:rsidR="000724E4">
        <w:rPr>
          <w:sz w:val="24"/>
        </w:rPr>
        <w:t>. P</w:t>
      </w:r>
      <w:r w:rsidR="0096416F">
        <w:rPr>
          <w:sz w:val="24"/>
        </w:rPr>
        <w:t>okusila se projít české a částečně i zahraniční archivy</w:t>
      </w:r>
      <w:r w:rsidR="000C4C21">
        <w:rPr>
          <w:sz w:val="24"/>
        </w:rPr>
        <w:t xml:space="preserve"> (analyzovala prameny ze sedmi archivů!)</w:t>
      </w:r>
      <w:r w:rsidR="000724E4">
        <w:rPr>
          <w:sz w:val="24"/>
        </w:rPr>
        <w:t>,</w:t>
      </w:r>
      <w:r w:rsidR="0096416F">
        <w:rPr>
          <w:sz w:val="24"/>
        </w:rPr>
        <w:t xml:space="preserve"> shrnout všechny zásadní prameny k životu jedné konkrétní barokní šlechtičny a na jejich základě se snažila popsat její životní osudy zejména v rámci její rodiny. </w:t>
      </w:r>
      <w:r w:rsidR="000C4C21">
        <w:rPr>
          <w:sz w:val="24"/>
        </w:rPr>
        <w:t xml:space="preserve">To vše jí pomohla zasadit do kontextů domácí i zahraniční literatura (seznam na konci práce obsahuje cca 100 položek). </w:t>
      </w:r>
      <w:r w:rsidR="0096416F">
        <w:rPr>
          <w:sz w:val="24"/>
        </w:rPr>
        <w:t>Výběr tématu tedy chválím a považuji ho za více než vhodné.</w:t>
      </w:r>
    </w:p>
    <w:p w:rsidR="0096416F" w:rsidRDefault="00C70183" w:rsidP="0096416F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Zvolenému cíli pak autorka podřídila koncepci práce, kterou rozčlenila na tři základní části. Nejprve v obsáhlém úvodu shrnula a komentovala stávající literaturu k dějinám šlechty, šlechtických žen a nastínila </w:t>
      </w:r>
      <w:r w:rsidR="000724E4">
        <w:rPr>
          <w:sz w:val="24"/>
        </w:rPr>
        <w:t xml:space="preserve">badatelské </w:t>
      </w:r>
      <w:r>
        <w:rPr>
          <w:sz w:val="24"/>
        </w:rPr>
        <w:t xml:space="preserve">možnosti, jež přináší </w:t>
      </w:r>
      <w:r w:rsidR="000724E4">
        <w:rPr>
          <w:sz w:val="24"/>
        </w:rPr>
        <w:t xml:space="preserve">dějiny žen a </w:t>
      </w:r>
      <w:r>
        <w:rPr>
          <w:sz w:val="24"/>
        </w:rPr>
        <w:t>gender history. Vzhledem k charakteru pramenné základny se však cestou gender history nevydala a pokusila se sepsat práci k dějinám žen –</w:t>
      </w:r>
      <w:r w:rsidR="000724E4">
        <w:rPr>
          <w:sz w:val="24"/>
        </w:rPr>
        <w:t xml:space="preserve"> </w:t>
      </w:r>
      <w:r>
        <w:rPr>
          <w:sz w:val="24"/>
        </w:rPr>
        <w:t>šlechtičen (s. 1-13). V druhé části se proto soustředila na dějiny obou rodin, do kterých Marie Filipína patřila – narodila se</w:t>
      </w:r>
      <w:r w:rsidR="000724E4">
        <w:rPr>
          <w:sz w:val="24"/>
        </w:rPr>
        <w:t xml:space="preserve"> do</w:t>
      </w:r>
      <w:r>
        <w:rPr>
          <w:sz w:val="24"/>
        </w:rPr>
        <w:t xml:space="preserve"> rodiny </w:t>
      </w:r>
      <w:r>
        <w:rPr>
          <w:sz w:val="24"/>
        </w:rPr>
        <w:lastRenderedPageBreak/>
        <w:t>Aloise Thomase Raimunda hraběte Harracha, po sňatku se však stala také přís</w:t>
      </w:r>
      <w:r w:rsidR="000724E4">
        <w:rPr>
          <w:sz w:val="24"/>
        </w:rPr>
        <w:t>lušnicí rodu Thunů. Protože ale</w:t>
      </w:r>
      <w:r>
        <w:rPr>
          <w:sz w:val="24"/>
        </w:rPr>
        <w:t xml:space="preserve"> její manžel </w:t>
      </w:r>
      <w:r w:rsidR="000C4C21">
        <w:rPr>
          <w:sz w:val="24"/>
        </w:rPr>
        <w:t>Jan František z Thunu poměrně</w:t>
      </w:r>
      <w:r>
        <w:rPr>
          <w:sz w:val="24"/>
        </w:rPr>
        <w:t xml:space="preserve"> záhy zemřel, zůstávala i nadále hodně ve styku s rodinou svého otce (s. 14-25). Třetí část je pak klíčová a nejrozsáhlejší (s. 26-121) – v té se autorka soustředila přímo na Marii Filipínu a sledovala ji v různých životních etapách. Samostatné podkapitoly věnovala Marii Filipíně jako dceři, následuje část o sňatku</w:t>
      </w:r>
      <w:r w:rsidR="000C4C21">
        <w:rPr>
          <w:sz w:val="24"/>
        </w:rPr>
        <w:t xml:space="preserve"> v Salzburgu</w:t>
      </w:r>
      <w:r>
        <w:rPr>
          <w:sz w:val="24"/>
        </w:rPr>
        <w:t>, pak pojednala o hraběnce jako manželce</w:t>
      </w:r>
      <w:r w:rsidR="000C4C21">
        <w:rPr>
          <w:sz w:val="24"/>
        </w:rPr>
        <w:t xml:space="preserve"> (byla jí „jen“ 12 let)</w:t>
      </w:r>
      <w:r>
        <w:rPr>
          <w:sz w:val="24"/>
        </w:rPr>
        <w:t xml:space="preserve"> i matce tří dětí</w:t>
      </w:r>
      <w:r w:rsidR="000C4C21">
        <w:rPr>
          <w:sz w:val="24"/>
        </w:rPr>
        <w:t xml:space="preserve">, </w:t>
      </w:r>
      <w:r w:rsidR="000724E4">
        <w:rPr>
          <w:sz w:val="24"/>
        </w:rPr>
        <w:t>z nichž se dospělosti dožily pouze</w:t>
      </w:r>
      <w:r w:rsidR="000C4C21">
        <w:rPr>
          <w:sz w:val="24"/>
        </w:rPr>
        <w:t xml:space="preserve"> dvě</w:t>
      </w:r>
      <w:r>
        <w:rPr>
          <w:sz w:val="24"/>
        </w:rPr>
        <w:t>. Obsáhlá pasáž se pak věnuje Marii Filipíně jako vdově, kde autorka tematizovala její poručenskou správu, výchovu dětí</w:t>
      </w:r>
      <w:r w:rsidR="000C4C21">
        <w:rPr>
          <w:sz w:val="24"/>
        </w:rPr>
        <w:t xml:space="preserve"> (zde mohla částečně navázat na svou bakalářskou práci)</w:t>
      </w:r>
      <w:r>
        <w:rPr>
          <w:sz w:val="24"/>
        </w:rPr>
        <w:t xml:space="preserve">, </w:t>
      </w:r>
      <w:r w:rsidR="000C4C21">
        <w:rPr>
          <w:sz w:val="24"/>
        </w:rPr>
        <w:t xml:space="preserve">velké </w:t>
      </w:r>
      <w:r>
        <w:rPr>
          <w:sz w:val="24"/>
        </w:rPr>
        <w:t>finanční potíže</w:t>
      </w:r>
      <w:r w:rsidR="000C4C21">
        <w:rPr>
          <w:sz w:val="24"/>
        </w:rPr>
        <w:t xml:space="preserve"> a jejich řešení</w:t>
      </w:r>
      <w:r>
        <w:rPr>
          <w:sz w:val="24"/>
        </w:rPr>
        <w:t>, její služebnictvo a agenty. Nakonec vše završila podkapitolou o její smrti a pohřbu.</w:t>
      </w:r>
    </w:p>
    <w:p w:rsidR="00093780" w:rsidRDefault="000C4C21" w:rsidP="0096416F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Řada autorčiných zjištění má charakter pramenných objevů, protože touto šlechtičnou se před ní nikdo nezabýval. Velmi si cením např. pasáží o jejím sňatku v arcibiskupském paláci v Salzburgu (1708)</w:t>
      </w:r>
      <w:r w:rsidR="00694C7F">
        <w:rPr>
          <w:sz w:val="24"/>
        </w:rPr>
        <w:t xml:space="preserve"> a nálezu</w:t>
      </w:r>
      <w:r w:rsidR="00315DDB">
        <w:rPr>
          <w:sz w:val="24"/>
        </w:rPr>
        <w:t xml:space="preserve"> popisu svatebního veselí včetně </w:t>
      </w:r>
      <w:r w:rsidR="00694C7F">
        <w:rPr>
          <w:sz w:val="24"/>
        </w:rPr>
        <w:t>seznamu svatebních hostů</w:t>
      </w:r>
      <w:r>
        <w:rPr>
          <w:sz w:val="24"/>
        </w:rPr>
        <w:t xml:space="preserve">, </w:t>
      </w:r>
      <w:r w:rsidR="00694C7F">
        <w:rPr>
          <w:sz w:val="24"/>
        </w:rPr>
        <w:t xml:space="preserve">jenž svědčí o tom, že tato generace Harrachů neměla blízko jen k císařskému dvoru, ale i k arcibiskupskému dvoru v Salzburgu. Záslužné je </w:t>
      </w:r>
      <w:r>
        <w:rPr>
          <w:sz w:val="24"/>
        </w:rPr>
        <w:t xml:space="preserve">doplnění thunovské genealogie o </w:t>
      </w:r>
      <w:r w:rsidR="00694C7F">
        <w:rPr>
          <w:sz w:val="24"/>
        </w:rPr>
        <w:t xml:space="preserve">dosud neznámého </w:t>
      </w:r>
      <w:r>
        <w:rPr>
          <w:sz w:val="24"/>
        </w:rPr>
        <w:t xml:space="preserve">třetího potomka Marie Filipíny (synka Františka Antonína, jenž záhy zesnul), </w:t>
      </w:r>
      <w:r w:rsidR="0085313E">
        <w:rPr>
          <w:sz w:val="24"/>
        </w:rPr>
        <w:t xml:space="preserve">objevné jsou dále oddíly o hraběnčiných agentech. Autorce se také podařilo </w:t>
      </w:r>
      <w:r>
        <w:rPr>
          <w:sz w:val="24"/>
        </w:rPr>
        <w:t>objev</w:t>
      </w:r>
      <w:r w:rsidR="0085313E">
        <w:rPr>
          <w:sz w:val="24"/>
        </w:rPr>
        <w:t>it</w:t>
      </w:r>
      <w:r>
        <w:rPr>
          <w:sz w:val="24"/>
        </w:rPr>
        <w:t xml:space="preserve"> </w:t>
      </w:r>
      <w:r w:rsidR="0085313E">
        <w:rPr>
          <w:sz w:val="24"/>
        </w:rPr>
        <w:t>a analyzovat hraběnčinu závěť (1758).</w:t>
      </w:r>
      <w:r w:rsidR="000724E4">
        <w:rPr>
          <w:sz w:val="24"/>
        </w:rPr>
        <w:t xml:space="preserve"> Výsledná práce je tedy rozhodně přínosná a její limity spočívají především v limitech pramenné základny. Bohužel se nedochovalo více soukromých dopisů mezi manžely, nepodařilo se najít více listů mezi Mari</w:t>
      </w:r>
      <w:r w:rsidR="00315DDB">
        <w:rPr>
          <w:sz w:val="24"/>
        </w:rPr>
        <w:t>í</w:t>
      </w:r>
      <w:r w:rsidR="000724E4">
        <w:rPr>
          <w:sz w:val="24"/>
        </w:rPr>
        <w:t xml:space="preserve"> Filipínou a jejími sourozenci </w:t>
      </w:r>
      <w:r w:rsidR="00315DDB">
        <w:rPr>
          <w:sz w:val="24"/>
        </w:rPr>
        <w:t xml:space="preserve">a příbuznými </w:t>
      </w:r>
      <w:r w:rsidR="000724E4">
        <w:rPr>
          <w:sz w:val="24"/>
        </w:rPr>
        <w:t>apod. Rozhodně by bylo záhodné rozšířit pramenný výzkum v Rodinném archivu Harrachů i v rodinných archivech jejich příbuzných</w:t>
      </w:r>
      <w:r w:rsidR="00315DDB">
        <w:rPr>
          <w:sz w:val="24"/>
        </w:rPr>
        <w:t>, např. choltických Thunů. U</w:t>
      </w:r>
      <w:r w:rsidR="00694C7F">
        <w:rPr>
          <w:sz w:val="24"/>
        </w:rPr>
        <w:t xml:space="preserve">rčitě by se daly </w:t>
      </w:r>
      <w:r w:rsidR="00315DDB">
        <w:rPr>
          <w:sz w:val="24"/>
        </w:rPr>
        <w:t xml:space="preserve">také </w:t>
      </w:r>
      <w:r w:rsidR="00694C7F">
        <w:rPr>
          <w:sz w:val="24"/>
        </w:rPr>
        <w:t>dohledat další informace k její cestě do Neapole za otcem na přelomu let 1729 a 1730</w:t>
      </w:r>
      <w:r w:rsidR="00315DDB">
        <w:rPr>
          <w:sz w:val="24"/>
        </w:rPr>
        <w:t xml:space="preserve">. Dále </w:t>
      </w:r>
      <w:r w:rsidR="000724E4">
        <w:rPr>
          <w:sz w:val="24"/>
        </w:rPr>
        <w:t>je škoda, že se nepodařilo objevit závěť jejího muže</w:t>
      </w:r>
      <w:r w:rsidR="00093780">
        <w:rPr>
          <w:sz w:val="24"/>
        </w:rPr>
        <w:t>. Asi se nepodařilo vytěžit všechny relevantní dokumenty ani z děčínského archivu, kde se nachází Rodinný archiv Thunů (zde je ale na vině jednoznačně nepřehledně a nedůsledně inventarizovaný fond). Kvůli nedostatku pramenů nebylo možno řadu zjištění zasadit do širšího kontextu (což je markantní třeba v kapitole o její smrti: autorka měla k dispozici v podstatě jen závěť, parte a několik kondolencí, o vlastním pohřbu tedy nemohla napsat skoro nic) – v takovém případě si autorka vypomáhala kontextuální literaturou. Sepsat rozsáhlou biografii této šlechtičny však nebylo cílem práce.</w:t>
      </w:r>
    </w:p>
    <w:p w:rsidR="00093780" w:rsidRDefault="00093780" w:rsidP="0096416F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lastRenderedPageBreak/>
        <w:t xml:space="preserve">Autorce se přesto podařilo zrekonstruovat základní mezníky v životě Marie Filipíny Thunové z Harrachu a významným způsobem rozšířit naše </w:t>
      </w:r>
      <w:r w:rsidR="003D7E17">
        <w:rPr>
          <w:sz w:val="24"/>
        </w:rPr>
        <w:t xml:space="preserve">skrovné </w:t>
      </w:r>
      <w:r>
        <w:rPr>
          <w:sz w:val="24"/>
        </w:rPr>
        <w:t xml:space="preserve">znalosti životů barokních šlechtičen. Oceňuji, že se zdařile vypořádala s paleograficky a jazykově náročným výzkumem a že se jí podařilo zasadit získaná fakta do kontextuální literatury. Úroveň práce občas kazí </w:t>
      </w:r>
      <w:r w:rsidR="00694C7F">
        <w:rPr>
          <w:sz w:val="24"/>
        </w:rPr>
        <w:t>jen překlepy,</w:t>
      </w:r>
      <w:r>
        <w:rPr>
          <w:sz w:val="24"/>
        </w:rPr>
        <w:t xml:space="preserve"> různé jiné drobné jazykové prohřešky</w:t>
      </w:r>
      <w:r w:rsidR="00694C7F">
        <w:rPr>
          <w:sz w:val="24"/>
        </w:rPr>
        <w:t xml:space="preserve"> a výjimečně faktické chyby (např. Bastl není německá historička – s. 43)</w:t>
      </w:r>
      <w:r w:rsidR="003D7E17">
        <w:rPr>
          <w:sz w:val="24"/>
        </w:rPr>
        <w:t xml:space="preserve">. Práce splňuje požadavky kladené na tento typ kvalifikačních prací, autorka předvedla, že umí samostatně vést výzkum, analyzovat prameny a výsledek vhodně propojit se stávající literaturou. Proto výsledný text doporučuji k obhajobě a hodnotím známkou </w:t>
      </w:r>
      <w:r w:rsidR="003D7E17" w:rsidRPr="003D7E17">
        <w:rPr>
          <w:b/>
          <w:sz w:val="24"/>
        </w:rPr>
        <w:t>výborně</w:t>
      </w:r>
      <w:r w:rsidR="003D7E17">
        <w:rPr>
          <w:sz w:val="24"/>
        </w:rPr>
        <w:t>.</w:t>
      </w:r>
    </w:p>
    <w:p w:rsidR="000724E4" w:rsidRDefault="000724E4" w:rsidP="0096416F">
      <w:pPr>
        <w:spacing w:after="0" w:line="360" w:lineRule="auto"/>
        <w:ind w:firstLine="709"/>
        <w:jc w:val="both"/>
        <w:rPr>
          <w:sz w:val="24"/>
        </w:rPr>
      </w:pPr>
    </w:p>
    <w:p w:rsidR="00315DDB" w:rsidRDefault="00315DDB" w:rsidP="00315DDB">
      <w:pPr>
        <w:spacing w:after="0" w:line="360" w:lineRule="auto"/>
        <w:jc w:val="both"/>
        <w:rPr>
          <w:sz w:val="24"/>
        </w:rPr>
      </w:pPr>
      <w:r w:rsidRPr="00315DDB">
        <w:rPr>
          <w:sz w:val="24"/>
          <w:u w:val="single"/>
        </w:rPr>
        <w:t>Dotazy k obhajobě</w:t>
      </w:r>
      <w:r>
        <w:rPr>
          <w:sz w:val="24"/>
        </w:rPr>
        <w:t>:</w:t>
      </w:r>
    </w:p>
    <w:p w:rsidR="00315DDB" w:rsidRDefault="00315DDB" w:rsidP="00315DDB">
      <w:pPr>
        <w:spacing w:after="0" w:line="360" w:lineRule="auto"/>
        <w:jc w:val="both"/>
        <w:rPr>
          <w:sz w:val="24"/>
        </w:rPr>
      </w:pPr>
      <w:r>
        <w:rPr>
          <w:sz w:val="24"/>
        </w:rPr>
        <w:t>Proč se Marie Filipína nevdávala ve Vídni? Proč zvolili příbuzní raději Salzburg?</w:t>
      </w:r>
    </w:p>
    <w:p w:rsidR="00315DDB" w:rsidRDefault="00315DDB" w:rsidP="00315DDB">
      <w:pPr>
        <w:spacing w:after="0" w:line="360" w:lineRule="auto"/>
        <w:jc w:val="both"/>
        <w:rPr>
          <w:sz w:val="24"/>
        </w:rPr>
      </w:pPr>
      <w:r>
        <w:rPr>
          <w:sz w:val="24"/>
        </w:rPr>
        <w:t>K čemu využívala Marie Filipína služeb agentů? Lišily se nějak jejich funkce od již známých případů agentů?</w:t>
      </w:r>
      <w:bookmarkStart w:id="0" w:name="_GoBack"/>
      <w:bookmarkEnd w:id="0"/>
    </w:p>
    <w:p w:rsidR="0085313E" w:rsidRDefault="0085313E" w:rsidP="0096416F">
      <w:pPr>
        <w:spacing w:after="0" w:line="360" w:lineRule="auto"/>
        <w:ind w:firstLine="709"/>
        <w:jc w:val="both"/>
        <w:rPr>
          <w:sz w:val="24"/>
        </w:rPr>
      </w:pPr>
    </w:p>
    <w:p w:rsidR="0096416F" w:rsidRDefault="0085313E" w:rsidP="0085313E">
      <w:pPr>
        <w:spacing w:after="0" w:line="360" w:lineRule="auto"/>
        <w:jc w:val="both"/>
        <w:rPr>
          <w:sz w:val="24"/>
        </w:rPr>
      </w:pPr>
      <w:r>
        <w:rPr>
          <w:sz w:val="24"/>
        </w:rPr>
        <w:t>Proseč pod Křemešníkem, 5. 7. 2016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doc. Mgr. Jiří Kubeš, Ph.D.</w:t>
      </w:r>
    </w:p>
    <w:p w:rsidR="00315DDB" w:rsidRDefault="00315DDB" w:rsidP="0085313E">
      <w:pPr>
        <w:spacing w:after="0" w:line="360" w:lineRule="auto"/>
        <w:jc w:val="both"/>
        <w:rPr>
          <w:sz w:val="24"/>
        </w:rPr>
      </w:pPr>
    </w:p>
    <w:sectPr w:rsidR="00315D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4B3"/>
    <w:rsid w:val="000724E4"/>
    <w:rsid w:val="00093780"/>
    <w:rsid w:val="000C4C21"/>
    <w:rsid w:val="001F6684"/>
    <w:rsid w:val="00315DDB"/>
    <w:rsid w:val="003D7E17"/>
    <w:rsid w:val="00474E23"/>
    <w:rsid w:val="00694C7F"/>
    <w:rsid w:val="006C44B3"/>
    <w:rsid w:val="0085313E"/>
    <w:rsid w:val="0096416F"/>
    <w:rsid w:val="00B22A06"/>
    <w:rsid w:val="00C70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882</Words>
  <Characters>5205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support_0</cp:lastModifiedBy>
  <cp:revision>7</cp:revision>
  <dcterms:created xsi:type="dcterms:W3CDTF">2016-07-05T08:16:00Z</dcterms:created>
  <dcterms:modified xsi:type="dcterms:W3CDTF">2016-07-05T16:07:00Z</dcterms:modified>
</cp:coreProperties>
</file>