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6C" w:rsidRPr="009B75BF" w:rsidRDefault="00065176" w:rsidP="00065176">
      <w:pPr>
        <w:spacing w:line="360" w:lineRule="auto"/>
        <w:jc w:val="both"/>
        <w:rPr>
          <w:b/>
          <w:i/>
          <w:sz w:val="22"/>
          <w:szCs w:val="22"/>
        </w:rPr>
      </w:pPr>
      <w:r>
        <w:rPr>
          <w:b/>
          <w:sz w:val="22"/>
          <w:szCs w:val="22"/>
        </w:rPr>
        <w:t>Horáčková, Zdeňka,</w:t>
      </w:r>
      <w:r w:rsidR="00763AE3" w:rsidRPr="009B75BF">
        <w:rPr>
          <w:b/>
          <w:sz w:val="22"/>
          <w:szCs w:val="22"/>
        </w:rPr>
        <w:t xml:space="preserve"> </w:t>
      </w:r>
      <w:r w:rsidRPr="00065176">
        <w:rPr>
          <w:b/>
          <w:i/>
          <w:sz w:val="22"/>
          <w:szCs w:val="22"/>
        </w:rPr>
        <w:t>Spor o Piombino a jeho ref</w:t>
      </w:r>
      <w:r>
        <w:rPr>
          <w:b/>
          <w:i/>
          <w:sz w:val="22"/>
          <w:szCs w:val="22"/>
        </w:rPr>
        <w:t xml:space="preserve">lexe na císařském dvoře </w:t>
      </w:r>
      <w:r w:rsidRPr="00065176">
        <w:rPr>
          <w:b/>
          <w:i/>
          <w:sz w:val="22"/>
          <w:szCs w:val="22"/>
        </w:rPr>
        <w:t>v první polovině 17. století</w:t>
      </w:r>
      <w:r w:rsidR="00763AE3" w:rsidRPr="009B75BF">
        <w:rPr>
          <w:b/>
          <w:sz w:val="22"/>
          <w:szCs w:val="22"/>
        </w:rPr>
        <w:t>,</w:t>
      </w:r>
      <w:r w:rsidR="00540BC0" w:rsidRPr="009B75BF">
        <w:rPr>
          <w:b/>
          <w:sz w:val="22"/>
          <w:szCs w:val="22"/>
        </w:rPr>
        <w:t xml:space="preserve"> Pardubice 20</w:t>
      </w:r>
      <w:r w:rsidR="00FB2D72" w:rsidRPr="009B75BF">
        <w:rPr>
          <w:b/>
          <w:sz w:val="22"/>
          <w:szCs w:val="22"/>
        </w:rPr>
        <w:t>2</w:t>
      </w:r>
      <w:r w:rsidR="003A0645" w:rsidRPr="009B75BF">
        <w:rPr>
          <w:b/>
          <w:sz w:val="22"/>
          <w:szCs w:val="22"/>
        </w:rPr>
        <w:t>1</w:t>
      </w:r>
      <w:r w:rsidR="00540BC0" w:rsidRPr="009B75BF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88</w:t>
      </w:r>
      <w:r w:rsidR="00763AE3" w:rsidRPr="009B75BF">
        <w:rPr>
          <w:b/>
          <w:sz w:val="22"/>
          <w:szCs w:val="22"/>
        </w:rPr>
        <w:t xml:space="preserve"> s.</w:t>
      </w:r>
      <w:r w:rsidR="00E07203" w:rsidRPr="009B75BF">
        <w:rPr>
          <w:b/>
          <w:sz w:val="22"/>
          <w:szCs w:val="22"/>
        </w:rPr>
        <w:t xml:space="preserve"> (= </w:t>
      </w:r>
      <w:r w:rsidR="00741B54" w:rsidRPr="009B75BF">
        <w:rPr>
          <w:b/>
          <w:sz w:val="22"/>
          <w:szCs w:val="22"/>
        </w:rPr>
        <w:t>diplomová</w:t>
      </w:r>
      <w:r w:rsidR="00E07203" w:rsidRPr="009B75BF">
        <w:rPr>
          <w:b/>
          <w:sz w:val="22"/>
          <w:szCs w:val="22"/>
        </w:rPr>
        <w:t xml:space="preserve"> práce Ú</w:t>
      </w:r>
      <w:r w:rsidR="00864009" w:rsidRPr="009B75BF">
        <w:rPr>
          <w:b/>
          <w:sz w:val="22"/>
          <w:szCs w:val="22"/>
        </w:rPr>
        <w:t>HV UPCE)</w:t>
      </w:r>
      <w:r w:rsidR="009C1D6C" w:rsidRPr="009B75BF">
        <w:rPr>
          <w:b/>
          <w:sz w:val="22"/>
          <w:szCs w:val="22"/>
        </w:rPr>
        <w:t>.</w:t>
      </w:r>
    </w:p>
    <w:p w:rsidR="009C1D6C" w:rsidRPr="009B75BF" w:rsidRDefault="009C1D6C" w:rsidP="002B4D87">
      <w:pPr>
        <w:spacing w:line="360" w:lineRule="auto"/>
        <w:jc w:val="both"/>
        <w:rPr>
          <w:sz w:val="22"/>
          <w:szCs w:val="22"/>
        </w:rPr>
      </w:pPr>
    </w:p>
    <w:p w:rsidR="009C1D6C" w:rsidRPr="009B75BF" w:rsidRDefault="009C1D6C" w:rsidP="002B4D87">
      <w:pPr>
        <w:spacing w:line="360" w:lineRule="auto"/>
        <w:jc w:val="both"/>
        <w:rPr>
          <w:i/>
          <w:sz w:val="22"/>
          <w:szCs w:val="22"/>
        </w:rPr>
      </w:pPr>
      <w:r w:rsidRPr="009B75BF">
        <w:rPr>
          <w:i/>
          <w:sz w:val="22"/>
          <w:szCs w:val="22"/>
        </w:rPr>
        <w:t xml:space="preserve">Posudek </w:t>
      </w:r>
      <w:r w:rsidR="004C3D7E" w:rsidRPr="009B75BF">
        <w:rPr>
          <w:i/>
          <w:sz w:val="22"/>
          <w:szCs w:val="22"/>
        </w:rPr>
        <w:t>vedoucího</w:t>
      </w:r>
      <w:r w:rsidR="00741B54" w:rsidRPr="009B75BF">
        <w:rPr>
          <w:i/>
          <w:sz w:val="22"/>
          <w:szCs w:val="22"/>
        </w:rPr>
        <w:t xml:space="preserve"> diplomové</w:t>
      </w:r>
      <w:r w:rsidRPr="009B75BF">
        <w:rPr>
          <w:i/>
          <w:sz w:val="22"/>
          <w:szCs w:val="22"/>
        </w:rPr>
        <w:t xml:space="preserve"> práce</w:t>
      </w:r>
    </w:p>
    <w:p w:rsidR="00540BC0" w:rsidRPr="009B75BF" w:rsidRDefault="00540BC0" w:rsidP="002B4D87">
      <w:pPr>
        <w:spacing w:line="360" w:lineRule="auto"/>
        <w:jc w:val="both"/>
        <w:rPr>
          <w:i/>
          <w:sz w:val="22"/>
          <w:szCs w:val="22"/>
        </w:rPr>
      </w:pPr>
    </w:p>
    <w:p w:rsidR="007C0AFD" w:rsidRPr="009B75BF" w:rsidRDefault="007C0AFD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Volba tématu, originalita</w:t>
      </w:r>
    </w:p>
    <w:p w:rsidR="00EE2E06" w:rsidRDefault="00F16B08" w:rsidP="00C109E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Dějiny říšských lén na Apeninském poloostrově doby raného novověku nepatří k obvyklým tématům českých historiků, natožpak studentů navazujícího magisterského programu. Raně novověká Itálie lákala pozornost </w:t>
      </w:r>
      <w:r w:rsidR="00CC11F0">
        <w:rPr>
          <w:sz w:val="22"/>
          <w:szCs w:val="22"/>
        </w:rPr>
        <w:t>badatelů</w:t>
      </w:r>
      <w:r>
        <w:rPr>
          <w:sz w:val="22"/>
          <w:szCs w:val="22"/>
        </w:rPr>
        <w:t xml:space="preserve"> hlavně jako kolébka renesance (J. Macek, J. Pánek, V. Vlnas)  i nejběžnější cíl kavalírských cest českých šlechticů (Z. Hojda, J. Kubeš). </w:t>
      </w:r>
      <w:r w:rsidR="00EE2E06">
        <w:rPr>
          <w:sz w:val="22"/>
          <w:szCs w:val="22"/>
        </w:rPr>
        <w:t>Č</w:t>
      </w:r>
      <w:r>
        <w:rPr>
          <w:sz w:val="22"/>
          <w:szCs w:val="22"/>
        </w:rPr>
        <w:t xml:space="preserve">ást </w:t>
      </w:r>
      <w:r w:rsidR="00CC11F0">
        <w:rPr>
          <w:sz w:val="22"/>
          <w:szCs w:val="22"/>
        </w:rPr>
        <w:t>vědc</w:t>
      </w:r>
      <w:r>
        <w:rPr>
          <w:sz w:val="22"/>
          <w:szCs w:val="22"/>
        </w:rPr>
        <w:t xml:space="preserve">ů se </w:t>
      </w:r>
      <w:r w:rsidR="00EE2E06">
        <w:rPr>
          <w:sz w:val="22"/>
          <w:szCs w:val="22"/>
        </w:rPr>
        <w:t xml:space="preserve">pak </w:t>
      </w:r>
      <w:r>
        <w:rPr>
          <w:sz w:val="22"/>
          <w:szCs w:val="22"/>
        </w:rPr>
        <w:t>ve svých pracích věnovala papežské diplomacii (A. Pazderová, T. Černušák</w:t>
      </w:r>
      <w:r w:rsidR="00C109E9">
        <w:rPr>
          <w:sz w:val="22"/>
          <w:szCs w:val="22"/>
        </w:rPr>
        <w:t>,</w:t>
      </w:r>
      <w:r w:rsidR="00C109E9" w:rsidRPr="00C109E9">
        <w:rPr>
          <w:sz w:val="22"/>
          <w:szCs w:val="22"/>
        </w:rPr>
        <w:t xml:space="preserve"> </w:t>
      </w:r>
      <w:r w:rsidR="00C109E9">
        <w:rPr>
          <w:sz w:val="22"/>
          <w:szCs w:val="22"/>
        </w:rPr>
        <w:t>T. Parma</w:t>
      </w:r>
      <w:r>
        <w:rPr>
          <w:sz w:val="22"/>
          <w:szCs w:val="22"/>
        </w:rPr>
        <w:t xml:space="preserve">), italské literatuře v českých šlechtických knihovnách (V. Grubhoffer) či sňatkovým aliancím spojujícím příslušníky českých a italských urozených rodů (J. Janáček, P. Maťa, P. Marek). </w:t>
      </w:r>
    </w:p>
    <w:p w:rsidR="006264C4" w:rsidRDefault="006264C4" w:rsidP="00C109E9">
      <w:pPr>
        <w:spacing w:line="360" w:lineRule="auto"/>
        <w:jc w:val="both"/>
        <w:rPr>
          <w:sz w:val="22"/>
          <w:szCs w:val="22"/>
        </w:rPr>
      </w:pPr>
    </w:p>
    <w:p w:rsidR="00C109E9" w:rsidRDefault="00F16B08" w:rsidP="00C109E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Spis Zdeňky Horáčkové je </w:t>
      </w:r>
      <w:r w:rsidR="00CC11F0">
        <w:rPr>
          <w:sz w:val="22"/>
          <w:szCs w:val="22"/>
        </w:rPr>
        <w:t>svým zaměřením</w:t>
      </w:r>
      <w:r>
        <w:rPr>
          <w:sz w:val="22"/>
          <w:szCs w:val="22"/>
        </w:rPr>
        <w:t xml:space="preserve"> </w:t>
      </w:r>
      <w:r w:rsidR="00EE2E06">
        <w:rPr>
          <w:sz w:val="22"/>
          <w:szCs w:val="22"/>
        </w:rPr>
        <w:t xml:space="preserve">na dějiny říšské Itálie </w:t>
      </w:r>
      <w:r>
        <w:rPr>
          <w:sz w:val="22"/>
          <w:szCs w:val="22"/>
        </w:rPr>
        <w:t xml:space="preserve">v domácí historiografii doslova </w:t>
      </w:r>
      <w:r w:rsidR="00EE2E06">
        <w:rPr>
          <w:sz w:val="22"/>
          <w:szCs w:val="22"/>
        </w:rPr>
        <w:t>ojedinělý</w:t>
      </w:r>
      <w:r>
        <w:rPr>
          <w:sz w:val="22"/>
          <w:szCs w:val="22"/>
        </w:rPr>
        <w:t>m počinem</w:t>
      </w:r>
      <w:r w:rsidR="00EE2E06">
        <w:rPr>
          <w:sz w:val="22"/>
          <w:szCs w:val="22"/>
        </w:rPr>
        <w:t>, což ovšem neznamená, že</w:t>
      </w:r>
      <w:r w:rsidR="000D7788">
        <w:rPr>
          <w:sz w:val="22"/>
          <w:szCs w:val="22"/>
        </w:rPr>
        <w:t xml:space="preserve"> by šlo</w:t>
      </w:r>
      <w:r w:rsidR="00C109E9">
        <w:rPr>
          <w:sz w:val="22"/>
          <w:szCs w:val="22"/>
        </w:rPr>
        <w:t xml:space="preserve"> o problematiku</w:t>
      </w:r>
      <w:r w:rsidR="00EE2E06">
        <w:rPr>
          <w:sz w:val="22"/>
          <w:szCs w:val="22"/>
        </w:rPr>
        <w:t xml:space="preserve"> nedůležitou, vzdálenou či dokonce okrajovou</w:t>
      </w:r>
      <w:r w:rsidR="00C109E9">
        <w:rPr>
          <w:sz w:val="22"/>
          <w:szCs w:val="22"/>
        </w:rPr>
        <w:t>. P</w:t>
      </w:r>
      <w:r w:rsidR="00EE2E06">
        <w:rPr>
          <w:sz w:val="22"/>
          <w:szCs w:val="22"/>
        </w:rPr>
        <w:t>ředložen</w:t>
      </w:r>
      <w:r w:rsidR="00E66FCB">
        <w:rPr>
          <w:sz w:val="22"/>
          <w:szCs w:val="22"/>
        </w:rPr>
        <w:t>á</w:t>
      </w:r>
      <w:r w:rsidR="00EE2E06">
        <w:rPr>
          <w:sz w:val="22"/>
          <w:szCs w:val="22"/>
        </w:rPr>
        <w:t xml:space="preserve"> p</w:t>
      </w:r>
      <w:r w:rsidR="00C109E9">
        <w:rPr>
          <w:sz w:val="22"/>
          <w:szCs w:val="22"/>
        </w:rPr>
        <w:t>rác</w:t>
      </w:r>
      <w:r w:rsidR="00E66FCB">
        <w:rPr>
          <w:sz w:val="22"/>
          <w:szCs w:val="22"/>
        </w:rPr>
        <w:t>e</w:t>
      </w:r>
      <w:r w:rsidR="00EE2E06">
        <w:rPr>
          <w:sz w:val="22"/>
          <w:szCs w:val="22"/>
        </w:rPr>
        <w:t>, v níž se autorka</w:t>
      </w:r>
      <w:r w:rsidR="00C109E9">
        <w:rPr>
          <w:sz w:val="22"/>
          <w:szCs w:val="22"/>
        </w:rPr>
        <w:t xml:space="preserve"> </w:t>
      </w:r>
      <w:r w:rsidR="00EE2E06">
        <w:rPr>
          <w:sz w:val="22"/>
          <w:szCs w:val="22"/>
        </w:rPr>
        <w:t>rozhodla představit</w:t>
      </w:r>
      <w:r w:rsidR="00C109E9">
        <w:rPr>
          <w:sz w:val="22"/>
          <w:szCs w:val="22"/>
        </w:rPr>
        <w:t xml:space="preserve"> spor o italské knížectví Piombino</w:t>
      </w:r>
      <w:r w:rsidR="00EE2E06">
        <w:rPr>
          <w:sz w:val="22"/>
          <w:szCs w:val="22"/>
        </w:rPr>
        <w:t>,</w:t>
      </w:r>
      <w:r w:rsidR="00C109E9">
        <w:rPr>
          <w:sz w:val="22"/>
          <w:szCs w:val="22"/>
        </w:rPr>
        <w:t xml:space="preserve"> </w:t>
      </w:r>
      <w:r w:rsidR="00E66FCB">
        <w:rPr>
          <w:sz w:val="22"/>
          <w:szCs w:val="22"/>
        </w:rPr>
        <w:t>s</w:t>
      </w:r>
      <w:r w:rsidR="00C109E9">
        <w:rPr>
          <w:sz w:val="22"/>
          <w:szCs w:val="22"/>
        </w:rPr>
        <w:t xml:space="preserve">e naopak </w:t>
      </w:r>
      <w:r w:rsidR="00E66FCB">
        <w:rPr>
          <w:sz w:val="22"/>
          <w:szCs w:val="22"/>
        </w:rPr>
        <w:t xml:space="preserve">úzce dotýká hned několika badatelských problémů, které jsou v současné evropské historiografii často skloňovaným předmětem </w:t>
      </w:r>
      <w:r w:rsidR="00813166">
        <w:rPr>
          <w:sz w:val="22"/>
          <w:szCs w:val="22"/>
        </w:rPr>
        <w:t xml:space="preserve">učených </w:t>
      </w:r>
      <w:r w:rsidR="00E66FCB">
        <w:rPr>
          <w:sz w:val="22"/>
          <w:szCs w:val="22"/>
        </w:rPr>
        <w:t>debat. Patří k nim například</w:t>
      </w:r>
      <w:r w:rsidR="00C109E9">
        <w:rPr>
          <w:sz w:val="22"/>
          <w:szCs w:val="22"/>
        </w:rPr>
        <w:t xml:space="preserve"> </w:t>
      </w:r>
      <w:r w:rsidR="00CA2F7A">
        <w:rPr>
          <w:sz w:val="22"/>
          <w:szCs w:val="22"/>
        </w:rPr>
        <w:t>charakter</w:t>
      </w:r>
      <w:r w:rsidR="00C109E9">
        <w:rPr>
          <w:sz w:val="22"/>
          <w:szCs w:val="22"/>
        </w:rPr>
        <w:t xml:space="preserve"> vztahů mezi rakouskou a španělskou větví habsburské dynastie</w:t>
      </w:r>
      <w:r w:rsidR="00E66FCB">
        <w:rPr>
          <w:sz w:val="22"/>
          <w:szCs w:val="22"/>
        </w:rPr>
        <w:t xml:space="preserve">. Stať Zdeňky Horáčkové nahlíží tyto vazby pod zcela novou optikou a </w:t>
      </w:r>
      <w:r w:rsidR="00AA0555">
        <w:rPr>
          <w:sz w:val="22"/>
          <w:szCs w:val="22"/>
        </w:rPr>
        <w:t>potvr</w:t>
      </w:r>
      <w:r w:rsidR="00E66FCB">
        <w:rPr>
          <w:sz w:val="22"/>
          <w:szCs w:val="22"/>
        </w:rPr>
        <w:t xml:space="preserve">zuje, že </w:t>
      </w:r>
      <w:r w:rsidR="00AA0555">
        <w:rPr>
          <w:sz w:val="22"/>
          <w:szCs w:val="22"/>
        </w:rPr>
        <w:t>ve vztahu k</w:t>
      </w:r>
      <w:r w:rsidR="00E66FCB">
        <w:rPr>
          <w:sz w:val="22"/>
          <w:szCs w:val="22"/>
        </w:rPr>
        <w:t xml:space="preserve"> Apeninském</w:t>
      </w:r>
      <w:r w:rsidR="00AA0555">
        <w:rPr>
          <w:sz w:val="22"/>
          <w:szCs w:val="22"/>
        </w:rPr>
        <w:t>u</w:t>
      </w:r>
      <w:r w:rsidR="00E66FCB">
        <w:rPr>
          <w:sz w:val="22"/>
          <w:szCs w:val="22"/>
        </w:rPr>
        <w:t xml:space="preserve"> poloostrov</w:t>
      </w:r>
      <w:r w:rsidR="00AA0555">
        <w:rPr>
          <w:sz w:val="22"/>
          <w:szCs w:val="22"/>
        </w:rPr>
        <w:t>u</w:t>
      </w:r>
      <w:r w:rsidR="00E66FCB">
        <w:rPr>
          <w:sz w:val="22"/>
          <w:szCs w:val="22"/>
        </w:rPr>
        <w:t xml:space="preserve"> </w:t>
      </w:r>
      <w:r w:rsidR="00AA0555">
        <w:rPr>
          <w:sz w:val="22"/>
          <w:szCs w:val="22"/>
        </w:rPr>
        <w:t>se</w:t>
      </w:r>
      <w:r w:rsidR="00E66FCB">
        <w:rPr>
          <w:sz w:val="22"/>
          <w:szCs w:val="22"/>
        </w:rPr>
        <w:t xml:space="preserve"> </w:t>
      </w:r>
      <w:r w:rsidR="00AA0555">
        <w:rPr>
          <w:sz w:val="22"/>
          <w:szCs w:val="22"/>
        </w:rPr>
        <w:t xml:space="preserve">zájmy císaře a katolického krále ubíraly zcela opačným směrem, než by se vzhledem k proklamované jednotě </w:t>
      </w:r>
      <w:r w:rsidR="00E66FCB">
        <w:rPr>
          <w:sz w:val="22"/>
          <w:szCs w:val="22"/>
        </w:rPr>
        <w:t xml:space="preserve">rakouského domu </w:t>
      </w:r>
      <w:r w:rsidR="00AA0555">
        <w:rPr>
          <w:sz w:val="22"/>
          <w:szCs w:val="22"/>
        </w:rPr>
        <w:t xml:space="preserve">mohlo očekávat. Předložený rukopis však přináší rovněž zajímavé informace o </w:t>
      </w:r>
      <w:r w:rsidR="00CA2F7A">
        <w:rPr>
          <w:sz w:val="22"/>
          <w:szCs w:val="22"/>
        </w:rPr>
        <w:t xml:space="preserve">fungování </w:t>
      </w:r>
      <w:r w:rsidR="000D7788">
        <w:rPr>
          <w:sz w:val="22"/>
          <w:szCs w:val="22"/>
        </w:rPr>
        <w:t xml:space="preserve">mechanismu </w:t>
      </w:r>
      <w:r w:rsidR="00CA2F7A">
        <w:rPr>
          <w:sz w:val="22"/>
          <w:szCs w:val="22"/>
        </w:rPr>
        <w:t xml:space="preserve">raně novověkých </w:t>
      </w:r>
      <w:r w:rsidR="000D7788">
        <w:rPr>
          <w:sz w:val="22"/>
          <w:szCs w:val="22"/>
        </w:rPr>
        <w:t xml:space="preserve">klientských sítí. </w:t>
      </w:r>
      <w:r w:rsidR="00AA0555">
        <w:rPr>
          <w:sz w:val="22"/>
          <w:szCs w:val="22"/>
        </w:rPr>
        <w:t>Pro českou historiografii je její příspěvek o to cennější, neboť analyzuje</w:t>
      </w:r>
      <w:r w:rsidR="00CA2F7A">
        <w:rPr>
          <w:sz w:val="22"/>
          <w:szCs w:val="22"/>
        </w:rPr>
        <w:t xml:space="preserve"> dvě nejrozsáhlejší sítě budované představiteli raně novověké šlechty</w:t>
      </w:r>
      <w:r w:rsidR="00A95DBF">
        <w:rPr>
          <w:sz w:val="22"/>
          <w:szCs w:val="22"/>
        </w:rPr>
        <w:t xml:space="preserve"> z českých zemí</w:t>
      </w:r>
      <w:r w:rsidR="00CA2F7A">
        <w:rPr>
          <w:sz w:val="22"/>
          <w:szCs w:val="22"/>
        </w:rPr>
        <w:t xml:space="preserve">: síť pernštejnsko-lobkowiczkou a </w:t>
      </w:r>
      <w:r w:rsidR="00A95DBF">
        <w:rPr>
          <w:sz w:val="22"/>
          <w:szCs w:val="22"/>
        </w:rPr>
        <w:t xml:space="preserve">síť </w:t>
      </w:r>
      <w:r w:rsidR="00CA2F7A">
        <w:rPr>
          <w:sz w:val="22"/>
          <w:szCs w:val="22"/>
        </w:rPr>
        <w:t xml:space="preserve">ditrichštejnskou. </w:t>
      </w:r>
      <w:r w:rsidR="000D7788">
        <w:rPr>
          <w:sz w:val="22"/>
          <w:szCs w:val="22"/>
        </w:rPr>
        <w:t xml:space="preserve">Stať Zdeňky Horáčkové je </w:t>
      </w:r>
      <w:r w:rsidR="00CA2F7A">
        <w:rPr>
          <w:sz w:val="22"/>
          <w:szCs w:val="22"/>
        </w:rPr>
        <w:t>tak</w:t>
      </w:r>
      <w:r w:rsidR="00C109E9">
        <w:rPr>
          <w:sz w:val="22"/>
          <w:szCs w:val="22"/>
        </w:rPr>
        <w:t xml:space="preserve"> </w:t>
      </w:r>
      <w:r w:rsidR="00CA2F7A">
        <w:rPr>
          <w:sz w:val="22"/>
          <w:szCs w:val="22"/>
        </w:rPr>
        <w:t>doslova modelový</w:t>
      </w:r>
      <w:r w:rsidR="00C109E9">
        <w:rPr>
          <w:sz w:val="22"/>
          <w:szCs w:val="22"/>
        </w:rPr>
        <w:t>m příkladem tématu propojujícího národní</w:t>
      </w:r>
      <w:r w:rsidR="00CA2F7A">
        <w:rPr>
          <w:sz w:val="22"/>
          <w:szCs w:val="22"/>
        </w:rPr>
        <w:t xml:space="preserve"> historii</w:t>
      </w:r>
      <w:r w:rsidR="00C109E9">
        <w:rPr>
          <w:sz w:val="22"/>
          <w:szCs w:val="22"/>
        </w:rPr>
        <w:t xml:space="preserve"> s dějinami obecnými, tématu, které </w:t>
      </w:r>
      <w:r w:rsidR="00C109E9" w:rsidRPr="00F16B08">
        <w:rPr>
          <w:sz w:val="22"/>
          <w:szCs w:val="22"/>
        </w:rPr>
        <w:t>může vtáhno</w:t>
      </w:r>
      <w:r w:rsidR="00C109E9">
        <w:rPr>
          <w:sz w:val="22"/>
          <w:szCs w:val="22"/>
        </w:rPr>
        <w:t xml:space="preserve">ut badatele z českého prostředí </w:t>
      </w:r>
      <w:r w:rsidR="00C109E9" w:rsidRPr="00F16B08">
        <w:rPr>
          <w:sz w:val="22"/>
          <w:szCs w:val="22"/>
        </w:rPr>
        <w:t xml:space="preserve">do </w:t>
      </w:r>
      <w:r w:rsidR="00CA2F7A">
        <w:rPr>
          <w:sz w:val="22"/>
          <w:szCs w:val="22"/>
        </w:rPr>
        <w:t>dějů</w:t>
      </w:r>
      <w:r w:rsidR="00C109E9" w:rsidRPr="00F16B08">
        <w:rPr>
          <w:sz w:val="22"/>
          <w:szCs w:val="22"/>
        </w:rPr>
        <w:t xml:space="preserve"> vzdálených evropských končin</w:t>
      </w:r>
      <w:r w:rsidR="00C109E9">
        <w:rPr>
          <w:sz w:val="22"/>
          <w:szCs w:val="22"/>
        </w:rPr>
        <w:t xml:space="preserve">. </w:t>
      </w:r>
    </w:p>
    <w:p w:rsidR="00F16B08" w:rsidRDefault="00F16B08" w:rsidP="002B4D87">
      <w:pPr>
        <w:spacing w:line="360" w:lineRule="auto"/>
        <w:jc w:val="both"/>
        <w:rPr>
          <w:sz w:val="22"/>
          <w:szCs w:val="22"/>
        </w:rPr>
      </w:pPr>
    </w:p>
    <w:p w:rsidR="00F16B08" w:rsidRDefault="00F16B08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741B54" w:rsidRPr="009B75BF" w:rsidRDefault="00741B54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Práce s</w:t>
      </w:r>
      <w:r w:rsidR="005C0193">
        <w:rPr>
          <w:b/>
          <w:sz w:val="22"/>
          <w:szCs w:val="22"/>
        </w:rPr>
        <w:t> </w:t>
      </w:r>
      <w:r w:rsidRPr="009B75BF">
        <w:rPr>
          <w:b/>
          <w:sz w:val="22"/>
          <w:szCs w:val="22"/>
        </w:rPr>
        <w:t>prameny</w:t>
      </w:r>
      <w:r w:rsidR="005C0193">
        <w:rPr>
          <w:b/>
          <w:sz w:val="22"/>
          <w:szCs w:val="22"/>
        </w:rPr>
        <w:t xml:space="preserve"> a literaturou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8E6461" w:rsidRDefault="007C0AFD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Pramennou základnu, o níž se předložená diplomová práce opírá, tvoří </w:t>
      </w:r>
      <w:r w:rsidR="00F16B08">
        <w:rPr>
          <w:sz w:val="22"/>
          <w:szCs w:val="22"/>
        </w:rPr>
        <w:t>především ital</w:t>
      </w:r>
      <w:r w:rsidR="00BF5ED5" w:rsidRPr="009B75BF">
        <w:rPr>
          <w:sz w:val="22"/>
          <w:szCs w:val="22"/>
        </w:rPr>
        <w:t>sky</w:t>
      </w:r>
      <w:r w:rsidR="00EE7806" w:rsidRPr="009B75BF">
        <w:rPr>
          <w:sz w:val="22"/>
          <w:szCs w:val="22"/>
        </w:rPr>
        <w:t xml:space="preserve"> psané dopisy, které </w:t>
      </w:r>
      <w:r w:rsidR="00F16B08">
        <w:rPr>
          <w:sz w:val="22"/>
          <w:szCs w:val="22"/>
        </w:rPr>
        <w:t>Františkovi z Ditrichštejna zas</w:t>
      </w:r>
      <w:r w:rsidR="005C0193">
        <w:rPr>
          <w:sz w:val="22"/>
          <w:szCs w:val="22"/>
        </w:rPr>
        <w:t>í</w:t>
      </w:r>
      <w:r w:rsidR="00F16B08">
        <w:rPr>
          <w:sz w:val="22"/>
          <w:szCs w:val="22"/>
        </w:rPr>
        <w:t>lala</w:t>
      </w:r>
      <w:r w:rsidR="005C0193">
        <w:rPr>
          <w:sz w:val="22"/>
          <w:szCs w:val="22"/>
        </w:rPr>
        <w:t xml:space="preserve"> v letech 1617-31 Isabella Gonzaga, kněžna ze Stigliana</w:t>
      </w:r>
      <w:r w:rsidR="00BF5ED5" w:rsidRPr="009B75BF">
        <w:rPr>
          <w:sz w:val="22"/>
          <w:szCs w:val="22"/>
        </w:rPr>
        <w:t xml:space="preserve">. </w:t>
      </w:r>
      <w:r w:rsidR="00EC1EDB" w:rsidRPr="009B75BF">
        <w:rPr>
          <w:sz w:val="22"/>
          <w:szCs w:val="22"/>
        </w:rPr>
        <w:t>Ty</w:t>
      </w:r>
      <w:r w:rsidR="00B71AB9" w:rsidRPr="009B75BF">
        <w:rPr>
          <w:sz w:val="22"/>
          <w:szCs w:val="22"/>
        </w:rPr>
        <w:t xml:space="preserve"> jsou uloženy v Rodinném archivu </w:t>
      </w:r>
      <w:r w:rsidR="005C0193">
        <w:rPr>
          <w:sz w:val="22"/>
          <w:szCs w:val="22"/>
        </w:rPr>
        <w:t>Ditrichštejnů v Moravském zemském archivu v Brně</w:t>
      </w:r>
      <w:r w:rsidR="00EC1EDB" w:rsidRPr="009B75BF">
        <w:rPr>
          <w:sz w:val="22"/>
          <w:szCs w:val="22"/>
        </w:rPr>
        <w:t xml:space="preserve"> (</w:t>
      </w:r>
      <w:r w:rsidR="005C0193">
        <w:rPr>
          <w:sz w:val="22"/>
          <w:szCs w:val="22"/>
        </w:rPr>
        <w:t>sign. G140</w:t>
      </w:r>
      <w:r w:rsidR="00EC1EDB" w:rsidRPr="009B75BF">
        <w:rPr>
          <w:sz w:val="22"/>
          <w:szCs w:val="22"/>
        </w:rPr>
        <w:t>)</w:t>
      </w:r>
      <w:r w:rsidR="00B71AB9" w:rsidRPr="009B75BF">
        <w:rPr>
          <w:sz w:val="22"/>
          <w:szCs w:val="22"/>
        </w:rPr>
        <w:t>.</w:t>
      </w:r>
      <w:r w:rsidR="00EC1EDB" w:rsidRPr="009B75BF">
        <w:rPr>
          <w:sz w:val="22"/>
          <w:szCs w:val="22"/>
        </w:rPr>
        <w:t xml:space="preserve"> </w:t>
      </w:r>
      <w:r w:rsidR="005C0193">
        <w:rPr>
          <w:sz w:val="22"/>
          <w:szCs w:val="22"/>
        </w:rPr>
        <w:t>Jejich výpovědi Zdeňka Horáčková velice citlivě zasadila do kontextu dosavadního bádání o dějinách Piombina</w:t>
      </w:r>
      <w:r w:rsidR="00CE4313">
        <w:rPr>
          <w:sz w:val="22"/>
          <w:szCs w:val="22"/>
        </w:rPr>
        <w:t xml:space="preserve">. Přestože dlouholetý diplomatický konflikt o obsazení strategicky důležité oblasti umožňující kontrolu nad toskánským pobřežím i plavbou Tyrhénským mořem nalezl bohatou reflexi v italské </w:t>
      </w:r>
      <w:r w:rsidR="00CE4313">
        <w:rPr>
          <w:sz w:val="22"/>
          <w:szCs w:val="22"/>
        </w:rPr>
        <w:lastRenderedPageBreak/>
        <w:t xml:space="preserve">historiografii i v dílech některých středoevropských historiků (např. M. Schnettger), dopisy Isabelly Gonzagové </w:t>
      </w:r>
      <w:r w:rsidR="008E6461">
        <w:rPr>
          <w:sz w:val="22"/>
          <w:szCs w:val="22"/>
        </w:rPr>
        <w:t>analyzované Zdeňkou Horáčkovou</w:t>
      </w:r>
      <w:r w:rsidR="00CE4313">
        <w:rPr>
          <w:sz w:val="22"/>
          <w:szCs w:val="22"/>
        </w:rPr>
        <w:t xml:space="preserve"> vn</w:t>
      </w:r>
      <w:r w:rsidR="008E6461">
        <w:rPr>
          <w:sz w:val="22"/>
          <w:szCs w:val="22"/>
        </w:rPr>
        <w:t>e</w:t>
      </w:r>
      <w:r w:rsidR="00CE4313">
        <w:rPr>
          <w:sz w:val="22"/>
          <w:szCs w:val="22"/>
        </w:rPr>
        <w:t>s</w:t>
      </w:r>
      <w:r w:rsidR="008E6461">
        <w:rPr>
          <w:sz w:val="22"/>
          <w:szCs w:val="22"/>
        </w:rPr>
        <w:t>ly</w:t>
      </w:r>
      <w:r w:rsidR="00CE4313">
        <w:rPr>
          <w:sz w:val="22"/>
          <w:szCs w:val="22"/>
        </w:rPr>
        <w:t xml:space="preserve"> do celé </w:t>
      </w:r>
      <w:r w:rsidR="008E6461">
        <w:rPr>
          <w:sz w:val="22"/>
          <w:szCs w:val="22"/>
        </w:rPr>
        <w:t>záležitosti</w:t>
      </w:r>
      <w:r w:rsidR="00CE4313">
        <w:rPr>
          <w:sz w:val="22"/>
          <w:szCs w:val="22"/>
        </w:rPr>
        <w:t xml:space="preserve"> </w:t>
      </w:r>
      <w:r w:rsidR="008E6461">
        <w:rPr>
          <w:sz w:val="22"/>
          <w:szCs w:val="22"/>
        </w:rPr>
        <w:t>zcela nové světlo. Přináší totiž jedinečné svědectví o tom, že se o vládu nad Piombinem ve dvacátých letech 17. století ucházeli nejen v literatuře známí pretendenti Carlo Appiani a s Pernštejny spřízněná Isabella Appiani, vévodkyně z Bracciana, nýbrž též Isabella Gonzaga, kněžna ze Stigliana. O jejích domnělých nárocích na Piombino či aktivitě, kterou vynakládala, aby toto území získala, přitom není v dosavadní literatuře jediná zmínka.</w:t>
      </w:r>
    </w:p>
    <w:p w:rsidR="006264C4" w:rsidRDefault="006264C4" w:rsidP="002B4D87">
      <w:pPr>
        <w:spacing w:line="360" w:lineRule="auto"/>
        <w:jc w:val="both"/>
        <w:rPr>
          <w:sz w:val="22"/>
          <w:szCs w:val="22"/>
        </w:rPr>
      </w:pPr>
    </w:p>
    <w:p w:rsidR="00763F5F" w:rsidRDefault="008E6461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diplomové práce se </w:t>
      </w:r>
      <w:r w:rsidR="006264C4">
        <w:rPr>
          <w:sz w:val="22"/>
          <w:szCs w:val="22"/>
        </w:rPr>
        <w:t>navíc</w:t>
      </w:r>
      <w:r w:rsidR="00763F5F">
        <w:rPr>
          <w:sz w:val="22"/>
          <w:szCs w:val="22"/>
        </w:rPr>
        <w:t xml:space="preserve"> </w:t>
      </w:r>
      <w:r>
        <w:rPr>
          <w:sz w:val="22"/>
          <w:szCs w:val="22"/>
        </w:rPr>
        <w:t>neomezila pouze na</w:t>
      </w:r>
      <w:r w:rsidR="00763F5F">
        <w:rPr>
          <w:sz w:val="22"/>
          <w:szCs w:val="22"/>
        </w:rPr>
        <w:t xml:space="preserve"> studium pramenů v Moravském zemském archivu v Brně. Po stopách konfliktu o Piombino se vydala též do rakouského </w:t>
      </w:r>
      <w:r w:rsidR="00813166">
        <w:rPr>
          <w:sz w:val="22"/>
          <w:szCs w:val="22"/>
        </w:rPr>
        <w:t>státního</w:t>
      </w:r>
      <w:r w:rsidR="00763F5F">
        <w:rPr>
          <w:sz w:val="22"/>
          <w:szCs w:val="22"/>
        </w:rPr>
        <w:t xml:space="preserve"> archivu ve Vídni (</w:t>
      </w:r>
      <w:r w:rsidR="00813166">
        <w:rPr>
          <w:sz w:val="22"/>
          <w:szCs w:val="22"/>
        </w:rPr>
        <w:t xml:space="preserve">ÖStA - </w:t>
      </w:r>
      <w:r w:rsidR="00763F5F">
        <w:rPr>
          <w:sz w:val="22"/>
          <w:szCs w:val="22"/>
        </w:rPr>
        <w:t>HHStA, Kleine Staaten) a v digitální podobě studovala též korespondenci Orsiniů uloženou v University of California v Los Angeles.</w:t>
      </w:r>
    </w:p>
    <w:p w:rsidR="006264C4" w:rsidRDefault="006264C4" w:rsidP="002B4D87">
      <w:pPr>
        <w:spacing w:line="360" w:lineRule="auto"/>
        <w:jc w:val="both"/>
        <w:rPr>
          <w:sz w:val="22"/>
          <w:szCs w:val="22"/>
        </w:rPr>
      </w:pPr>
    </w:p>
    <w:p w:rsidR="0046795D" w:rsidRPr="009B75BF" w:rsidRDefault="00763F5F" w:rsidP="00B94AE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Autorčiny mimořádné jazykové schopnosti odráží rovněž seznam bibliografie, ve kterém logicky převládají cizojazyčné tituly. Vedle italských pracovala též s německy, anglicky a španělsky psanými texty. </w:t>
      </w:r>
      <w:r w:rsidR="00B94AE5">
        <w:rPr>
          <w:sz w:val="22"/>
          <w:szCs w:val="22"/>
        </w:rPr>
        <w:t xml:space="preserve">Horáčková </w:t>
      </w:r>
      <w:r w:rsidR="00391414" w:rsidRPr="009B75BF">
        <w:rPr>
          <w:sz w:val="22"/>
          <w:szCs w:val="22"/>
        </w:rPr>
        <w:t xml:space="preserve">tyto tituly nejen cituje, nýbrž </w:t>
      </w:r>
      <w:r w:rsidR="00EE7806" w:rsidRPr="009B75BF">
        <w:rPr>
          <w:sz w:val="22"/>
          <w:szCs w:val="22"/>
        </w:rPr>
        <w:t xml:space="preserve">na </w:t>
      </w:r>
      <w:r w:rsidR="00391414" w:rsidRPr="009B75BF">
        <w:rPr>
          <w:sz w:val="22"/>
          <w:szCs w:val="22"/>
        </w:rPr>
        <w:t>jejich vý</w:t>
      </w:r>
      <w:r w:rsidR="0046795D" w:rsidRPr="009B75BF">
        <w:rPr>
          <w:sz w:val="22"/>
          <w:szCs w:val="22"/>
        </w:rPr>
        <w:t>sledky v</w:t>
      </w:r>
      <w:r w:rsidR="00EE7806" w:rsidRPr="009B75BF">
        <w:rPr>
          <w:sz w:val="22"/>
          <w:szCs w:val="22"/>
        </w:rPr>
        <w:t>e</w:t>
      </w:r>
      <w:r w:rsidR="0046795D" w:rsidRPr="009B75BF">
        <w:rPr>
          <w:sz w:val="22"/>
          <w:szCs w:val="22"/>
        </w:rPr>
        <w:t> </w:t>
      </w:r>
      <w:r w:rsidR="00EE7806" w:rsidRPr="009B75BF">
        <w:rPr>
          <w:sz w:val="22"/>
          <w:szCs w:val="22"/>
        </w:rPr>
        <w:t>své stati navazuje</w:t>
      </w:r>
      <w:r w:rsidR="0046795D" w:rsidRPr="009B75BF">
        <w:rPr>
          <w:sz w:val="22"/>
          <w:szCs w:val="22"/>
        </w:rPr>
        <w:t xml:space="preserve"> a využívá je k posilování vlastní argumentace a k vytváření hypotéz.</w:t>
      </w:r>
    </w:p>
    <w:p w:rsidR="003643D5" w:rsidRPr="009B75BF" w:rsidRDefault="003643D5" w:rsidP="002B4D87">
      <w:pPr>
        <w:spacing w:line="360" w:lineRule="auto"/>
        <w:jc w:val="both"/>
        <w:rPr>
          <w:sz w:val="22"/>
          <w:szCs w:val="22"/>
        </w:rPr>
      </w:pPr>
    </w:p>
    <w:p w:rsidR="003643D5" w:rsidRPr="009B75BF" w:rsidRDefault="003643D5" w:rsidP="002B4D87">
      <w:pPr>
        <w:spacing w:line="360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Struktura, metoda, interpretace</w:t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  <w:r w:rsidRPr="009B75BF">
        <w:rPr>
          <w:b/>
          <w:sz w:val="22"/>
          <w:szCs w:val="22"/>
        </w:rPr>
        <w:tab/>
      </w:r>
    </w:p>
    <w:p w:rsidR="00CA66C0" w:rsidRDefault="003643D5" w:rsidP="006264C4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>P</w:t>
      </w:r>
      <w:r w:rsidR="00C94B7A" w:rsidRPr="009B75BF">
        <w:rPr>
          <w:sz w:val="22"/>
          <w:szCs w:val="22"/>
        </w:rPr>
        <w:t>ředložená diplomová p</w:t>
      </w:r>
      <w:r w:rsidRPr="009B75BF">
        <w:rPr>
          <w:sz w:val="22"/>
          <w:szCs w:val="22"/>
        </w:rPr>
        <w:t xml:space="preserve">ráce </w:t>
      </w:r>
      <w:r w:rsidR="00C94B7A" w:rsidRPr="009B75BF">
        <w:rPr>
          <w:sz w:val="22"/>
          <w:szCs w:val="22"/>
        </w:rPr>
        <w:t xml:space="preserve">má logickou strukturu. </w:t>
      </w:r>
      <w:r w:rsidRPr="009B75BF">
        <w:rPr>
          <w:sz w:val="22"/>
          <w:szCs w:val="22"/>
        </w:rPr>
        <w:t xml:space="preserve">V úvodní části </w:t>
      </w:r>
      <w:r w:rsidR="00C94B7A" w:rsidRPr="009B75BF">
        <w:rPr>
          <w:sz w:val="22"/>
          <w:szCs w:val="22"/>
        </w:rPr>
        <w:t>autor</w:t>
      </w:r>
      <w:r w:rsidR="00B94AE5">
        <w:rPr>
          <w:sz w:val="22"/>
          <w:szCs w:val="22"/>
        </w:rPr>
        <w:t>ka</w:t>
      </w:r>
      <w:r w:rsidRPr="009B75BF">
        <w:rPr>
          <w:sz w:val="22"/>
          <w:szCs w:val="22"/>
        </w:rPr>
        <w:t xml:space="preserve"> </w:t>
      </w:r>
      <w:r w:rsidR="00C94B7A" w:rsidRPr="009B75BF">
        <w:rPr>
          <w:sz w:val="22"/>
          <w:szCs w:val="22"/>
        </w:rPr>
        <w:t>seznámil</w:t>
      </w:r>
      <w:r w:rsidR="00B94AE5">
        <w:rPr>
          <w:sz w:val="22"/>
          <w:szCs w:val="22"/>
        </w:rPr>
        <w:t>a</w:t>
      </w:r>
      <w:r w:rsidR="00C94B7A" w:rsidRPr="009B75BF">
        <w:rPr>
          <w:sz w:val="22"/>
          <w:szCs w:val="22"/>
        </w:rPr>
        <w:t xml:space="preserve"> čtenáře s</w:t>
      </w:r>
      <w:r w:rsidR="00B94AE5">
        <w:rPr>
          <w:sz w:val="22"/>
          <w:szCs w:val="22"/>
        </w:rPr>
        <w:t xml:space="preserve"> geografií a historií Piombina. V následující kapitole se </w:t>
      </w:r>
      <w:r w:rsidR="00F32B57">
        <w:rPr>
          <w:sz w:val="22"/>
          <w:szCs w:val="22"/>
        </w:rPr>
        <w:t>již soustředila na samotný spor o vládu nad tímto územím, jenž se rozhořel po smrti Jacopa VII. Appiani</w:t>
      </w:r>
      <w:r w:rsidR="006264C4">
        <w:rPr>
          <w:sz w:val="22"/>
          <w:szCs w:val="22"/>
        </w:rPr>
        <w:t>ho</w:t>
      </w:r>
      <w:r w:rsidR="00F32B57">
        <w:rPr>
          <w:sz w:val="22"/>
          <w:szCs w:val="22"/>
        </w:rPr>
        <w:t xml:space="preserve"> v roce 1603. Na pozadí tohoto konfliktu se jí podařilo objasnit, jak</w:t>
      </w:r>
      <w:r w:rsidR="00B94AE5">
        <w:rPr>
          <w:sz w:val="22"/>
          <w:szCs w:val="22"/>
        </w:rPr>
        <w:t xml:space="preserve"> </w:t>
      </w:r>
      <w:r w:rsidR="00F32B57">
        <w:rPr>
          <w:sz w:val="22"/>
          <w:szCs w:val="22"/>
        </w:rPr>
        <w:t xml:space="preserve">důležité </w:t>
      </w:r>
      <w:r w:rsidR="00B94AE5">
        <w:rPr>
          <w:sz w:val="22"/>
          <w:szCs w:val="22"/>
        </w:rPr>
        <w:t xml:space="preserve">místo </w:t>
      </w:r>
      <w:r w:rsidR="00F32B57">
        <w:rPr>
          <w:sz w:val="22"/>
          <w:szCs w:val="22"/>
        </w:rPr>
        <w:t xml:space="preserve">Piombino zaujímalo </w:t>
      </w:r>
      <w:r w:rsidR="00B94AE5">
        <w:rPr>
          <w:sz w:val="22"/>
          <w:szCs w:val="22"/>
        </w:rPr>
        <w:t>v průsečíku velmocenských zájmů španělských a rakouských Habsburků, Francie, papežského státu či Toskánska. Ve třetí části</w:t>
      </w:r>
      <w:r w:rsidR="00F32B57">
        <w:rPr>
          <w:sz w:val="22"/>
          <w:szCs w:val="22"/>
        </w:rPr>
        <w:t xml:space="preserve"> práce Zdeňka Horáčková nastínila proměnlivý vývoj celé spletité kauzy, faktory, které ovlivnily některá dílčí řešení konfliktu i jeho definitivní roz</w:t>
      </w:r>
      <w:r w:rsidR="006264C4">
        <w:rPr>
          <w:sz w:val="22"/>
          <w:szCs w:val="22"/>
        </w:rPr>
        <w:t>uzlen</w:t>
      </w:r>
      <w:r w:rsidR="00F32B57">
        <w:rPr>
          <w:sz w:val="22"/>
          <w:szCs w:val="22"/>
        </w:rPr>
        <w:t>í, k němuž došlo teprve za vlády Ferdinanda II. v roce 1634, kdy bylo toto severoitalské léno předáno do rukou Niccol</w:t>
      </w:r>
      <w:r w:rsidR="00813166">
        <w:rPr>
          <w:sz w:val="22"/>
          <w:szCs w:val="22"/>
        </w:rPr>
        <w:t>a</w:t>
      </w:r>
      <w:r w:rsidR="00F32B57">
        <w:rPr>
          <w:sz w:val="22"/>
          <w:szCs w:val="22"/>
        </w:rPr>
        <w:t xml:space="preserve"> Ludovisiho. Zajímalo jí přitom zejména to, jak se celá kauza odrážela v prostředí císařského dvora</w:t>
      </w:r>
      <w:r w:rsidR="006264C4">
        <w:rPr>
          <w:sz w:val="22"/>
          <w:szCs w:val="22"/>
        </w:rPr>
        <w:t>.</w:t>
      </w:r>
      <w:r w:rsidR="00CF7D3B">
        <w:rPr>
          <w:sz w:val="22"/>
          <w:szCs w:val="22"/>
        </w:rPr>
        <w:t xml:space="preserve"> V poslední kapitole Zdeňka Horáčková představila „zapomenutou“ dědičku Piombina Isabellu Gonzagovou</w:t>
      </w:r>
      <w:r w:rsidR="006264C4">
        <w:rPr>
          <w:sz w:val="22"/>
          <w:szCs w:val="22"/>
        </w:rPr>
        <w:t xml:space="preserve"> a zrekapitulovala kroky, které kněžna ze Stigliana podnikala ve snaze dosáhnout vytoužené investitury. Není bez zajímavosti, že spoléhala na</w:t>
      </w:r>
      <w:r w:rsidR="00CF7D3B">
        <w:rPr>
          <w:sz w:val="22"/>
          <w:szCs w:val="22"/>
        </w:rPr>
        <w:t xml:space="preserve"> </w:t>
      </w:r>
      <w:r w:rsidR="006264C4">
        <w:rPr>
          <w:sz w:val="22"/>
          <w:szCs w:val="22"/>
        </w:rPr>
        <w:t>pomoc</w:t>
      </w:r>
      <w:r w:rsidR="00CF7D3B">
        <w:rPr>
          <w:sz w:val="22"/>
          <w:szCs w:val="22"/>
        </w:rPr>
        <w:t xml:space="preserve"> kardinál</w:t>
      </w:r>
      <w:r w:rsidR="006264C4">
        <w:rPr>
          <w:sz w:val="22"/>
          <w:szCs w:val="22"/>
        </w:rPr>
        <w:t>a</w:t>
      </w:r>
      <w:r w:rsidR="00CF7D3B">
        <w:rPr>
          <w:sz w:val="22"/>
          <w:szCs w:val="22"/>
        </w:rPr>
        <w:t xml:space="preserve"> </w:t>
      </w:r>
      <w:r w:rsidR="006264C4">
        <w:rPr>
          <w:sz w:val="22"/>
          <w:szCs w:val="22"/>
        </w:rPr>
        <w:t>Františka z </w:t>
      </w:r>
      <w:r w:rsidR="00CF7D3B">
        <w:rPr>
          <w:sz w:val="22"/>
          <w:szCs w:val="22"/>
        </w:rPr>
        <w:t>Ditrichštejnem</w:t>
      </w:r>
      <w:r w:rsidR="006264C4">
        <w:rPr>
          <w:sz w:val="22"/>
          <w:szCs w:val="22"/>
        </w:rPr>
        <w:t xml:space="preserve">, s nímž ji pojila pokrevní pouta. </w:t>
      </w:r>
      <w:r w:rsidR="00CA66C0">
        <w:rPr>
          <w:sz w:val="22"/>
          <w:szCs w:val="22"/>
        </w:rPr>
        <w:t>Ditrichštejn se tak dostal do nepříliš komfortní situace, neboť se musel rozhodnout mezi rodovými zájmy a loajalitou vůči císaři a španělskému králi, kteří prosazovali jiné kandidáty. Vedle Ditrichštejna aktivně vstupovali do sporu o Piombino též Polyxena z Pernštejna a jej muž Zdeněk Vojtěch Popel z Lobkowicz. I v jejich případě šlo přitom o obhajobu rodových zájmů.</w:t>
      </w:r>
    </w:p>
    <w:p w:rsidR="00CA66C0" w:rsidRDefault="00CA66C0" w:rsidP="006264C4">
      <w:pPr>
        <w:spacing w:line="360" w:lineRule="auto"/>
        <w:jc w:val="both"/>
        <w:rPr>
          <w:sz w:val="22"/>
          <w:szCs w:val="22"/>
        </w:rPr>
      </w:pPr>
    </w:p>
    <w:p w:rsidR="00FB456C" w:rsidRPr="009B75BF" w:rsidRDefault="00CA66C0" w:rsidP="00FB456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4D74D1">
        <w:rPr>
          <w:sz w:val="22"/>
          <w:szCs w:val="22"/>
        </w:rPr>
        <w:t xml:space="preserve">ráce </w:t>
      </w:r>
      <w:r w:rsidR="00813166">
        <w:rPr>
          <w:sz w:val="22"/>
          <w:szCs w:val="22"/>
        </w:rPr>
        <w:t>Zdeňky Horáčkové se svým</w:t>
      </w:r>
      <w:r>
        <w:rPr>
          <w:sz w:val="22"/>
          <w:szCs w:val="22"/>
        </w:rPr>
        <w:t xml:space="preserve"> zaměřením</w:t>
      </w:r>
      <w:r w:rsidR="004D74D1">
        <w:rPr>
          <w:sz w:val="22"/>
          <w:szCs w:val="22"/>
        </w:rPr>
        <w:t xml:space="preserve"> hlásí k proudu </w:t>
      </w:r>
      <w:r w:rsidR="004D74D1" w:rsidRPr="004D74D1">
        <w:rPr>
          <w:sz w:val="22"/>
          <w:szCs w:val="22"/>
        </w:rPr>
        <w:t xml:space="preserve">takzvaných nových dějin diplomacie (New Diplomatic History), které skrze mezioborový přístup nabízí nové perspektivy a otevírají dříve </w:t>
      </w:r>
      <w:r w:rsidR="004D74D1" w:rsidRPr="004D74D1">
        <w:rPr>
          <w:sz w:val="22"/>
          <w:szCs w:val="22"/>
        </w:rPr>
        <w:lastRenderedPageBreak/>
        <w:t>opomíjená témata</w:t>
      </w:r>
      <w:r w:rsidR="004D74D1">
        <w:rPr>
          <w:sz w:val="22"/>
          <w:szCs w:val="22"/>
        </w:rPr>
        <w:t>. Pod vlivem metodologicky inspirativních zahraničních prací o</w:t>
      </w:r>
      <w:r w:rsidR="004D74D1" w:rsidRPr="004D74D1">
        <w:rPr>
          <w:sz w:val="22"/>
          <w:szCs w:val="22"/>
        </w:rPr>
        <w:t>pouští tradiční institucionální perspektivu a obvyklé makropolitické přístupy k dějinám mezinárodních vztahů, na jejichž místě staví rovinu mikropolitickou zaměřenou na konkrétního aktéra (akteurszentrierte Perspektive) a jeho cíle a motivace</w:t>
      </w:r>
      <w:r w:rsidR="004D74D1">
        <w:rPr>
          <w:sz w:val="22"/>
          <w:szCs w:val="22"/>
        </w:rPr>
        <w:t xml:space="preserve">. Předložená stať je i díky tomu nejen </w:t>
      </w:r>
      <w:r w:rsidR="00CF7D3B" w:rsidRPr="009B75BF">
        <w:rPr>
          <w:sz w:val="22"/>
          <w:szCs w:val="22"/>
        </w:rPr>
        <w:t>faktograficky spolehlivá</w:t>
      </w:r>
      <w:r w:rsidR="004D74D1">
        <w:rPr>
          <w:sz w:val="22"/>
          <w:szCs w:val="22"/>
        </w:rPr>
        <w:t>, nýbrž též</w:t>
      </w:r>
      <w:r w:rsidR="00CF7D3B">
        <w:rPr>
          <w:sz w:val="22"/>
          <w:szCs w:val="22"/>
        </w:rPr>
        <w:t xml:space="preserve"> </w:t>
      </w:r>
      <w:r w:rsidR="003955BC" w:rsidRPr="009B75BF">
        <w:rPr>
          <w:sz w:val="22"/>
          <w:szCs w:val="22"/>
        </w:rPr>
        <w:t xml:space="preserve">v mnoha ohledech objevná. </w:t>
      </w:r>
      <w:r w:rsidR="00FB456C">
        <w:rPr>
          <w:sz w:val="22"/>
          <w:szCs w:val="22"/>
        </w:rPr>
        <w:t xml:space="preserve">Jak již bylo řečeno v úvodu posudku, práce svou kvalitou vysoce převyšuje běžný standard a představuje významný příspěvek české historiografie k současným diskusím o vlivu vztahových sítí na mezinárodní politiku.   </w:t>
      </w:r>
    </w:p>
    <w:p w:rsidR="009B75BF" w:rsidRPr="009B75BF" w:rsidRDefault="009B75BF" w:rsidP="002B4D87">
      <w:pPr>
        <w:spacing w:line="360" w:lineRule="auto"/>
        <w:jc w:val="both"/>
        <w:rPr>
          <w:sz w:val="22"/>
          <w:szCs w:val="22"/>
        </w:rPr>
      </w:pPr>
    </w:p>
    <w:p w:rsidR="00D207E0" w:rsidRPr="009B75BF" w:rsidRDefault="00D207E0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b/>
          <w:sz w:val="22"/>
          <w:szCs w:val="22"/>
        </w:rPr>
        <w:t>Formální stránka práce, jazykové zpracování</w:t>
      </w:r>
    </w:p>
    <w:p w:rsidR="00C80E2C" w:rsidRDefault="004D74D1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Vysoce vyzdvihuji jazykovou úroveň textu. Autorka má </w:t>
      </w:r>
      <w:r w:rsidR="00FB456C">
        <w:rPr>
          <w:sz w:val="22"/>
          <w:szCs w:val="22"/>
        </w:rPr>
        <w:t xml:space="preserve">zjevný dar vědecky přesného a přitom čtivého </w:t>
      </w:r>
      <w:r>
        <w:rPr>
          <w:sz w:val="22"/>
          <w:szCs w:val="22"/>
        </w:rPr>
        <w:t>lite</w:t>
      </w:r>
      <w:r w:rsidR="00FB456C">
        <w:rPr>
          <w:sz w:val="22"/>
          <w:szCs w:val="22"/>
        </w:rPr>
        <w:t xml:space="preserve">rárního poddání. V práci se téměř nevyskytují gramatické chyby či překlepy. </w:t>
      </w:r>
    </w:p>
    <w:p w:rsidR="00FB456C" w:rsidRDefault="00FB456C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 škoda, že autorka neprovedla pečlivější kontrolu </w:t>
      </w:r>
      <w:r w:rsidR="00C80E2C">
        <w:rPr>
          <w:sz w:val="22"/>
          <w:szCs w:val="22"/>
        </w:rPr>
        <w:t xml:space="preserve">textu </w:t>
      </w:r>
      <w:r>
        <w:rPr>
          <w:sz w:val="22"/>
          <w:szCs w:val="22"/>
        </w:rPr>
        <w:t xml:space="preserve">před vlastním tiskem. V opačném případě by jí neuniklo, že se začátek čtvrté kapitoly posunul do druhé poloviny stránky (na s. 48). </w:t>
      </w:r>
    </w:p>
    <w:p w:rsidR="000744B7" w:rsidRDefault="000744B7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Další formální nedostatky: </w:t>
      </w:r>
    </w:p>
    <w:p w:rsidR="000744B7" w:rsidRDefault="000744B7" w:rsidP="002B4D8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 w:rsidRPr="000744B7">
        <w:rPr>
          <w:sz w:val="22"/>
          <w:szCs w:val="22"/>
        </w:rPr>
        <w:t xml:space="preserve">V seznamu pramenů doporučuji uvádět celé názvy archivů. Např. UCLA je ve středoevropském prostoru méně známá zkratka. </w:t>
      </w:r>
    </w:p>
    <w:p w:rsidR="000744B7" w:rsidRDefault="000744B7" w:rsidP="002B4D8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 w:rsidRPr="000744B7">
        <w:rPr>
          <w:sz w:val="22"/>
          <w:szCs w:val="22"/>
        </w:rPr>
        <w:t>Fond HHStA (v práci špatně uvedeno jako HHstA) je součástí Rakouského státního archivu (Österreichisches Staatsarchiv – Ö</w:t>
      </w:r>
      <w:r w:rsidR="00813166">
        <w:rPr>
          <w:sz w:val="22"/>
          <w:szCs w:val="22"/>
        </w:rPr>
        <w:t>S</w:t>
      </w:r>
      <w:r w:rsidRPr="000744B7">
        <w:rPr>
          <w:sz w:val="22"/>
          <w:szCs w:val="22"/>
        </w:rPr>
        <w:t>tA). Je proto třeba uvádět cel</w:t>
      </w:r>
      <w:r w:rsidR="00813166">
        <w:rPr>
          <w:sz w:val="22"/>
          <w:szCs w:val="22"/>
        </w:rPr>
        <w:t>ý název</w:t>
      </w:r>
      <w:r w:rsidRPr="000744B7">
        <w:rPr>
          <w:sz w:val="22"/>
          <w:szCs w:val="22"/>
        </w:rPr>
        <w:t>.</w:t>
      </w:r>
    </w:p>
    <w:p w:rsidR="000744B7" w:rsidRDefault="000744B7" w:rsidP="000744B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S. 80 jméno de Blasiis zařadit abecedně pod B nikoliv pod D, podobně </w:t>
      </w:r>
      <w:r w:rsidR="00C80E2C">
        <w:rPr>
          <w:sz w:val="22"/>
          <w:szCs w:val="22"/>
        </w:rPr>
        <w:t xml:space="preserve">jako v případě </w:t>
      </w:r>
      <w:r>
        <w:rPr>
          <w:sz w:val="22"/>
          <w:szCs w:val="22"/>
        </w:rPr>
        <w:t>von Aretin pod A ne pod V</w:t>
      </w:r>
    </w:p>
    <w:p w:rsidR="000744B7" w:rsidRDefault="000744B7" w:rsidP="000744B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S. 84 Stuttgart nikoliv Stuttgard </w:t>
      </w:r>
    </w:p>
    <w:p w:rsidR="000744B7" w:rsidRDefault="000744B7" w:rsidP="000744B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S. 81 Affò nikoliv Affó</w:t>
      </w:r>
    </w:p>
    <w:p w:rsidR="000744B7" w:rsidRDefault="00C80E2C" w:rsidP="000744B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V případě časopiseckých studií a kapitol v knize je třeba uvádět rozsah stran! Např. s 82 studie Javiera Arienzy, s. 84 studie Antonia Denunzia, apod.</w:t>
      </w:r>
    </w:p>
    <w:p w:rsidR="00C80E2C" w:rsidRDefault="00C80E2C" w:rsidP="000744B7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Rubén González nikoliv Gonzalez (s. 84), obdobně Sánchez nikoliv Sanchez (s. 87)</w:t>
      </w:r>
    </w:p>
    <w:p w:rsidR="00C80E2C" w:rsidRPr="00C80E2C" w:rsidRDefault="00C80E2C" w:rsidP="00C80E2C">
      <w:pPr>
        <w:spacing w:line="360" w:lineRule="auto"/>
        <w:jc w:val="both"/>
        <w:rPr>
          <w:sz w:val="22"/>
          <w:szCs w:val="22"/>
        </w:rPr>
      </w:pPr>
    </w:p>
    <w:p w:rsidR="001775C2" w:rsidRPr="009B75BF" w:rsidRDefault="001775C2" w:rsidP="002B4D87">
      <w:pPr>
        <w:spacing w:line="360" w:lineRule="auto"/>
        <w:jc w:val="both"/>
        <w:rPr>
          <w:b/>
          <w:sz w:val="22"/>
          <w:szCs w:val="22"/>
        </w:rPr>
      </w:pPr>
      <w:r w:rsidRPr="009B75BF">
        <w:rPr>
          <w:b/>
          <w:sz w:val="22"/>
          <w:szCs w:val="22"/>
        </w:rPr>
        <w:t>Závěrem</w:t>
      </w:r>
    </w:p>
    <w:p w:rsidR="001D784B" w:rsidRDefault="00C80E2C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Rukopis Zdeňky Horáčkové vysoce</w:t>
      </w:r>
      <w:bookmarkStart w:id="0" w:name="_GoBack"/>
      <w:bookmarkEnd w:id="0"/>
      <w:r>
        <w:rPr>
          <w:sz w:val="22"/>
          <w:szCs w:val="22"/>
        </w:rPr>
        <w:t xml:space="preserve"> převyšuje obvyklý standard diplomových prací. Autorka </w:t>
      </w:r>
      <w:r w:rsidR="001D784B">
        <w:rPr>
          <w:sz w:val="22"/>
          <w:szCs w:val="22"/>
        </w:rPr>
        <w:t xml:space="preserve">při jeho koncipování </w:t>
      </w:r>
      <w:r>
        <w:rPr>
          <w:sz w:val="22"/>
          <w:szCs w:val="22"/>
        </w:rPr>
        <w:t xml:space="preserve">prokázala mimořádné jazykové schopnosti, znalost historikova řemesla i dostatek důvtipu. </w:t>
      </w:r>
      <w:r w:rsidR="001D784B">
        <w:rPr>
          <w:sz w:val="22"/>
          <w:szCs w:val="22"/>
        </w:rPr>
        <w:t xml:space="preserve">Velmi si cením jak volby tématu, tak jeho širokého heuristického a metodologického ukotvení. </w:t>
      </w:r>
      <w:r>
        <w:rPr>
          <w:sz w:val="22"/>
          <w:szCs w:val="22"/>
        </w:rPr>
        <w:t xml:space="preserve">Výsledný text je </w:t>
      </w:r>
      <w:r w:rsidR="00294D86" w:rsidRPr="009B75BF">
        <w:rPr>
          <w:sz w:val="22"/>
          <w:szCs w:val="22"/>
        </w:rPr>
        <w:t>konsistentní, vhodně strukturovaný</w:t>
      </w:r>
      <w:r>
        <w:rPr>
          <w:sz w:val="22"/>
          <w:szCs w:val="22"/>
        </w:rPr>
        <w:t>, jazykově čtivý</w:t>
      </w:r>
      <w:r w:rsidR="00294D86" w:rsidRPr="009B75BF">
        <w:rPr>
          <w:sz w:val="22"/>
          <w:szCs w:val="22"/>
        </w:rPr>
        <w:t xml:space="preserve"> a v mnoha ohledech objevný</w:t>
      </w:r>
      <w:r w:rsidR="008E22DA" w:rsidRPr="009B75BF">
        <w:rPr>
          <w:sz w:val="22"/>
          <w:szCs w:val="22"/>
        </w:rPr>
        <w:t>.</w:t>
      </w:r>
      <w:r w:rsidR="00294D86" w:rsidRPr="009B75BF">
        <w:rPr>
          <w:sz w:val="22"/>
          <w:szCs w:val="22"/>
        </w:rPr>
        <w:t xml:space="preserve"> </w:t>
      </w:r>
    </w:p>
    <w:p w:rsidR="008E22DA" w:rsidRPr="009B75BF" w:rsidRDefault="008E22DA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Předloženou práci </w:t>
      </w:r>
      <w:r w:rsidR="00C80E2C">
        <w:rPr>
          <w:sz w:val="22"/>
          <w:szCs w:val="22"/>
        </w:rPr>
        <w:t xml:space="preserve">jednoznačně </w:t>
      </w:r>
      <w:r w:rsidRPr="009B75BF">
        <w:rPr>
          <w:sz w:val="22"/>
          <w:szCs w:val="22"/>
        </w:rPr>
        <w:t>doporučuji k obhajobě a navrhuji klasifikovat stupněm „</w:t>
      </w:r>
      <w:r w:rsidR="00E0159D" w:rsidRPr="009B75BF">
        <w:rPr>
          <w:sz w:val="22"/>
          <w:szCs w:val="22"/>
        </w:rPr>
        <w:t>A</w:t>
      </w:r>
      <w:r w:rsidRPr="009B75BF">
        <w:rPr>
          <w:sz w:val="22"/>
          <w:szCs w:val="22"/>
        </w:rPr>
        <w:t>“ (výborně)</w:t>
      </w:r>
    </w:p>
    <w:p w:rsidR="001558D3" w:rsidRPr="009B75BF" w:rsidRDefault="001558D3" w:rsidP="002B4D87">
      <w:pPr>
        <w:spacing w:line="360" w:lineRule="auto"/>
        <w:jc w:val="both"/>
        <w:rPr>
          <w:sz w:val="22"/>
          <w:szCs w:val="22"/>
        </w:rPr>
      </w:pPr>
    </w:p>
    <w:p w:rsidR="004202B8" w:rsidRPr="009B75BF" w:rsidRDefault="004202B8" w:rsidP="002B4D87">
      <w:pPr>
        <w:spacing w:line="360" w:lineRule="auto"/>
        <w:jc w:val="both"/>
        <w:rPr>
          <w:sz w:val="22"/>
          <w:szCs w:val="22"/>
        </w:rPr>
      </w:pPr>
    </w:p>
    <w:p w:rsidR="004202B8" w:rsidRPr="009B75BF" w:rsidRDefault="004202B8" w:rsidP="002B4D87">
      <w:pPr>
        <w:spacing w:line="360" w:lineRule="auto"/>
        <w:jc w:val="both"/>
        <w:rPr>
          <w:sz w:val="22"/>
          <w:szCs w:val="22"/>
        </w:rPr>
      </w:pPr>
    </w:p>
    <w:p w:rsidR="00CC11F0" w:rsidRPr="009B75BF" w:rsidRDefault="001558D3" w:rsidP="002B4D87">
      <w:pPr>
        <w:spacing w:line="360" w:lineRule="auto"/>
        <w:jc w:val="both"/>
        <w:rPr>
          <w:sz w:val="22"/>
          <w:szCs w:val="22"/>
        </w:rPr>
      </w:pPr>
      <w:r w:rsidRPr="009B75BF">
        <w:rPr>
          <w:sz w:val="22"/>
          <w:szCs w:val="22"/>
        </w:rPr>
        <w:t xml:space="preserve">Sezemice, </w:t>
      </w:r>
      <w:r w:rsidR="001D784B">
        <w:rPr>
          <w:sz w:val="22"/>
          <w:szCs w:val="22"/>
        </w:rPr>
        <w:t>21</w:t>
      </w:r>
      <w:r w:rsidRPr="009B75BF">
        <w:rPr>
          <w:sz w:val="22"/>
          <w:szCs w:val="22"/>
        </w:rPr>
        <w:t xml:space="preserve">. </w:t>
      </w:r>
      <w:r w:rsidR="001D784B">
        <w:rPr>
          <w:sz w:val="22"/>
          <w:szCs w:val="22"/>
        </w:rPr>
        <w:t>12</w:t>
      </w:r>
      <w:r w:rsidRPr="009B75BF">
        <w:rPr>
          <w:sz w:val="22"/>
          <w:szCs w:val="22"/>
        </w:rPr>
        <w:t>. 20</w:t>
      </w:r>
      <w:r w:rsidR="00B36EC2" w:rsidRPr="009B75BF">
        <w:rPr>
          <w:sz w:val="22"/>
          <w:szCs w:val="22"/>
        </w:rPr>
        <w:t>21</w:t>
      </w:r>
      <w:r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ab/>
        <w:t xml:space="preserve">   </w:t>
      </w:r>
      <w:r w:rsidR="004202B8" w:rsidRPr="009B75BF">
        <w:rPr>
          <w:sz w:val="22"/>
          <w:szCs w:val="22"/>
        </w:rPr>
        <w:t xml:space="preserve">                            </w:t>
      </w:r>
      <w:r w:rsidR="004202B8" w:rsidRPr="009B75BF">
        <w:rPr>
          <w:sz w:val="22"/>
          <w:szCs w:val="22"/>
        </w:rPr>
        <w:tab/>
      </w:r>
      <w:r w:rsidRPr="009B75BF">
        <w:rPr>
          <w:sz w:val="22"/>
          <w:szCs w:val="22"/>
        </w:rPr>
        <w:t>doc. Mgr. Pavel Marek, Ph.D.</w:t>
      </w:r>
    </w:p>
    <w:sectPr w:rsidR="00CC11F0" w:rsidRPr="009B75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3045" w:rsidRDefault="00593045" w:rsidP="00DE5992">
      <w:r>
        <w:separator/>
      </w:r>
    </w:p>
  </w:endnote>
  <w:endnote w:type="continuationSeparator" w:id="0">
    <w:p w:rsidR="00593045" w:rsidRDefault="00593045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3045" w:rsidRDefault="00593045" w:rsidP="00DE5992">
      <w:r>
        <w:separator/>
      </w:r>
    </w:p>
  </w:footnote>
  <w:footnote w:type="continuationSeparator" w:id="0">
    <w:p w:rsidR="00593045" w:rsidRDefault="00593045" w:rsidP="00DE59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097064"/>
    <w:multiLevelType w:val="hybridMultilevel"/>
    <w:tmpl w:val="F656E5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13838"/>
    <w:rsid w:val="0003328F"/>
    <w:rsid w:val="00033EFC"/>
    <w:rsid w:val="00065176"/>
    <w:rsid w:val="000744B7"/>
    <w:rsid w:val="00082E80"/>
    <w:rsid w:val="000C64C9"/>
    <w:rsid w:val="000D7788"/>
    <w:rsid w:val="001172BE"/>
    <w:rsid w:val="001558D3"/>
    <w:rsid w:val="00157EB8"/>
    <w:rsid w:val="0016088F"/>
    <w:rsid w:val="001775C2"/>
    <w:rsid w:val="00183D32"/>
    <w:rsid w:val="001900D3"/>
    <w:rsid w:val="00196BEB"/>
    <w:rsid w:val="001C393A"/>
    <w:rsid w:val="001C7B37"/>
    <w:rsid w:val="001D784B"/>
    <w:rsid w:val="001F02E8"/>
    <w:rsid w:val="00213827"/>
    <w:rsid w:val="00256D54"/>
    <w:rsid w:val="00265CE5"/>
    <w:rsid w:val="00287BD0"/>
    <w:rsid w:val="00294D86"/>
    <w:rsid w:val="002B4D87"/>
    <w:rsid w:val="002C6599"/>
    <w:rsid w:val="002D1D85"/>
    <w:rsid w:val="002D63DE"/>
    <w:rsid w:val="00356265"/>
    <w:rsid w:val="003572DA"/>
    <w:rsid w:val="00362325"/>
    <w:rsid w:val="003643D5"/>
    <w:rsid w:val="0037669C"/>
    <w:rsid w:val="00391414"/>
    <w:rsid w:val="00391FC4"/>
    <w:rsid w:val="003955BC"/>
    <w:rsid w:val="003A0645"/>
    <w:rsid w:val="003A4F45"/>
    <w:rsid w:val="003E4855"/>
    <w:rsid w:val="003F1E8B"/>
    <w:rsid w:val="003F3300"/>
    <w:rsid w:val="00401072"/>
    <w:rsid w:val="00401D09"/>
    <w:rsid w:val="00407321"/>
    <w:rsid w:val="00412FAA"/>
    <w:rsid w:val="00414F0F"/>
    <w:rsid w:val="004202B8"/>
    <w:rsid w:val="004314C5"/>
    <w:rsid w:val="00450BB8"/>
    <w:rsid w:val="00461D2F"/>
    <w:rsid w:val="0046795D"/>
    <w:rsid w:val="00482D9E"/>
    <w:rsid w:val="00483A9C"/>
    <w:rsid w:val="00485FE3"/>
    <w:rsid w:val="0048635A"/>
    <w:rsid w:val="004B0C10"/>
    <w:rsid w:val="004B7A08"/>
    <w:rsid w:val="004C3D7E"/>
    <w:rsid w:val="004D74D1"/>
    <w:rsid w:val="0052238F"/>
    <w:rsid w:val="00522629"/>
    <w:rsid w:val="00530209"/>
    <w:rsid w:val="00530297"/>
    <w:rsid w:val="00540BC0"/>
    <w:rsid w:val="00561430"/>
    <w:rsid w:val="00565B67"/>
    <w:rsid w:val="00570B7D"/>
    <w:rsid w:val="00572ADF"/>
    <w:rsid w:val="005826D5"/>
    <w:rsid w:val="00593045"/>
    <w:rsid w:val="005A3FAE"/>
    <w:rsid w:val="005C0193"/>
    <w:rsid w:val="005D384B"/>
    <w:rsid w:val="005E6368"/>
    <w:rsid w:val="00612F3E"/>
    <w:rsid w:val="0062472F"/>
    <w:rsid w:val="006264C4"/>
    <w:rsid w:val="006400AC"/>
    <w:rsid w:val="00674588"/>
    <w:rsid w:val="00680BE8"/>
    <w:rsid w:val="006A0692"/>
    <w:rsid w:val="006A3EEA"/>
    <w:rsid w:val="006E0133"/>
    <w:rsid w:val="006E29B6"/>
    <w:rsid w:val="006E6EE8"/>
    <w:rsid w:val="00707D79"/>
    <w:rsid w:val="00725333"/>
    <w:rsid w:val="007275B5"/>
    <w:rsid w:val="00741B54"/>
    <w:rsid w:val="00751405"/>
    <w:rsid w:val="00763AE3"/>
    <w:rsid w:val="00763F5F"/>
    <w:rsid w:val="00771555"/>
    <w:rsid w:val="00772A41"/>
    <w:rsid w:val="00777626"/>
    <w:rsid w:val="007C0AFD"/>
    <w:rsid w:val="00802A91"/>
    <w:rsid w:val="00804D54"/>
    <w:rsid w:val="00805F45"/>
    <w:rsid w:val="00813166"/>
    <w:rsid w:val="008150F2"/>
    <w:rsid w:val="00830EF4"/>
    <w:rsid w:val="008432CC"/>
    <w:rsid w:val="0085043B"/>
    <w:rsid w:val="00863CE6"/>
    <w:rsid w:val="00864009"/>
    <w:rsid w:val="008776F0"/>
    <w:rsid w:val="00882D48"/>
    <w:rsid w:val="00893DF8"/>
    <w:rsid w:val="008A7499"/>
    <w:rsid w:val="008C6715"/>
    <w:rsid w:val="008E22DA"/>
    <w:rsid w:val="008E6461"/>
    <w:rsid w:val="00907EF4"/>
    <w:rsid w:val="00907F97"/>
    <w:rsid w:val="00911266"/>
    <w:rsid w:val="009122B4"/>
    <w:rsid w:val="009361BD"/>
    <w:rsid w:val="009627F6"/>
    <w:rsid w:val="009A1F51"/>
    <w:rsid w:val="009B2C1A"/>
    <w:rsid w:val="009B75BF"/>
    <w:rsid w:val="009C1D6C"/>
    <w:rsid w:val="009D55B2"/>
    <w:rsid w:val="009E7EAC"/>
    <w:rsid w:val="00A53081"/>
    <w:rsid w:val="00A645AD"/>
    <w:rsid w:val="00A95DBF"/>
    <w:rsid w:val="00AA0555"/>
    <w:rsid w:val="00AC1962"/>
    <w:rsid w:val="00AC4902"/>
    <w:rsid w:val="00AF21B6"/>
    <w:rsid w:val="00B10CB2"/>
    <w:rsid w:val="00B155E5"/>
    <w:rsid w:val="00B31694"/>
    <w:rsid w:val="00B36EC2"/>
    <w:rsid w:val="00B428F1"/>
    <w:rsid w:val="00B62C57"/>
    <w:rsid w:val="00B640C8"/>
    <w:rsid w:val="00B71AB9"/>
    <w:rsid w:val="00B74376"/>
    <w:rsid w:val="00B82CE8"/>
    <w:rsid w:val="00B83E40"/>
    <w:rsid w:val="00B94AE5"/>
    <w:rsid w:val="00B964CD"/>
    <w:rsid w:val="00BE4165"/>
    <w:rsid w:val="00BF5ED5"/>
    <w:rsid w:val="00C02A92"/>
    <w:rsid w:val="00C109E9"/>
    <w:rsid w:val="00C62AEF"/>
    <w:rsid w:val="00C80E2C"/>
    <w:rsid w:val="00C94B7A"/>
    <w:rsid w:val="00CA2F7A"/>
    <w:rsid w:val="00CA66C0"/>
    <w:rsid w:val="00CC02FA"/>
    <w:rsid w:val="00CC11F0"/>
    <w:rsid w:val="00CE290C"/>
    <w:rsid w:val="00CE4313"/>
    <w:rsid w:val="00CF0506"/>
    <w:rsid w:val="00CF7D3B"/>
    <w:rsid w:val="00D079B8"/>
    <w:rsid w:val="00D1269D"/>
    <w:rsid w:val="00D207E0"/>
    <w:rsid w:val="00D23FC2"/>
    <w:rsid w:val="00D445E4"/>
    <w:rsid w:val="00D778C9"/>
    <w:rsid w:val="00DD0908"/>
    <w:rsid w:val="00DE5992"/>
    <w:rsid w:val="00DF48BD"/>
    <w:rsid w:val="00E0159D"/>
    <w:rsid w:val="00E07203"/>
    <w:rsid w:val="00E1074A"/>
    <w:rsid w:val="00E131A2"/>
    <w:rsid w:val="00E17E36"/>
    <w:rsid w:val="00E31541"/>
    <w:rsid w:val="00E507F5"/>
    <w:rsid w:val="00E5483A"/>
    <w:rsid w:val="00E64FE0"/>
    <w:rsid w:val="00E66FCB"/>
    <w:rsid w:val="00EA2F9E"/>
    <w:rsid w:val="00EB3FB3"/>
    <w:rsid w:val="00EC1EDB"/>
    <w:rsid w:val="00EE2E06"/>
    <w:rsid w:val="00EE7806"/>
    <w:rsid w:val="00EF0CF5"/>
    <w:rsid w:val="00F019CC"/>
    <w:rsid w:val="00F16B08"/>
    <w:rsid w:val="00F2322A"/>
    <w:rsid w:val="00F32B57"/>
    <w:rsid w:val="00F44620"/>
    <w:rsid w:val="00F90D68"/>
    <w:rsid w:val="00F9763D"/>
    <w:rsid w:val="00FA344B"/>
    <w:rsid w:val="00FB21A2"/>
    <w:rsid w:val="00FB2D72"/>
    <w:rsid w:val="00FB456C"/>
    <w:rsid w:val="00FC6A4E"/>
    <w:rsid w:val="00FD741E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349F8"/>
  <w15:chartTrackingRefBased/>
  <w15:docId w15:val="{FE9BC198-F63A-40DB-A532-D03620062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  <w:style w:type="paragraph" w:styleId="Odstavecseseznamem">
    <w:name w:val="List Paragraph"/>
    <w:basedOn w:val="Normln"/>
    <w:uiPriority w:val="34"/>
    <w:qFormat/>
    <w:rsid w:val="000744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C9E0C-0C30-4801-8EEB-75C34167F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3</Pages>
  <Words>1193</Words>
  <Characters>7041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7</cp:revision>
  <cp:lastPrinted>2021-08-04T15:32:00Z</cp:lastPrinted>
  <dcterms:created xsi:type="dcterms:W3CDTF">2021-12-01T12:08:00Z</dcterms:created>
  <dcterms:modified xsi:type="dcterms:W3CDTF">2022-01-04T09:01:00Z</dcterms:modified>
</cp:coreProperties>
</file>