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47C3" w:rsidRDefault="007F0061">
      <w:pPr>
        <w:rPr>
          <w:lang w:val="cs-CZ"/>
        </w:rPr>
      </w:pPr>
      <w:bookmarkStart w:id="0" w:name="_GoBack"/>
      <w:bookmarkEnd w:id="0"/>
      <w:r>
        <w:rPr>
          <w:lang w:val="cs-CZ"/>
        </w:rPr>
        <w:t>Posudek oponenta diplomové práce</w:t>
      </w:r>
    </w:p>
    <w:p w:rsidR="007F0061" w:rsidRDefault="007F0061">
      <w:pPr>
        <w:rPr>
          <w:lang w:val="cs-CZ"/>
        </w:rPr>
      </w:pPr>
      <w:r>
        <w:rPr>
          <w:lang w:val="cs-CZ"/>
        </w:rPr>
        <w:t>Bc. Karel Kolář</w:t>
      </w:r>
      <w:r w:rsidR="00D273D1">
        <w:rPr>
          <w:lang w:val="cs-CZ"/>
        </w:rPr>
        <w:t>: Domácí péče o seniory perspektivou aktérů</w:t>
      </w:r>
    </w:p>
    <w:p w:rsidR="004D2779" w:rsidRDefault="00D273D1">
      <w:pPr>
        <w:rPr>
          <w:lang w:val="cs-CZ"/>
        </w:rPr>
      </w:pPr>
      <w:r>
        <w:rPr>
          <w:lang w:val="cs-CZ"/>
        </w:rPr>
        <w:t xml:space="preserve">Autor opírá svou diplomovou práci o úctyhodný seznam literatury, kterou evidentně nastudoval, protože o patřičnou autoritu opírá téměř každé své tvrzení. Práce pojednává domácí péči (o babičku autora) </w:t>
      </w:r>
      <w:r w:rsidR="004D2779">
        <w:rPr>
          <w:lang w:val="cs-CZ"/>
        </w:rPr>
        <w:t xml:space="preserve">jako případovou strudii, ukotvenou ve vhodně zvolené metodologické kombinaci. Struktura je přehledná a jasná, teoretická východiska jsou organicky propojována s konkrétním případem a s výsledky autorova výzkumu. </w:t>
      </w:r>
    </w:p>
    <w:p w:rsidR="004D2779" w:rsidRDefault="004D2779" w:rsidP="004D2779">
      <w:pPr>
        <w:rPr>
          <w:rFonts w:ascii="TimesNewRomanPSMT" w:hAnsi="TimesNewRomanPSMT"/>
          <w:color w:val="000000"/>
          <w:lang w:val="cs-CZ"/>
        </w:rPr>
      </w:pPr>
      <w:r>
        <w:rPr>
          <w:lang w:val="cs-CZ"/>
        </w:rPr>
        <w:t xml:space="preserve">Překvapivé je autorova fascinance teorií totálních institucí v souvislosti s tímto, až ideálně představeným, příkladem rodinné péče o babičku. </w:t>
      </w:r>
      <w:r w:rsidR="00D273D1">
        <w:rPr>
          <w:lang w:val="cs-CZ"/>
        </w:rPr>
        <w:t xml:space="preserve"> </w:t>
      </w:r>
      <w:r>
        <w:rPr>
          <w:lang w:val="cs-CZ"/>
        </w:rPr>
        <w:t xml:space="preserve">Na stranách </w:t>
      </w:r>
      <w:r>
        <w:rPr>
          <w:rFonts w:ascii="TimesNewRomanPSMT" w:hAnsi="TimesNewRomanPSMT"/>
          <w:color w:val="000000"/>
          <w:lang w:val="cs-CZ"/>
        </w:rPr>
        <w:t xml:space="preserve">34-5 podává autor charakteristiku totální instituce, přičemž je zjevné, že domácí péče je v zásadním rozporu téměř se všemi body (např. masovost, sankce, izolace od světa). Pokud by konkrétní příklad domácí péče naplnil souběžně některé ze zmíněných charakteristik, jednalo by se dozajista o trestuhodné týrání seniora. </w:t>
      </w:r>
      <w:r w:rsidR="00DF35D7">
        <w:rPr>
          <w:rFonts w:ascii="TimesNewRomanPSMT" w:hAnsi="TimesNewRomanPSMT"/>
          <w:color w:val="000000"/>
          <w:lang w:val="cs-CZ"/>
        </w:rPr>
        <w:t>Fotografie babičky s pečujícím zetěm na projížďce po okolí v obrazové příloze dokládá to, co je patrné z textu: ve studovaném případě se jedná spíše o ideální příklad domácí péče</w:t>
      </w:r>
      <w:r w:rsidR="005F2788">
        <w:rPr>
          <w:rFonts w:ascii="TimesNewRomanPSMT" w:hAnsi="TimesNewRomanPSMT"/>
          <w:color w:val="000000"/>
          <w:lang w:val="cs-CZ"/>
        </w:rPr>
        <w:t xml:space="preserve"> v rámci instituce rodiny</w:t>
      </w:r>
      <w:r w:rsidR="00DF35D7">
        <w:rPr>
          <w:rFonts w:ascii="TimesNewRomanPSMT" w:hAnsi="TimesNewRomanPSMT"/>
          <w:color w:val="000000"/>
          <w:lang w:val="cs-CZ"/>
        </w:rPr>
        <w:t>, nahony vzdálený čemukoli, co by mohlo být uváděno v souvislosti s totální institucí</w:t>
      </w:r>
      <w:r w:rsidR="005F2788">
        <w:rPr>
          <w:rFonts w:ascii="TimesNewRomanPSMT" w:hAnsi="TimesNewRomanPSMT"/>
          <w:color w:val="000000"/>
          <w:lang w:val="cs-CZ"/>
        </w:rPr>
        <w:t xml:space="preserve"> (za jakou může být za určitých okolností považována i specifická rodina, třeba sektářská či mafiánská a pod.)</w:t>
      </w:r>
      <w:r w:rsidR="00DF35D7">
        <w:rPr>
          <w:rFonts w:ascii="TimesNewRomanPSMT" w:hAnsi="TimesNewRomanPSMT"/>
          <w:color w:val="000000"/>
          <w:lang w:val="cs-CZ"/>
        </w:rPr>
        <w:t xml:space="preserve">. </w:t>
      </w:r>
      <w:r>
        <w:rPr>
          <w:rFonts w:ascii="TimesNewRomanPSMT" w:hAnsi="TimesNewRomanPSMT"/>
          <w:color w:val="000000"/>
          <w:lang w:val="cs-CZ"/>
        </w:rPr>
        <w:t xml:space="preserve">Totální instituce je opakovaně zmiňována v úvodu </w:t>
      </w:r>
      <w:r w:rsidR="00DF35D7">
        <w:rPr>
          <w:rFonts w:ascii="TimesNewRomanPSMT" w:hAnsi="TimesNewRomanPSMT"/>
          <w:color w:val="000000"/>
          <w:lang w:val="cs-CZ"/>
        </w:rPr>
        <w:t>práce (ten se</w:t>
      </w:r>
      <w:r>
        <w:rPr>
          <w:rFonts w:ascii="TimesNewRomanPSMT" w:hAnsi="TimesNewRomanPSMT"/>
          <w:color w:val="000000"/>
          <w:lang w:val="cs-CZ"/>
        </w:rPr>
        <w:t xml:space="preserve"> vyznačuje repetitivností a zbytečným opakováním), posléze je rozvedena v metodologické úvaze a </w:t>
      </w:r>
      <w:r w:rsidR="00DF35D7">
        <w:rPr>
          <w:rFonts w:ascii="TimesNewRomanPSMT" w:hAnsi="TimesNewRomanPSMT"/>
          <w:color w:val="000000"/>
          <w:lang w:val="cs-CZ"/>
        </w:rPr>
        <w:t>p</w:t>
      </w:r>
      <w:r>
        <w:rPr>
          <w:rFonts w:ascii="TimesNewRomanPSMT" w:hAnsi="TimesNewRomanPSMT"/>
          <w:color w:val="000000"/>
          <w:lang w:val="cs-CZ"/>
        </w:rPr>
        <w:t>o ně</w:t>
      </w:r>
      <w:r w:rsidR="00DF35D7">
        <w:rPr>
          <w:rFonts w:ascii="TimesNewRomanPSMT" w:hAnsi="TimesNewRomanPSMT"/>
          <w:color w:val="000000"/>
          <w:lang w:val="cs-CZ"/>
        </w:rPr>
        <w:t>kolika dalších kapitolá</w:t>
      </w:r>
      <w:r>
        <w:rPr>
          <w:rFonts w:ascii="TimesNewRomanPSMT" w:hAnsi="TimesNewRomanPSMT"/>
          <w:color w:val="000000"/>
          <w:lang w:val="cs-CZ"/>
        </w:rPr>
        <w:t>ch</w:t>
      </w:r>
      <w:r w:rsidR="00DF35D7">
        <w:rPr>
          <w:rFonts w:ascii="TimesNewRomanPSMT" w:hAnsi="TimesNewRomanPSMT"/>
          <w:color w:val="000000"/>
          <w:lang w:val="cs-CZ"/>
        </w:rPr>
        <w:t xml:space="preserve"> se ke svému obsesivnímu zaujetí Goffmanem  (povětšinou v Kellerově interpretaci, přičemž Keller je uveden v poznámce, ale nikoli v seznamu literatury, pravděpodobně jde o  Úvod do sociologie, 1997) autor vrací: v závěru jednotlivých podkapitol občas konfrontuje svá zjištění s některou z definic totální instituce (a většinou znaky totální instituce hned vylučuje). </w:t>
      </w:r>
      <w:r w:rsidR="005F2788">
        <w:rPr>
          <w:rFonts w:ascii="TimesNewRomanPSMT" w:hAnsi="TimesNewRomanPSMT"/>
          <w:color w:val="000000"/>
          <w:lang w:val="cs-CZ"/>
        </w:rPr>
        <w:t xml:space="preserve">Autorovo zaujetí právě touto teorií navrhuji komisi jako téma k obhajobě, na vysvětlení jsem velmi zvědav a doufám, že mi bude zprostředkováno (pokud ovšem nejde o čistě intimní zápletku, kdy je student přitahován především charismatem kolegyně, která jej do daného tématu zasvěcovala a Goffman s Kellnerem se tak vezou na vlně mnohem pochopitelnějšího a lidštějšího zaujetí). </w:t>
      </w:r>
    </w:p>
    <w:p w:rsidR="00286918" w:rsidRDefault="005F2788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Práce je protknuta velmi neobratnými formulacemi a stylistickými nesmysly, namátkou uvádím:</w:t>
      </w:r>
      <w:r>
        <w:rPr>
          <w:rFonts w:ascii="TimesNewRomanPSMT" w:hAnsi="TimesNewRomanPSMT"/>
          <w:color w:val="000000"/>
          <w:lang w:val="cs-CZ"/>
        </w:rPr>
        <w:br/>
        <w:t xml:space="preserve"> - </w:t>
      </w:r>
      <w:r w:rsidR="007F0061">
        <w:rPr>
          <w:rFonts w:ascii="TimesNewRomanPSMT" w:hAnsi="TimesNewRomanPSMT"/>
          <w:color w:val="000000"/>
        </w:rPr>
        <w:t>Má situovanost vystupovala především na pracovišti</w:t>
      </w:r>
      <w:r w:rsidR="007F0061">
        <w:rPr>
          <w:rFonts w:ascii="TimesNewRomanPSMT" w:hAnsi="TimesNewRomanPSMT"/>
          <w:color w:val="000000"/>
          <w:lang w:val="cs-CZ"/>
        </w:rPr>
        <w:t xml:space="preserve"> (str. 11)</w:t>
      </w:r>
      <w:r>
        <w:rPr>
          <w:rFonts w:ascii="TimesNewRomanPSMT" w:hAnsi="TimesNewRomanPSMT"/>
          <w:color w:val="000000"/>
          <w:lang w:val="cs-CZ"/>
        </w:rPr>
        <w:br/>
        <w:t xml:space="preserve"> - </w:t>
      </w:r>
      <w:r w:rsidR="007F0061">
        <w:rPr>
          <w:rFonts w:ascii="TimesNewRomanPSMT" w:hAnsi="TimesNewRomanPSMT"/>
          <w:color w:val="000000"/>
        </w:rPr>
        <w:t>Tato práce vznikla za účelem přiblížení čtenářům rodinnou péči o nesoběstačného seniora v domácím prostředí.</w:t>
      </w:r>
      <w:r>
        <w:rPr>
          <w:rFonts w:ascii="TimesNewRomanPSMT" w:hAnsi="TimesNewRomanPSMT"/>
          <w:color w:val="000000"/>
          <w:lang w:val="cs-CZ"/>
        </w:rPr>
        <w:t xml:space="preserve"> </w:t>
      </w:r>
      <w:r w:rsidR="007F0061">
        <w:rPr>
          <w:rFonts w:ascii="TimesNewRomanPSMT" w:hAnsi="TimesNewRomanPSMT"/>
          <w:color w:val="000000"/>
          <w:lang w:val="cs-CZ"/>
        </w:rPr>
        <w:t>(str. 13)</w:t>
      </w:r>
      <w:r>
        <w:rPr>
          <w:rFonts w:ascii="TimesNewRomanPSMT" w:hAnsi="TimesNewRomanPSMT"/>
          <w:color w:val="000000"/>
          <w:lang w:val="cs-CZ"/>
        </w:rPr>
        <w:br/>
        <w:t xml:space="preserve"> - </w:t>
      </w:r>
      <w:r w:rsidR="007F0061">
        <w:rPr>
          <w:rFonts w:ascii="TimesNewRomanPSMT" w:hAnsi="TimesNewRomanPSMT"/>
          <w:color w:val="000000"/>
        </w:rPr>
        <w:t>Data přepsaná na záznamový arch, do terénního deníku, byly spíše náhodné.</w:t>
      </w:r>
      <w:r w:rsidR="00E6281F">
        <w:rPr>
          <w:rFonts w:ascii="TimesNewRomanPSMT" w:hAnsi="TimesNewRomanPSMT"/>
          <w:color w:val="000000"/>
          <w:lang w:val="cs-CZ"/>
        </w:rPr>
        <w:t xml:space="preserve"> </w:t>
      </w:r>
      <w:r>
        <w:rPr>
          <w:rFonts w:ascii="TimesNewRomanPSMT" w:hAnsi="TimesNewRomanPSMT"/>
          <w:color w:val="000000"/>
          <w:lang w:val="cs-CZ"/>
        </w:rPr>
        <w:t xml:space="preserve">(str. </w:t>
      </w:r>
      <w:r w:rsidR="00E6281F">
        <w:rPr>
          <w:rFonts w:ascii="TimesNewRomanPSMT" w:hAnsi="TimesNewRomanPSMT"/>
          <w:color w:val="000000"/>
          <w:lang w:val="cs-CZ"/>
        </w:rPr>
        <w:t>18</w:t>
      </w:r>
      <w:r>
        <w:rPr>
          <w:rFonts w:ascii="TimesNewRomanPSMT" w:hAnsi="TimesNewRomanPSMT"/>
          <w:color w:val="000000"/>
          <w:lang w:val="cs-CZ"/>
        </w:rPr>
        <w:t>)</w:t>
      </w:r>
      <w:r>
        <w:rPr>
          <w:rFonts w:ascii="TimesNewRomanPSMT" w:hAnsi="TimesNewRomanPSMT"/>
          <w:color w:val="000000"/>
          <w:lang w:val="cs-CZ"/>
        </w:rPr>
        <w:br/>
        <w:t xml:space="preserve"> - </w:t>
      </w:r>
      <w:r w:rsidR="00E6281F">
        <w:rPr>
          <w:rFonts w:ascii="TimesNewRomanPSMT" w:hAnsi="TimesNewRomanPSMT"/>
          <w:color w:val="000000"/>
        </w:rPr>
        <w:t>Jsem si jí vědom toho,</w:t>
      </w:r>
      <w:r w:rsidR="00E6281F">
        <w:rPr>
          <w:rFonts w:ascii="TimesNewRomanPSMT" w:hAnsi="TimesNewRomanPSMT"/>
          <w:color w:val="000000"/>
          <w:lang w:val="cs-CZ"/>
        </w:rPr>
        <w:t xml:space="preserve"> </w:t>
      </w:r>
      <w:r w:rsidR="00FE46D6">
        <w:rPr>
          <w:rFonts w:ascii="TimesNewRomanPSMT" w:hAnsi="TimesNewRomanPSMT"/>
          <w:color w:val="000000"/>
          <w:lang w:val="cs-CZ"/>
        </w:rPr>
        <w:t xml:space="preserve">(str. </w:t>
      </w:r>
      <w:r w:rsidR="00E6281F">
        <w:rPr>
          <w:rFonts w:ascii="TimesNewRomanPSMT" w:hAnsi="TimesNewRomanPSMT"/>
          <w:color w:val="000000"/>
          <w:lang w:val="cs-CZ"/>
        </w:rPr>
        <w:t>19</w:t>
      </w:r>
      <w:r w:rsidR="00FE46D6">
        <w:rPr>
          <w:rFonts w:ascii="TimesNewRomanPSMT" w:hAnsi="TimesNewRomanPSMT"/>
          <w:color w:val="000000"/>
          <w:lang w:val="cs-CZ"/>
        </w:rPr>
        <w:t>)</w:t>
      </w:r>
      <w:r w:rsidR="00FE46D6">
        <w:rPr>
          <w:rFonts w:ascii="TimesNewRomanPSMT" w:hAnsi="TimesNewRomanPSMT"/>
          <w:color w:val="000000"/>
          <w:lang w:val="cs-CZ"/>
        </w:rPr>
        <w:br/>
        <w:t xml:space="preserve"> - </w:t>
      </w:r>
      <w:r w:rsidR="00C300AC">
        <w:rPr>
          <w:rFonts w:ascii="TimesNewRomanPSMT" w:hAnsi="TimesNewRomanPSMT"/>
          <w:color w:val="000000"/>
        </w:rPr>
        <w:t>Bolest a celková křehkost předvídá přítomnost únavy.</w:t>
      </w:r>
      <w:r w:rsidR="00C300AC">
        <w:rPr>
          <w:rFonts w:ascii="TimesNewRomanPSMT" w:hAnsi="TimesNewRomanPSMT"/>
          <w:color w:val="000000"/>
          <w:lang w:val="cs-CZ"/>
        </w:rPr>
        <w:t xml:space="preserve"> </w:t>
      </w:r>
      <w:r w:rsidR="00FE46D6">
        <w:rPr>
          <w:rFonts w:ascii="TimesNewRomanPSMT" w:hAnsi="TimesNewRomanPSMT"/>
          <w:color w:val="000000"/>
          <w:lang w:val="cs-CZ"/>
        </w:rPr>
        <w:t xml:space="preserve">(str. </w:t>
      </w:r>
      <w:r w:rsidR="00C300AC">
        <w:rPr>
          <w:rFonts w:ascii="TimesNewRomanPSMT" w:hAnsi="TimesNewRomanPSMT"/>
          <w:color w:val="000000"/>
          <w:lang w:val="cs-CZ"/>
        </w:rPr>
        <w:t>32</w:t>
      </w:r>
      <w:r w:rsidR="00FE46D6">
        <w:rPr>
          <w:rFonts w:ascii="TimesNewRomanPSMT" w:hAnsi="TimesNewRomanPSMT"/>
          <w:color w:val="000000"/>
          <w:lang w:val="cs-CZ"/>
        </w:rPr>
        <w:t>)</w:t>
      </w:r>
      <w:r w:rsidR="00FE46D6">
        <w:rPr>
          <w:rFonts w:ascii="TimesNewRomanPSMT" w:hAnsi="TimesNewRomanPSMT"/>
          <w:color w:val="000000"/>
          <w:lang w:val="cs-CZ"/>
        </w:rPr>
        <w:br/>
        <w:t xml:space="preserve">  - </w:t>
      </w:r>
      <w:r w:rsidR="00286918">
        <w:rPr>
          <w:rFonts w:ascii="TimesNewRomanPSMT" w:hAnsi="TimesNewRomanPSMT"/>
          <w:color w:val="000000"/>
        </w:rPr>
        <w:t>jsme si vysvětlili, jakým nadhledem se na celou problematiku dívám</w:t>
      </w:r>
      <w:r w:rsidR="00286918">
        <w:rPr>
          <w:rFonts w:ascii="TimesNewRomanPSMT" w:hAnsi="TimesNewRomanPSMT"/>
          <w:color w:val="000000"/>
          <w:lang w:val="cs-CZ"/>
        </w:rPr>
        <w:t xml:space="preserve"> </w:t>
      </w:r>
      <w:r w:rsidR="00FE46D6">
        <w:rPr>
          <w:rFonts w:ascii="TimesNewRomanPSMT" w:hAnsi="TimesNewRomanPSMT"/>
          <w:color w:val="000000"/>
          <w:lang w:val="cs-CZ"/>
        </w:rPr>
        <w:t xml:space="preserve">(str. </w:t>
      </w:r>
      <w:r w:rsidR="00286918">
        <w:rPr>
          <w:rFonts w:ascii="TimesNewRomanPSMT" w:hAnsi="TimesNewRomanPSMT"/>
          <w:color w:val="000000"/>
          <w:lang w:val="cs-CZ"/>
        </w:rPr>
        <w:t>61</w:t>
      </w:r>
      <w:r w:rsidR="00FE46D6">
        <w:rPr>
          <w:rFonts w:ascii="TimesNewRomanPSMT" w:hAnsi="TimesNewRomanPSMT"/>
          <w:color w:val="000000"/>
          <w:lang w:val="cs-CZ"/>
        </w:rPr>
        <w:t>)</w:t>
      </w:r>
    </w:p>
    <w:p w:rsidR="00FE46D6" w:rsidRDefault="00FE46D6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Dále autor přejímá nejotřepanější klišé: - </w:t>
      </w:r>
      <w:r>
        <w:rPr>
          <w:rFonts w:ascii="TimesNewRomanPSMT" w:hAnsi="TimesNewRomanPSMT"/>
          <w:color w:val="000000"/>
        </w:rPr>
        <w:t>avšak životní cesty jsou nevyzpytatelné.</w:t>
      </w:r>
      <w:r>
        <w:rPr>
          <w:rFonts w:ascii="TimesNewRomanPSMT" w:hAnsi="TimesNewRomanPSMT"/>
          <w:color w:val="000000"/>
          <w:lang w:val="cs-CZ"/>
        </w:rPr>
        <w:t xml:space="preserve"> (str. 37)</w:t>
      </w:r>
    </w:p>
    <w:p w:rsidR="00FE46D6" w:rsidRDefault="00FE46D6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Mám-li tedy parafrázovat autora, „má situovanost vystupuje a na problém této práce se dívá následujícím nadhledem“: autor pracoval s množstvím odborných textů a věnoval se tématu, které ho evidentně zajímá a jemuž se, možná, chce v budoucnu věnovat ve své profesi (viz. zmíněné pracovní stáže). Šel cestou nejmenšího odporu, rozvinul to, co už si zkusil v práci bakalářské a zůstal v důvěrně známém prostředí. To není kritika, jen konstatování, které asi částečně charakterizuje založení autora, který se zdráhá odvážně vydat do neznáma. </w:t>
      </w:r>
      <w:r w:rsidR="00D90615">
        <w:rPr>
          <w:rFonts w:ascii="TimesNewRomanPSMT" w:hAnsi="TimesNewRomanPSMT"/>
          <w:color w:val="000000"/>
          <w:lang w:val="cs-CZ"/>
        </w:rPr>
        <w:t>Výsledek tomu odpovídá, jde o standardní (mnohdy nestandardně formulovanou) práci, která nepřináší žádná nová zjištění pro čtenáře, který se s domácí péčí někdy setkal nebo do ní byl aktivně zapojen.</w:t>
      </w:r>
    </w:p>
    <w:p w:rsidR="00D273D1" w:rsidRDefault="00D90615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Na závěr bych rád požádal o vysvětlení, co autor rozumí termínem „farník“ – viz. tři věty:</w:t>
      </w:r>
      <w:r>
        <w:rPr>
          <w:rFonts w:ascii="TimesNewRomanPSMT" w:hAnsi="TimesNewRomanPSMT"/>
          <w:color w:val="000000"/>
          <w:lang w:val="cs-CZ"/>
        </w:rPr>
        <w:br/>
        <w:t>„</w:t>
      </w:r>
      <w:r w:rsidR="00286918">
        <w:rPr>
          <w:rFonts w:ascii="TimesNewRomanPSMT" w:hAnsi="TimesNewRomanPSMT"/>
          <w:color w:val="000000"/>
        </w:rPr>
        <w:t xml:space="preserve">Samozřejmě se kněží může postarat i o jedince mimo farnost, ale má povinnost ohlásit to danému farníkovi. Dozvěděl jsem se, že tento fakt je sice požadován, ale všichni farníci vždy vyjdou vstříc s </w:t>
      </w:r>
      <w:r w:rsidR="00286918">
        <w:rPr>
          <w:rFonts w:ascii="TimesNewRomanPSMT" w:hAnsi="TimesNewRomanPSMT"/>
          <w:color w:val="000000"/>
        </w:rPr>
        <w:lastRenderedPageBreak/>
        <w:t>radostí. Tato problematika vychází ze střídání farníků a vybudované důvěry.</w:t>
      </w:r>
      <w:r>
        <w:rPr>
          <w:rFonts w:ascii="TimesNewRomanPSMT" w:hAnsi="TimesNewRomanPSMT"/>
          <w:color w:val="000000"/>
          <w:lang w:val="cs-CZ"/>
        </w:rPr>
        <w:t>“ (str.</w:t>
      </w:r>
      <w:r w:rsidR="00286918">
        <w:rPr>
          <w:rFonts w:ascii="TimesNewRomanPSMT" w:hAnsi="TimesNewRomanPSMT"/>
          <w:color w:val="000000"/>
          <w:lang w:val="cs-CZ"/>
        </w:rPr>
        <w:t xml:space="preserve"> 69</w:t>
      </w:r>
      <w:r>
        <w:rPr>
          <w:rFonts w:ascii="TimesNewRomanPSMT" w:hAnsi="TimesNewRomanPSMT"/>
          <w:color w:val="000000"/>
          <w:lang w:val="cs-CZ"/>
        </w:rPr>
        <w:t>). Asi mi zůstává utajena terminologie, užívaná v katolickém prostředí</w:t>
      </w:r>
      <w:r w:rsidR="00826FB9">
        <w:rPr>
          <w:rFonts w:ascii="TimesNewRomanPSMT" w:hAnsi="TimesNewRomanPSMT"/>
          <w:color w:val="000000"/>
          <w:lang w:val="cs-CZ"/>
        </w:rPr>
        <w:t xml:space="preserve"> a rád bych do těchto tajů pronikl v rámci ekumeny</w:t>
      </w:r>
      <w:r>
        <w:rPr>
          <w:rFonts w:ascii="TimesNewRomanPSMT" w:hAnsi="TimesNewRomanPSMT"/>
          <w:color w:val="000000"/>
          <w:lang w:val="cs-CZ"/>
        </w:rPr>
        <w:t>. Jako praktikující a aktivní křesťan (od kolébky, tedy nikoli vlastním rozhodnutím, to až později) ovšem</w:t>
      </w:r>
      <w:r w:rsidR="00826FB9">
        <w:rPr>
          <w:rFonts w:ascii="TimesNewRomanPSMT" w:hAnsi="TimesNewRomanPSMT"/>
          <w:color w:val="000000"/>
          <w:lang w:val="cs-CZ"/>
        </w:rPr>
        <w:t xml:space="preserve"> s příslušností k</w:t>
      </w:r>
      <w:r>
        <w:rPr>
          <w:rFonts w:ascii="TimesNewRomanPSMT" w:hAnsi="TimesNewRomanPSMT"/>
          <w:color w:val="000000"/>
          <w:lang w:val="cs-CZ"/>
        </w:rPr>
        <w:t xml:space="preserve"> jiné, reformované, tedy protestantské</w:t>
      </w:r>
      <w:r w:rsidR="00826FB9">
        <w:rPr>
          <w:rFonts w:ascii="TimesNewRomanPSMT" w:hAnsi="TimesNewRomanPSMT"/>
          <w:color w:val="000000"/>
          <w:lang w:val="cs-CZ"/>
        </w:rPr>
        <w:t xml:space="preserve"> denominaci</w:t>
      </w:r>
      <w:r>
        <w:rPr>
          <w:rFonts w:ascii="TimesNewRomanPSMT" w:hAnsi="TimesNewRomanPSMT"/>
          <w:color w:val="000000"/>
          <w:lang w:val="cs-CZ"/>
        </w:rPr>
        <w:t>, rozumím pod pojmem „f</w:t>
      </w:r>
      <w:r w:rsidR="00D273D1">
        <w:rPr>
          <w:rFonts w:ascii="TimesNewRomanPSMT" w:hAnsi="TimesNewRomanPSMT"/>
          <w:color w:val="000000"/>
          <w:lang w:val="cs-CZ"/>
        </w:rPr>
        <w:t>arník</w:t>
      </w:r>
      <w:r>
        <w:rPr>
          <w:rFonts w:ascii="TimesNewRomanPSMT" w:hAnsi="TimesNewRomanPSMT"/>
          <w:color w:val="000000"/>
          <w:lang w:val="cs-CZ"/>
        </w:rPr>
        <w:t>“</w:t>
      </w:r>
      <w:r w:rsidR="00D273D1">
        <w:rPr>
          <w:rFonts w:ascii="TimesNewRomanPSMT" w:hAnsi="TimesNewRomanPSMT"/>
          <w:color w:val="000000"/>
          <w:lang w:val="cs-CZ"/>
        </w:rPr>
        <w:t xml:space="preserve"> příslušník</w:t>
      </w:r>
      <w:r>
        <w:rPr>
          <w:rFonts w:ascii="TimesNewRomanPSMT" w:hAnsi="TimesNewRomanPSMT"/>
          <w:color w:val="000000"/>
          <w:lang w:val="cs-CZ"/>
        </w:rPr>
        <w:t>a</w:t>
      </w:r>
      <w:r w:rsidR="00D273D1">
        <w:rPr>
          <w:rFonts w:ascii="TimesNewRomanPSMT" w:hAnsi="TimesNewRomanPSMT"/>
          <w:color w:val="000000"/>
          <w:lang w:val="cs-CZ"/>
        </w:rPr>
        <w:t xml:space="preserve"> farního obvodu</w:t>
      </w:r>
      <w:r>
        <w:rPr>
          <w:rFonts w:ascii="TimesNewRomanPSMT" w:hAnsi="TimesNewRomanPSMT"/>
          <w:color w:val="000000"/>
          <w:lang w:val="cs-CZ"/>
        </w:rPr>
        <w:t xml:space="preserve"> (shodně s naučnými slovníky),  člena církevní obce</w:t>
      </w:r>
      <w:r w:rsidR="00D273D1">
        <w:rPr>
          <w:rFonts w:ascii="TimesNewRomanPSMT" w:hAnsi="TimesNewRomanPSMT"/>
          <w:color w:val="000000"/>
          <w:lang w:val="cs-CZ"/>
        </w:rPr>
        <w:t>, člen</w:t>
      </w:r>
      <w:r>
        <w:rPr>
          <w:rFonts w:ascii="TimesNewRomanPSMT" w:hAnsi="TimesNewRomanPSMT"/>
          <w:color w:val="000000"/>
          <w:lang w:val="cs-CZ"/>
        </w:rPr>
        <w:t>a</w:t>
      </w:r>
      <w:r w:rsidR="00D273D1">
        <w:rPr>
          <w:rFonts w:ascii="TimesNewRomanPSMT" w:hAnsi="TimesNewRomanPSMT"/>
          <w:color w:val="000000"/>
          <w:lang w:val="cs-CZ"/>
        </w:rPr>
        <w:t xml:space="preserve"> </w:t>
      </w:r>
      <w:r>
        <w:rPr>
          <w:rFonts w:ascii="TimesNewRomanPSMT" w:hAnsi="TimesNewRomanPSMT"/>
          <w:color w:val="000000"/>
          <w:lang w:val="cs-CZ"/>
        </w:rPr>
        <w:t>farníh</w:t>
      </w:r>
      <w:r w:rsidR="00D273D1">
        <w:rPr>
          <w:rFonts w:ascii="TimesNewRomanPSMT" w:hAnsi="TimesNewRomanPSMT"/>
          <w:color w:val="000000"/>
          <w:lang w:val="cs-CZ"/>
        </w:rPr>
        <w:t>o sboru</w:t>
      </w:r>
      <w:r>
        <w:rPr>
          <w:rFonts w:ascii="TimesNewRomanPSMT" w:hAnsi="TimesNewRomanPSMT"/>
          <w:color w:val="000000"/>
          <w:lang w:val="cs-CZ"/>
        </w:rPr>
        <w:t>, evidovaného ve farních matrikách, v mém případě farníka dvou sborů Českobratrské církve evangelické v Křížlicích a v Jilemnici platícího</w:t>
      </w:r>
      <w:r w:rsidR="00826FB9">
        <w:rPr>
          <w:rFonts w:ascii="TimesNewRomanPSMT" w:hAnsi="TimesNewRomanPSMT"/>
          <w:color w:val="000000"/>
          <w:lang w:val="cs-CZ"/>
        </w:rPr>
        <w:t xml:space="preserve"> – a v mládí ignorujícího -</w:t>
      </w:r>
      <w:r>
        <w:rPr>
          <w:rFonts w:ascii="TimesNewRomanPSMT" w:hAnsi="TimesNewRomanPSMT"/>
          <w:color w:val="000000"/>
          <w:lang w:val="cs-CZ"/>
        </w:rPr>
        <w:t xml:space="preserve"> pravidelný příspěvek na fungování domovských sborů – salár)</w:t>
      </w:r>
      <w:r w:rsidR="00826FB9">
        <w:rPr>
          <w:rFonts w:ascii="TimesNewRomanPSMT" w:hAnsi="TimesNewRomanPSMT"/>
          <w:color w:val="000000"/>
          <w:lang w:val="cs-CZ"/>
        </w:rPr>
        <w:t>. K jakému „farníkovi“ má onen „kněží“ (zajímavý tvar, když jde v rámci věty o singulár nominativu) oznamovací povinnost?</w:t>
      </w:r>
    </w:p>
    <w:p w:rsidR="00826FB9" w:rsidRDefault="00826FB9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Práci navrhuji k obhajobě s hodnocením D.</w:t>
      </w:r>
    </w:p>
    <w:p w:rsidR="00826FB9" w:rsidRDefault="00826FB9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Ve Františkově v den 241. výročí zrušení</w:t>
      </w:r>
      <w:r w:rsidR="00E4196D">
        <w:rPr>
          <w:rFonts w:ascii="TimesNewRomanPSMT" w:hAnsi="TimesNewRomanPSMT"/>
          <w:color w:val="000000"/>
          <w:lang w:val="cs-CZ"/>
        </w:rPr>
        <w:t xml:space="preserve"> nevolnictví (totální instituce</w:t>
      </w:r>
      <w:r>
        <w:rPr>
          <w:rFonts w:ascii="TimesNewRomanPSMT" w:hAnsi="TimesNewRomanPSMT"/>
          <w:color w:val="000000"/>
          <w:lang w:val="cs-CZ"/>
        </w:rPr>
        <w:t>) v našich zemích patentem císaře Josefa II (který přinesl v omezené míře náboženskou svobodu i nám, evangelíkům</w:t>
      </w:r>
      <w:r w:rsidR="00E4196D">
        <w:rPr>
          <w:rFonts w:ascii="TimesNewRomanPSMT" w:hAnsi="TimesNewRomanPSMT"/>
          <w:color w:val="000000"/>
          <w:lang w:val="cs-CZ"/>
        </w:rPr>
        <w:t>, dalším svým patentem o deset měsíců později</w:t>
      </w:r>
      <w:r>
        <w:rPr>
          <w:rFonts w:ascii="TimesNewRomanPSMT" w:hAnsi="TimesNewRomanPSMT"/>
          <w:color w:val="000000"/>
          <w:lang w:val="cs-CZ"/>
        </w:rPr>
        <w:t>)</w:t>
      </w:r>
    </w:p>
    <w:p w:rsidR="00826FB9" w:rsidRDefault="00826FB9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9. ledna 2022</w:t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  <w:t>Tomáš Petráň</w:t>
      </w:r>
    </w:p>
    <w:p w:rsidR="00826FB9" w:rsidRPr="00286918" w:rsidRDefault="00826FB9">
      <w:pPr>
        <w:rPr>
          <w:lang w:val="cs-CZ"/>
        </w:rPr>
      </w:pPr>
    </w:p>
    <w:sectPr w:rsidR="00826FB9" w:rsidRPr="002869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0061"/>
    <w:rsid w:val="00286918"/>
    <w:rsid w:val="004D2779"/>
    <w:rsid w:val="005F2788"/>
    <w:rsid w:val="007F0061"/>
    <w:rsid w:val="00826FB9"/>
    <w:rsid w:val="00C300AC"/>
    <w:rsid w:val="00D14D22"/>
    <w:rsid w:val="00D273D1"/>
    <w:rsid w:val="00D90615"/>
    <w:rsid w:val="00DF35D7"/>
    <w:rsid w:val="00E4196D"/>
    <w:rsid w:val="00E6281F"/>
    <w:rsid w:val="00EE47C3"/>
    <w:rsid w:val="00FE4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3EF051-5403-49C7-880C-A23121847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745</Words>
  <Characters>4397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Bazantova Denisa</cp:lastModifiedBy>
  <cp:revision>2</cp:revision>
  <dcterms:created xsi:type="dcterms:W3CDTF">2022-01-17T13:36:00Z</dcterms:created>
  <dcterms:modified xsi:type="dcterms:W3CDTF">2022-01-17T13:36:00Z</dcterms:modified>
</cp:coreProperties>
</file>