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DE68CF" w14:textId="29321665" w:rsidR="00EF3463" w:rsidRPr="00EF3463" w:rsidRDefault="00EF3463" w:rsidP="008F07D4">
      <w:pPr>
        <w:jc w:val="both"/>
        <w:rPr>
          <w:b/>
          <w:bCs/>
          <w:snapToGrid w:val="0"/>
          <w:sz w:val="28"/>
          <w:szCs w:val="28"/>
        </w:rPr>
      </w:pPr>
      <w:r w:rsidRPr="00EF3463">
        <w:rPr>
          <w:b/>
          <w:bCs/>
          <w:snapToGrid w:val="0"/>
          <w:sz w:val="28"/>
          <w:szCs w:val="28"/>
        </w:rPr>
        <w:t xml:space="preserve">Simona Hanušová: Vojenští zběhové na panství Litomyšl a Lanškroun </w:t>
      </w:r>
      <w:r w:rsidR="008F07D4">
        <w:rPr>
          <w:b/>
          <w:bCs/>
          <w:snapToGrid w:val="0"/>
          <w:sz w:val="28"/>
          <w:szCs w:val="28"/>
        </w:rPr>
        <w:t xml:space="preserve">          </w:t>
      </w:r>
      <w:r w:rsidRPr="00EF3463">
        <w:rPr>
          <w:b/>
          <w:bCs/>
          <w:snapToGrid w:val="0"/>
          <w:sz w:val="28"/>
          <w:szCs w:val="28"/>
        </w:rPr>
        <w:t>ve druhé polovině 18. století.</w:t>
      </w:r>
    </w:p>
    <w:p w14:paraId="21F2A638" w14:textId="7027EBAD" w:rsidR="001A7C8F" w:rsidRPr="00EF3463" w:rsidRDefault="001A7C8F" w:rsidP="008F07D4">
      <w:pPr>
        <w:jc w:val="both"/>
        <w:rPr>
          <w:snapToGrid w:val="0"/>
          <w:sz w:val="28"/>
          <w:szCs w:val="28"/>
        </w:rPr>
      </w:pPr>
      <w:r w:rsidRPr="00EF3463">
        <w:rPr>
          <w:snapToGrid w:val="0"/>
          <w:sz w:val="28"/>
          <w:szCs w:val="28"/>
        </w:rPr>
        <w:t xml:space="preserve">Bakalářská práce. </w:t>
      </w:r>
      <w:r w:rsidR="000F4D38" w:rsidRPr="00EF3463">
        <w:rPr>
          <w:snapToGrid w:val="0"/>
          <w:sz w:val="28"/>
          <w:szCs w:val="28"/>
        </w:rPr>
        <w:t>Ústav</w:t>
      </w:r>
      <w:r w:rsidRPr="00EF3463">
        <w:rPr>
          <w:snapToGrid w:val="0"/>
          <w:sz w:val="28"/>
          <w:szCs w:val="28"/>
        </w:rPr>
        <w:t xml:space="preserve"> historických věd </w:t>
      </w:r>
      <w:r w:rsidR="00464E35" w:rsidRPr="00EF3463">
        <w:rPr>
          <w:snapToGrid w:val="0"/>
          <w:sz w:val="28"/>
          <w:szCs w:val="28"/>
        </w:rPr>
        <w:t>Filosofické f</w:t>
      </w:r>
      <w:r w:rsidRPr="00EF3463">
        <w:rPr>
          <w:snapToGrid w:val="0"/>
          <w:sz w:val="28"/>
          <w:szCs w:val="28"/>
        </w:rPr>
        <w:t>akulty University Pardubice, Pardubice 20</w:t>
      </w:r>
      <w:r w:rsidR="00EF3463" w:rsidRPr="00EF3463">
        <w:rPr>
          <w:snapToGrid w:val="0"/>
          <w:sz w:val="28"/>
          <w:szCs w:val="28"/>
        </w:rPr>
        <w:t>24</w:t>
      </w:r>
      <w:r w:rsidRPr="00EF3463">
        <w:rPr>
          <w:snapToGrid w:val="0"/>
          <w:sz w:val="28"/>
          <w:szCs w:val="28"/>
        </w:rPr>
        <w:t>.</w:t>
      </w:r>
    </w:p>
    <w:p w14:paraId="74DF6CEF" w14:textId="12A5E62E" w:rsidR="001A7C8F" w:rsidRPr="00EF3463" w:rsidRDefault="001A7C8F" w:rsidP="008F07D4">
      <w:pPr>
        <w:jc w:val="both"/>
        <w:rPr>
          <w:snapToGrid w:val="0"/>
          <w:sz w:val="28"/>
          <w:szCs w:val="28"/>
        </w:rPr>
      </w:pPr>
      <w:r w:rsidRPr="00EF3463">
        <w:rPr>
          <w:snapToGrid w:val="0"/>
          <w:sz w:val="28"/>
          <w:szCs w:val="28"/>
        </w:rPr>
        <w:t xml:space="preserve">Oponentský posudek </w:t>
      </w:r>
    </w:p>
    <w:p w14:paraId="3A630EAD" w14:textId="77777777" w:rsidR="001A7C8F" w:rsidRPr="00EF3463" w:rsidRDefault="001A7C8F" w:rsidP="008F07D4">
      <w:pPr>
        <w:jc w:val="both"/>
        <w:rPr>
          <w:snapToGrid w:val="0"/>
          <w:sz w:val="28"/>
          <w:szCs w:val="28"/>
        </w:rPr>
      </w:pPr>
    </w:p>
    <w:p w14:paraId="3243B890" w14:textId="4067EA00" w:rsidR="005117EA" w:rsidRPr="005117EA" w:rsidRDefault="005117EA" w:rsidP="008F07D4">
      <w:pPr>
        <w:jc w:val="both"/>
        <w:rPr>
          <w:bCs/>
          <w:snapToGrid w:val="0"/>
          <w:sz w:val="28"/>
          <w:szCs w:val="28"/>
        </w:rPr>
      </w:pPr>
      <w:r>
        <w:rPr>
          <w:b/>
          <w:snapToGrid w:val="0"/>
          <w:sz w:val="28"/>
          <w:szCs w:val="28"/>
        </w:rPr>
        <w:tab/>
      </w:r>
      <w:r>
        <w:rPr>
          <w:bCs/>
          <w:snapToGrid w:val="0"/>
          <w:sz w:val="28"/>
          <w:szCs w:val="28"/>
        </w:rPr>
        <w:t>Autorka se zaměřila na zajímavé a dosud nepříliš zpracované téma. Sledo</w:t>
      </w:r>
      <w:r w:rsidR="008F07D4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vala hlavně život zběhů mimo armádu jako lidí na okraji společnosti, ale také přístup civilního obyvatelstva a úřadů. </w:t>
      </w:r>
    </w:p>
    <w:p w14:paraId="037B903E" w14:textId="2E91C533" w:rsidR="005117EA" w:rsidRDefault="005117EA" w:rsidP="008F07D4">
      <w:pPr>
        <w:jc w:val="both"/>
        <w:rPr>
          <w:bCs/>
          <w:snapToGrid w:val="0"/>
          <w:sz w:val="28"/>
          <w:szCs w:val="28"/>
        </w:rPr>
      </w:pPr>
      <w:r w:rsidRPr="005117EA">
        <w:rPr>
          <w:bCs/>
          <w:snapToGrid w:val="0"/>
          <w:sz w:val="28"/>
          <w:szCs w:val="28"/>
        </w:rPr>
        <w:tab/>
        <w:t>V úvodu je stanoven cíl práce</w:t>
      </w:r>
      <w:r>
        <w:rPr>
          <w:bCs/>
          <w:snapToGrid w:val="0"/>
          <w:sz w:val="28"/>
          <w:szCs w:val="28"/>
        </w:rPr>
        <w:t>, její rozložení</w:t>
      </w:r>
      <w:r w:rsidRPr="005117EA">
        <w:rPr>
          <w:bCs/>
          <w:snapToGrid w:val="0"/>
          <w:sz w:val="28"/>
          <w:szCs w:val="28"/>
        </w:rPr>
        <w:t xml:space="preserve"> a jsou zhodnoceny hlavní zdroje. </w:t>
      </w:r>
      <w:r>
        <w:rPr>
          <w:bCs/>
          <w:snapToGrid w:val="0"/>
          <w:sz w:val="28"/>
          <w:szCs w:val="28"/>
        </w:rPr>
        <w:t xml:space="preserve">Využita byla odborná literatura domácí i zahraniční a prameny úřední povahy z Národního archivu Praha a SOA Hradec Králové, zčásti také prameny vydané. </w:t>
      </w:r>
    </w:p>
    <w:p w14:paraId="215CD1EA" w14:textId="0015F7D6" w:rsidR="005117EA" w:rsidRDefault="005117EA" w:rsidP="008F07D4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V první kapitole autorka podala přiměřený výklad o době Marie Terezie </w:t>
      </w:r>
      <w:r w:rsidR="008F07D4">
        <w:rPr>
          <w:bCs/>
          <w:snapToGrid w:val="0"/>
          <w:sz w:val="28"/>
          <w:szCs w:val="28"/>
        </w:rPr>
        <w:t xml:space="preserve">    </w:t>
      </w:r>
      <w:r>
        <w:rPr>
          <w:bCs/>
          <w:snapToGrid w:val="0"/>
          <w:sz w:val="28"/>
          <w:szCs w:val="28"/>
        </w:rPr>
        <w:t>a o významu jejích armádních reforem. Hned na začátku ale je příliš velkoryse ur</w:t>
      </w:r>
      <w:r w:rsidR="008F07D4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čen teritoriální rozměr tehdejší habsburské monarchie (s. 11) a také se zdá, že autorka nezná správný obsah pojmu „vojenská hranice“ (s. 15). Marie Terezie také nikdy nebyl</w:t>
      </w:r>
      <w:r w:rsidR="00275EEE">
        <w:rPr>
          <w:bCs/>
          <w:snapToGrid w:val="0"/>
          <w:sz w:val="28"/>
          <w:szCs w:val="28"/>
        </w:rPr>
        <w:t>a</w:t>
      </w:r>
      <w:r>
        <w:rPr>
          <w:bCs/>
          <w:snapToGrid w:val="0"/>
          <w:sz w:val="28"/>
          <w:szCs w:val="28"/>
        </w:rPr>
        <w:t xml:space="preserve"> císařovnou (s. 11). </w:t>
      </w:r>
      <w:r w:rsidR="002F122F">
        <w:rPr>
          <w:bCs/>
          <w:snapToGrid w:val="0"/>
          <w:sz w:val="28"/>
          <w:szCs w:val="28"/>
        </w:rPr>
        <w:t>Je možno v době předovek mluvit o mu</w:t>
      </w:r>
      <w:r w:rsidR="008F07D4">
        <w:rPr>
          <w:bCs/>
          <w:snapToGrid w:val="0"/>
          <w:sz w:val="28"/>
          <w:szCs w:val="28"/>
        </w:rPr>
        <w:softHyphen/>
      </w:r>
      <w:r w:rsidR="002F122F">
        <w:rPr>
          <w:bCs/>
          <w:snapToGrid w:val="0"/>
          <w:sz w:val="28"/>
          <w:szCs w:val="28"/>
        </w:rPr>
        <w:t xml:space="preserve">nici a nábojnicích (s. 25)? </w:t>
      </w:r>
    </w:p>
    <w:p w14:paraId="2FB468A0" w14:textId="23C96BF5" w:rsidR="0020021D" w:rsidRDefault="0020021D" w:rsidP="008F07D4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Druhá kapitola je věnována otázce </w:t>
      </w:r>
      <w:proofErr w:type="gramStart"/>
      <w:r>
        <w:rPr>
          <w:bCs/>
          <w:snapToGrid w:val="0"/>
          <w:sz w:val="28"/>
          <w:szCs w:val="28"/>
        </w:rPr>
        <w:t>deserce</w:t>
      </w:r>
      <w:proofErr w:type="gramEnd"/>
      <w:r>
        <w:rPr>
          <w:bCs/>
          <w:snapToGrid w:val="0"/>
          <w:sz w:val="28"/>
          <w:szCs w:val="28"/>
        </w:rPr>
        <w:t xml:space="preserve"> v obecné rovině. Zde autorka vy</w:t>
      </w:r>
      <w:r w:rsidR="00472578">
        <w:rPr>
          <w:bCs/>
          <w:snapToGrid w:val="0"/>
          <w:sz w:val="28"/>
          <w:szCs w:val="28"/>
        </w:rPr>
        <w:t>u</w:t>
      </w:r>
      <w:r>
        <w:rPr>
          <w:bCs/>
          <w:snapToGrid w:val="0"/>
          <w:sz w:val="28"/>
          <w:szCs w:val="28"/>
        </w:rPr>
        <w:t xml:space="preserve">žila </w:t>
      </w:r>
      <w:r w:rsidR="00472578">
        <w:rPr>
          <w:bCs/>
          <w:snapToGrid w:val="0"/>
          <w:sz w:val="28"/>
          <w:szCs w:val="28"/>
        </w:rPr>
        <w:t xml:space="preserve">odpovídající </w:t>
      </w:r>
      <w:r>
        <w:rPr>
          <w:bCs/>
          <w:snapToGrid w:val="0"/>
          <w:sz w:val="28"/>
          <w:szCs w:val="28"/>
        </w:rPr>
        <w:t>odbornou literaturu</w:t>
      </w:r>
      <w:r w:rsidR="00472578">
        <w:rPr>
          <w:bCs/>
          <w:snapToGrid w:val="0"/>
          <w:sz w:val="28"/>
          <w:szCs w:val="28"/>
        </w:rPr>
        <w:t>, věnovala se důvodům útěků, možnos</w:t>
      </w:r>
      <w:r w:rsidR="008F07D4">
        <w:rPr>
          <w:bCs/>
          <w:snapToGrid w:val="0"/>
          <w:sz w:val="28"/>
          <w:szCs w:val="28"/>
        </w:rPr>
        <w:softHyphen/>
      </w:r>
      <w:r w:rsidR="00472578">
        <w:rPr>
          <w:bCs/>
          <w:snapToGrid w:val="0"/>
          <w:sz w:val="28"/>
          <w:szCs w:val="28"/>
        </w:rPr>
        <w:t xml:space="preserve">tem, okolnostem, armádním protiopatřením. Překlad definice </w:t>
      </w:r>
      <w:proofErr w:type="gramStart"/>
      <w:r w:rsidR="00472578">
        <w:rPr>
          <w:bCs/>
          <w:snapToGrid w:val="0"/>
          <w:sz w:val="28"/>
          <w:szCs w:val="28"/>
        </w:rPr>
        <w:t>desertéra</w:t>
      </w:r>
      <w:proofErr w:type="gramEnd"/>
      <w:r w:rsidR="00472578">
        <w:rPr>
          <w:bCs/>
          <w:snapToGrid w:val="0"/>
          <w:sz w:val="28"/>
          <w:szCs w:val="28"/>
        </w:rPr>
        <w:t xml:space="preserve"> na s. 27 (1. odstavec) je však sporný, jako by autorka o významu ani nepřemýšlela.</w:t>
      </w:r>
      <w:r w:rsidR="008B0848">
        <w:rPr>
          <w:bCs/>
          <w:snapToGrid w:val="0"/>
          <w:sz w:val="28"/>
          <w:szCs w:val="28"/>
        </w:rPr>
        <w:t xml:space="preserve"> Po</w:t>
      </w:r>
      <w:r w:rsidR="008F07D4">
        <w:rPr>
          <w:bCs/>
          <w:snapToGrid w:val="0"/>
          <w:sz w:val="28"/>
          <w:szCs w:val="28"/>
        </w:rPr>
        <w:softHyphen/>
      </w:r>
      <w:r w:rsidR="008B0848">
        <w:rPr>
          <w:bCs/>
          <w:snapToGrid w:val="0"/>
          <w:sz w:val="28"/>
          <w:szCs w:val="28"/>
        </w:rPr>
        <w:t xml:space="preserve">dobně tvrzení, že citovaný „pardon“ Marie Terezie byl napsán česky (s. 37), spíš se jednalo překlad. </w:t>
      </w:r>
    </w:p>
    <w:p w14:paraId="0FAF5D32" w14:textId="69AE792C" w:rsidR="00472578" w:rsidRDefault="00472578" w:rsidP="008F07D4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Kapitola třetí již představuje jádro práce, místní sondu směrovanou na panství Litomyšl a Lanškroun, hlavním zdrojem poznatků byly archivní fondy velkostatků. </w:t>
      </w:r>
      <w:r w:rsidR="00EA5F05">
        <w:rPr>
          <w:bCs/>
          <w:snapToGrid w:val="0"/>
          <w:sz w:val="28"/>
          <w:szCs w:val="28"/>
        </w:rPr>
        <w:t>Prameny zde přinesly řadu zajímavých údajů o chycených deserté</w:t>
      </w:r>
      <w:r w:rsidR="008F07D4">
        <w:rPr>
          <w:bCs/>
          <w:snapToGrid w:val="0"/>
          <w:sz w:val="28"/>
          <w:szCs w:val="28"/>
        </w:rPr>
        <w:softHyphen/>
      </w:r>
      <w:r w:rsidR="00EA5F05">
        <w:rPr>
          <w:bCs/>
          <w:snapToGrid w:val="0"/>
          <w:sz w:val="28"/>
          <w:szCs w:val="28"/>
        </w:rPr>
        <w:t>rech, o trestech pro uprchlíky (včetně konfiskace jejich majetku, byl-li jaký) i je</w:t>
      </w:r>
      <w:r w:rsidR="008F07D4">
        <w:rPr>
          <w:bCs/>
          <w:snapToGrid w:val="0"/>
          <w:sz w:val="28"/>
          <w:szCs w:val="28"/>
        </w:rPr>
        <w:softHyphen/>
      </w:r>
      <w:r w:rsidR="00EA5F05">
        <w:rPr>
          <w:bCs/>
          <w:snapToGrid w:val="0"/>
          <w:sz w:val="28"/>
          <w:szCs w:val="28"/>
        </w:rPr>
        <w:t>jich pomocníky z řad civilistů, o komunikaci krajského úřadu s úřady vrchnos</w:t>
      </w:r>
      <w:r w:rsidR="008F07D4">
        <w:rPr>
          <w:bCs/>
          <w:snapToGrid w:val="0"/>
          <w:sz w:val="28"/>
          <w:szCs w:val="28"/>
        </w:rPr>
        <w:softHyphen/>
      </w:r>
      <w:r w:rsidR="00EA5F05">
        <w:rPr>
          <w:bCs/>
          <w:snapToGrid w:val="0"/>
          <w:sz w:val="28"/>
          <w:szCs w:val="28"/>
        </w:rPr>
        <w:t>tenskými. Autorka mimo jiné zjistila ustálený postup úřadů v dané záležitosti</w:t>
      </w:r>
      <w:r w:rsidR="008F07D4">
        <w:rPr>
          <w:bCs/>
          <w:snapToGrid w:val="0"/>
          <w:sz w:val="28"/>
          <w:szCs w:val="28"/>
        </w:rPr>
        <w:t xml:space="preserve">         </w:t>
      </w:r>
      <w:r w:rsidR="00EA5F05">
        <w:rPr>
          <w:bCs/>
          <w:snapToGrid w:val="0"/>
          <w:sz w:val="28"/>
          <w:szCs w:val="28"/>
        </w:rPr>
        <w:t xml:space="preserve"> i víceméně stálou výši odměn za chycení </w:t>
      </w:r>
      <w:proofErr w:type="gramStart"/>
      <w:r w:rsidR="00EA5F05">
        <w:rPr>
          <w:bCs/>
          <w:snapToGrid w:val="0"/>
          <w:sz w:val="28"/>
          <w:szCs w:val="28"/>
        </w:rPr>
        <w:t>desertéra</w:t>
      </w:r>
      <w:proofErr w:type="gramEnd"/>
      <w:r w:rsidR="00EA5F05">
        <w:rPr>
          <w:bCs/>
          <w:snapToGrid w:val="0"/>
          <w:sz w:val="28"/>
          <w:szCs w:val="28"/>
        </w:rPr>
        <w:t xml:space="preserve">. Zajímavé je, že v rámci trestu byly často zabavovány i peníze uložené v obecním sirotčím fondu a předávány příslušnému pluku. To mimo jiné </w:t>
      </w:r>
      <w:proofErr w:type="gramStart"/>
      <w:r w:rsidR="00EA5F05">
        <w:rPr>
          <w:bCs/>
          <w:snapToGrid w:val="0"/>
          <w:sz w:val="28"/>
          <w:szCs w:val="28"/>
        </w:rPr>
        <w:t>svědčí</w:t>
      </w:r>
      <w:proofErr w:type="gramEnd"/>
      <w:r w:rsidR="00EA5F05">
        <w:rPr>
          <w:bCs/>
          <w:snapToGrid w:val="0"/>
          <w:sz w:val="28"/>
          <w:szCs w:val="28"/>
        </w:rPr>
        <w:t xml:space="preserve"> o tom, že sirotci se na venkově těšili malé ochraně a bývali hlavními „oběťmi“ vojenských odvodů. </w:t>
      </w:r>
    </w:p>
    <w:p w14:paraId="50F01B0D" w14:textId="17D95F5D" w:rsidR="00EA5F05" w:rsidRDefault="00EA5F05" w:rsidP="008F07D4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</w:r>
      <w:r w:rsidR="005D3207">
        <w:rPr>
          <w:bCs/>
          <w:snapToGrid w:val="0"/>
          <w:sz w:val="28"/>
          <w:szCs w:val="28"/>
        </w:rPr>
        <w:t xml:space="preserve">V páté kapitole autorka </w:t>
      </w:r>
      <w:proofErr w:type="spellStart"/>
      <w:r w:rsidR="005D3207">
        <w:rPr>
          <w:bCs/>
          <w:snapToGrid w:val="0"/>
          <w:sz w:val="28"/>
          <w:szCs w:val="28"/>
        </w:rPr>
        <w:t>charakteri</w:t>
      </w:r>
      <w:r w:rsidR="00F03C06">
        <w:rPr>
          <w:bCs/>
          <w:snapToGrid w:val="0"/>
          <w:sz w:val="28"/>
          <w:szCs w:val="28"/>
        </w:rPr>
        <w:t>s</w:t>
      </w:r>
      <w:r w:rsidR="005D3207">
        <w:rPr>
          <w:bCs/>
          <w:snapToGrid w:val="0"/>
          <w:sz w:val="28"/>
          <w:szCs w:val="28"/>
        </w:rPr>
        <w:t>ovala</w:t>
      </w:r>
      <w:proofErr w:type="spellEnd"/>
      <w:r w:rsidR="005D3207">
        <w:rPr>
          <w:bCs/>
          <w:snapToGrid w:val="0"/>
          <w:sz w:val="28"/>
          <w:szCs w:val="28"/>
        </w:rPr>
        <w:t xml:space="preserve"> dobovou venkovskou společnost a snahy úřadů </w:t>
      </w:r>
      <w:r w:rsidR="008B0848">
        <w:rPr>
          <w:bCs/>
          <w:snapToGrid w:val="0"/>
          <w:sz w:val="28"/>
          <w:szCs w:val="28"/>
        </w:rPr>
        <w:t xml:space="preserve">bránit tomu, aby venkované </w:t>
      </w:r>
      <w:proofErr w:type="gramStart"/>
      <w:r w:rsidR="008B0848">
        <w:rPr>
          <w:bCs/>
          <w:snapToGrid w:val="0"/>
          <w:sz w:val="28"/>
          <w:szCs w:val="28"/>
        </w:rPr>
        <w:t>desertéry</w:t>
      </w:r>
      <w:proofErr w:type="gramEnd"/>
      <w:r w:rsidR="008B0848">
        <w:rPr>
          <w:bCs/>
          <w:snapToGrid w:val="0"/>
          <w:sz w:val="28"/>
          <w:szCs w:val="28"/>
        </w:rPr>
        <w:t xml:space="preserve"> podporovali, jednak odmě</w:t>
      </w:r>
      <w:r w:rsidR="008F07D4">
        <w:rPr>
          <w:bCs/>
          <w:snapToGrid w:val="0"/>
          <w:sz w:val="28"/>
          <w:szCs w:val="28"/>
        </w:rPr>
        <w:softHyphen/>
      </w:r>
      <w:r w:rsidR="008B0848">
        <w:rPr>
          <w:bCs/>
          <w:snapToGrid w:val="0"/>
          <w:sz w:val="28"/>
          <w:szCs w:val="28"/>
        </w:rPr>
        <w:t>nami za dopadení, jednak tresty. Trestána byla nejen přímá pomoc uprchlíkovi, ale i pouhé neoznámení. Opět je zde uvedena řada zajímavých případů z pra</w:t>
      </w:r>
      <w:r w:rsidR="008F07D4">
        <w:rPr>
          <w:bCs/>
          <w:snapToGrid w:val="0"/>
          <w:sz w:val="28"/>
          <w:szCs w:val="28"/>
        </w:rPr>
        <w:softHyphen/>
      </w:r>
      <w:r w:rsidR="008B0848">
        <w:rPr>
          <w:bCs/>
          <w:snapToGrid w:val="0"/>
          <w:sz w:val="28"/>
          <w:szCs w:val="28"/>
        </w:rPr>
        <w:t xml:space="preserve">menů. </w:t>
      </w:r>
    </w:p>
    <w:p w14:paraId="7ABCBE24" w14:textId="2A6C1E50" w:rsidR="004009F4" w:rsidRDefault="004009F4" w:rsidP="008F07D4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 xml:space="preserve">Následující kapitola se zabývá trestnou činností </w:t>
      </w:r>
      <w:proofErr w:type="gramStart"/>
      <w:r>
        <w:rPr>
          <w:bCs/>
          <w:snapToGrid w:val="0"/>
          <w:sz w:val="28"/>
          <w:szCs w:val="28"/>
        </w:rPr>
        <w:t>desertérů</w:t>
      </w:r>
      <w:proofErr w:type="gramEnd"/>
      <w:r>
        <w:rPr>
          <w:bCs/>
          <w:snapToGrid w:val="0"/>
          <w:sz w:val="28"/>
          <w:szCs w:val="28"/>
        </w:rPr>
        <w:t>, většinou se jed</w:t>
      </w:r>
      <w:r w:rsidR="008F07D4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nalo o krádeže, ale v několika zaznamenaných případech i o násilné činy. </w:t>
      </w:r>
    </w:p>
    <w:p w14:paraId="6C316F60" w14:textId="0782ADB7" w:rsidR="008B0848" w:rsidRPr="005117EA" w:rsidRDefault="004009F4" w:rsidP="008F07D4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Práce je zakončena shrnujícím závěrem, v němž autorka vyhodnotila svá zjištění. </w:t>
      </w:r>
    </w:p>
    <w:p w14:paraId="5E86AE20" w14:textId="780FB597" w:rsidR="004009F4" w:rsidRPr="004009F4" w:rsidRDefault="004009F4" w:rsidP="008F07D4">
      <w:pPr>
        <w:jc w:val="both"/>
        <w:rPr>
          <w:bCs/>
          <w:snapToGrid w:val="0"/>
          <w:sz w:val="28"/>
          <w:szCs w:val="28"/>
        </w:rPr>
      </w:pPr>
      <w:r w:rsidRPr="004009F4">
        <w:rPr>
          <w:bCs/>
          <w:snapToGrid w:val="0"/>
          <w:sz w:val="28"/>
          <w:szCs w:val="28"/>
        </w:rPr>
        <w:lastRenderedPageBreak/>
        <w:tab/>
        <w:t xml:space="preserve">Práce Simony Hanušové je vystavěna logicky, kapitoly na sebe navzájem dobře navazují. Hlavním zdrojem se staly archivní prameny, z nichž autorka dokázala vybrat případy dokreslující široké spektrum souvislostí vojenských </w:t>
      </w:r>
      <w:proofErr w:type="gramStart"/>
      <w:r w:rsidRPr="004009F4">
        <w:rPr>
          <w:bCs/>
          <w:snapToGrid w:val="0"/>
          <w:sz w:val="28"/>
          <w:szCs w:val="28"/>
        </w:rPr>
        <w:t>desercí</w:t>
      </w:r>
      <w:proofErr w:type="gramEnd"/>
      <w:r w:rsidRPr="004009F4">
        <w:rPr>
          <w:bCs/>
          <w:snapToGrid w:val="0"/>
          <w:sz w:val="28"/>
          <w:szCs w:val="28"/>
        </w:rPr>
        <w:t xml:space="preserve"> ve dané době. </w:t>
      </w:r>
      <w:r>
        <w:rPr>
          <w:bCs/>
          <w:snapToGrid w:val="0"/>
          <w:sz w:val="28"/>
          <w:szCs w:val="28"/>
        </w:rPr>
        <w:t xml:space="preserve">Práci je možno v tomto ohledu označit za přínosnou. </w:t>
      </w:r>
    </w:p>
    <w:p w14:paraId="09CCBFCD" w14:textId="40A64790" w:rsidR="0080782A" w:rsidRPr="00472578" w:rsidRDefault="0080782A" w:rsidP="008F07D4">
      <w:pPr>
        <w:ind w:firstLine="720"/>
        <w:jc w:val="both"/>
        <w:rPr>
          <w:bCs/>
          <w:snapToGrid w:val="0"/>
          <w:sz w:val="28"/>
          <w:szCs w:val="28"/>
        </w:rPr>
      </w:pPr>
      <w:r w:rsidRPr="00472578">
        <w:rPr>
          <w:bCs/>
          <w:snapToGrid w:val="0"/>
          <w:sz w:val="28"/>
          <w:szCs w:val="28"/>
        </w:rPr>
        <w:t xml:space="preserve">Formální náležitosti </w:t>
      </w:r>
      <w:r w:rsidR="00472578" w:rsidRPr="00472578">
        <w:rPr>
          <w:bCs/>
          <w:snapToGrid w:val="0"/>
          <w:sz w:val="28"/>
          <w:szCs w:val="28"/>
        </w:rPr>
        <w:t>jsou v pořádku, jen u citací archivních pramenů by v poznámce měl být uveden i samotný pramen včetně datace, což autorka větši</w:t>
      </w:r>
      <w:r w:rsidR="008F07D4">
        <w:rPr>
          <w:bCs/>
          <w:snapToGrid w:val="0"/>
          <w:sz w:val="28"/>
          <w:szCs w:val="28"/>
        </w:rPr>
        <w:softHyphen/>
      </w:r>
      <w:r w:rsidR="00472578" w:rsidRPr="00472578">
        <w:rPr>
          <w:bCs/>
          <w:snapToGrid w:val="0"/>
          <w:sz w:val="28"/>
          <w:szCs w:val="28"/>
        </w:rPr>
        <w:t>nou zaznamenává jen ve vlastním textu.</w:t>
      </w:r>
    </w:p>
    <w:p w14:paraId="349C0428" w14:textId="012BA2D5" w:rsidR="00EA5F05" w:rsidRDefault="001A7C8F" w:rsidP="008F07D4">
      <w:pPr>
        <w:ind w:firstLine="720"/>
        <w:jc w:val="both"/>
        <w:rPr>
          <w:bCs/>
          <w:snapToGrid w:val="0"/>
          <w:sz w:val="28"/>
          <w:szCs w:val="28"/>
        </w:rPr>
      </w:pPr>
      <w:r w:rsidRPr="00275EEE">
        <w:rPr>
          <w:bCs/>
          <w:snapToGrid w:val="0"/>
          <w:sz w:val="28"/>
          <w:szCs w:val="28"/>
        </w:rPr>
        <w:t>Písemný projev posluchač</w:t>
      </w:r>
      <w:r w:rsidR="00275EEE" w:rsidRPr="00275EEE">
        <w:rPr>
          <w:bCs/>
          <w:snapToGrid w:val="0"/>
          <w:sz w:val="28"/>
          <w:szCs w:val="28"/>
        </w:rPr>
        <w:t xml:space="preserve">ky bohužel </w:t>
      </w:r>
      <w:r w:rsidR="00275EEE">
        <w:rPr>
          <w:bCs/>
          <w:snapToGrid w:val="0"/>
          <w:sz w:val="28"/>
          <w:szCs w:val="28"/>
        </w:rPr>
        <w:t xml:space="preserve">úroveň práce snižuje. V textu není mnoho pravopisných chyb, </w:t>
      </w:r>
      <w:r w:rsidR="008B0848">
        <w:rPr>
          <w:bCs/>
          <w:snapToGrid w:val="0"/>
          <w:sz w:val="28"/>
          <w:szCs w:val="28"/>
        </w:rPr>
        <w:t xml:space="preserve">velmi </w:t>
      </w:r>
      <w:r w:rsidR="002F122F">
        <w:rPr>
          <w:bCs/>
          <w:snapToGrid w:val="0"/>
          <w:sz w:val="28"/>
          <w:szCs w:val="28"/>
        </w:rPr>
        <w:t>častá jsou ovšem vychýlení z</w:t>
      </w:r>
      <w:r w:rsidR="008F07D4">
        <w:rPr>
          <w:bCs/>
          <w:snapToGrid w:val="0"/>
          <w:sz w:val="28"/>
          <w:szCs w:val="28"/>
        </w:rPr>
        <w:t> </w:t>
      </w:r>
      <w:r w:rsidR="002F122F">
        <w:rPr>
          <w:bCs/>
          <w:snapToGrid w:val="0"/>
          <w:sz w:val="28"/>
          <w:szCs w:val="28"/>
        </w:rPr>
        <w:t>vazby</w:t>
      </w:r>
      <w:r w:rsidR="008F07D4">
        <w:rPr>
          <w:bCs/>
          <w:snapToGrid w:val="0"/>
          <w:sz w:val="28"/>
          <w:szCs w:val="28"/>
        </w:rPr>
        <w:t>, a p</w:t>
      </w:r>
      <w:r w:rsidR="002F122F">
        <w:rPr>
          <w:bCs/>
          <w:snapToGrid w:val="0"/>
          <w:sz w:val="28"/>
          <w:szCs w:val="28"/>
        </w:rPr>
        <w:t>řede</w:t>
      </w:r>
      <w:r w:rsidR="008F07D4">
        <w:rPr>
          <w:bCs/>
          <w:snapToGrid w:val="0"/>
          <w:sz w:val="28"/>
          <w:szCs w:val="28"/>
        </w:rPr>
        <w:softHyphen/>
      </w:r>
      <w:r w:rsidR="002F122F">
        <w:rPr>
          <w:bCs/>
          <w:snapToGrid w:val="0"/>
          <w:sz w:val="28"/>
          <w:szCs w:val="28"/>
        </w:rPr>
        <w:t>vším s</w:t>
      </w:r>
      <w:r w:rsidR="00275EEE">
        <w:rPr>
          <w:bCs/>
          <w:snapToGrid w:val="0"/>
          <w:sz w:val="28"/>
          <w:szCs w:val="28"/>
        </w:rPr>
        <w:t xml:space="preserve">loh značně pokulhává, </w:t>
      </w:r>
      <w:r w:rsidR="008F07D4">
        <w:rPr>
          <w:bCs/>
          <w:snapToGrid w:val="0"/>
          <w:sz w:val="28"/>
          <w:szCs w:val="28"/>
        </w:rPr>
        <w:t>což</w:t>
      </w:r>
      <w:r w:rsidR="00275EEE">
        <w:rPr>
          <w:bCs/>
          <w:snapToGrid w:val="0"/>
          <w:sz w:val="28"/>
          <w:szCs w:val="28"/>
        </w:rPr>
        <w:t xml:space="preserve"> na mnoha místech </w:t>
      </w:r>
      <w:r w:rsidR="002F122F">
        <w:rPr>
          <w:bCs/>
          <w:snapToGrid w:val="0"/>
          <w:sz w:val="28"/>
          <w:szCs w:val="28"/>
        </w:rPr>
        <w:t xml:space="preserve">vede </w:t>
      </w:r>
      <w:r w:rsidR="00275EEE">
        <w:rPr>
          <w:bCs/>
          <w:snapToGrid w:val="0"/>
          <w:sz w:val="28"/>
          <w:szCs w:val="28"/>
        </w:rPr>
        <w:t>až k nesrozumitelnosti. V četných případech se zřejmě jedná o neobratné překlady z cizojazyčné litera</w:t>
      </w:r>
      <w:r w:rsidR="008F07D4">
        <w:rPr>
          <w:bCs/>
          <w:snapToGrid w:val="0"/>
          <w:sz w:val="28"/>
          <w:szCs w:val="28"/>
        </w:rPr>
        <w:softHyphen/>
      </w:r>
      <w:r w:rsidR="00275EEE">
        <w:rPr>
          <w:bCs/>
          <w:snapToGrid w:val="0"/>
          <w:sz w:val="28"/>
          <w:szCs w:val="28"/>
        </w:rPr>
        <w:t>tury. Co například znamená věta: „</w:t>
      </w:r>
      <w:r w:rsidR="00275EEE" w:rsidRPr="00275EEE">
        <w:rPr>
          <w:bCs/>
          <w:i/>
          <w:iCs/>
          <w:snapToGrid w:val="0"/>
          <w:sz w:val="28"/>
          <w:szCs w:val="28"/>
        </w:rPr>
        <w:t>Klášter v </w:t>
      </w:r>
      <w:proofErr w:type="spellStart"/>
      <w:r w:rsidR="00275EEE" w:rsidRPr="00275EEE">
        <w:rPr>
          <w:bCs/>
          <w:i/>
          <w:iCs/>
          <w:snapToGrid w:val="0"/>
          <w:sz w:val="28"/>
          <w:szCs w:val="28"/>
        </w:rPr>
        <w:t>Bambergu</w:t>
      </w:r>
      <w:proofErr w:type="spellEnd"/>
      <w:r w:rsidR="00275EEE" w:rsidRPr="00275EEE">
        <w:rPr>
          <w:bCs/>
          <w:i/>
          <w:iCs/>
          <w:snapToGrid w:val="0"/>
          <w:sz w:val="28"/>
          <w:szCs w:val="28"/>
        </w:rPr>
        <w:t xml:space="preserve"> (…) zrekrutoval svůj vo</w:t>
      </w:r>
      <w:r w:rsidR="008F07D4">
        <w:rPr>
          <w:bCs/>
          <w:i/>
          <w:iCs/>
          <w:snapToGrid w:val="0"/>
          <w:sz w:val="28"/>
          <w:szCs w:val="28"/>
        </w:rPr>
        <w:softHyphen/>
      </w:r>
      <w:r w:rsidR="00275EEE" w:rsidRPr="00275EEE">
        <w:rPr>
          <w:bCs/>
          <w:i/>
          <w:iCs/>
          <w:snapToGrid w:val="0"/>
          <w:sz w:val="28"/>
          <w:szCs w:val="28"/>
        </w:rPr>
        <w:t>jenský personál především z řad svých dětí.</w:t>
      </w:r>
      <w:r w:rsidR="00275EEE">
        <w:rPr>
          <w:bCs/>
          <w:snapToGrid w:val="0"/>
          <w:sz w:val="28"/>
          <w:szCs w:val="28"/>
        </w:rPr>
        <w:t>“ (s. 18)?</w:t>
      </w:r>
      <w:r w:rsidR="002F122F">
        <w:rPr>
          <w:bCs/>
          <w:snapToGrid w:val="0"/>
          <w:sz w:val="28"/>
          <w:szCs w:val="28"/>
        </w:rPr>
        <w:t xml:space="preserve"> K popisu stejnokroje: „</w:t>
      </w:r>
      <w:r w:rsidR="002F122F" w:rsidRPr="002F122F">
        <w:rPr>
          <w:bCs/>
          <w:i/>
          <w:iCs/>
          <w:snapToGrid w:val="0"/>
          <w:sz w:val="28"/>
          <w:szCs w:val="28"/>
        </w:rPr>
        <w:t>Na krku byl voják habsburské armády viděn s černým nákrčníkem.</w:t>
      </w:r>
      <w:r w:rsidR="002F122F">
        <w:rPr>
          <w:bCs/>
          <w:snapToGrid w:val="0"/>
          <w:sz w:val="28"/>
          <w:szCs w:val="28"/>
        </w:rPr>
        <w:t>“ (s. 23)</w:t>
      </w:r>
      <w:r w:rsidR="00472578">
        <w:rPr>
          <w:bCs/>
          <w:snapToGrid w:val="0"/>
          <w:sz w:val="28"/>
          <w:szCs w:val="28"/>
        </w:rPr>
        <w:t>. „</w:t>
      </w:r>
      <w:r w:rsidR="00472578" w:rsidRPr="00472578">
        <w:rPr>
          <w:bCs/>
          <w:i/>
          <w:iCs/>
          <w:snapToGrid w:val="0"/>
          <w:sz w:val="28"/>
          <w:szCs w:val="28"/>
        </w:rPr>
        <w:t>Opustit armádu pro nechutenství v pokračování služby.</w:t>
      </w:r>
      <w:r w:rsidR="00472578">
        <w:rPr>
          <w:bCs/>
          <w:snapToGrid w:val="0"/>
          <w:sz w:val="28"/>
          <w:szCs w:val="28"/>
        </w:rPr>
        <w:t xml:space="preserve">“ (s. 29). </w:t>
      </w:r>
      <w:r w:rsidR="00EA5F05">
        <w:rPr>
          <w:bCs/>
          <w:snapToGrid w:val="0"/>
          <w:sz w:val="28"/>
          <w:szCs w:val="28"/>
        </w:rPr>
        <w:t>„</w:t>
      </w:r>
      <w:r w:rsidR="00EA5F05" w:rsidRPr="00EA5F05">
        <w:rPr>
          <w:bCs/>
          <w:i/>
          <w:iCs/>
          <w:snapToGrid w:val="0"/>
          <w:sz w:val="28"/>
          <w:szCs w:val="28"/>
        </w:rPr>
        <w:t>(…) prvním majitelem tohoto šlechtického rodu byl (…)</w:t>
      </w:r>
      <w:r w:rsidR="00EA5F05">
        <w:rPr>
          <w:bCs/>
          <w:snapToGrid w:val="0"/>
          <w:sz w:val="28"/>
          <w:szCs w:val="28"/>
        </w:rPr>
        <w:t xml:space="preserve">“ (s. 39). </w:t>
      </w:r>
      <w:r w:rsidR="00472578">
        <w:rPr>
          <w:bCs/>
          <w:snapToGrid w:val="0"/>
          <w:sz w:val="28"/>
          <w:szCs w:val="28"/>
        </w:rPr>
        <w:t xml:space="preserve">Kdo byl majitel pluku </w:t>
      </w:r>
      <w:r w:rsidR="00472578" w:rsidRPr="008F07D4">
        <w:rPr>
          <w:bCs/>
          <w:i/>
          <w:iCs/>
          <w:snapToGrid w:val="0"/>
          <w:sz w:val="28"/>
          <w:szCs w:val="28"/>
        </w:rPr>
        <w:t>Josef II. Kaiser</w:t>
      </w:r>
      <w:r w:rsidR="00472578">
        <w:rPr>
          <w:bCs/>
          <w:snapToGrid w:val="0"/>
          <w:sz w:val="28"/>
          <w:szCs w:val="28"/>
        </w:rPr>
        <w:t xml:space="preserve"> (s. 40</w:t>
      </w:r>
      <w:r w:rsidR="00F03C06">
        <w:rPr>
          <w:bCs/>
          <w:snapToGrid w:val="0"/>
          <w:sz w:val="28"/>
          <w:szCs w:val="28"/>
        </w:rPr>
        <w:t>)</w:t>
      </w:r>
      <w:r w:rsidR="00472578">
        <w:rPr>
          <w:bCs/>
          <w:snapToGrid w:val="0"/>
          <w:sz w:val="28"/>
          <w:szCs w:val="28"/>
        </w:rPr>
        <w:t>?</w:t>
      </w:r>
      <w:r w:rsidR="00EA5F05">
        <w:rPr>
          <w:bCs/>
          <w:snapToGrid w:val="0"/>
          <w:sz w:val="28"/>
          <w:szCs w:val="28"/>
        </w:rPr>
        <w:t xml:space="preserve"> „</w:t>
      </w:r>
      <w:r w:rsidR="00EA5F05" w:rsidRPr="00EA5F05">
        <w:rPr>
          <w:bCs/>
          <w:i/>
          <w:iCs/>
          <w:snapToGrid w:val="0"/>
          <w:sz w:val="28"/>
          <w:szCs w:val="28"/>
        </w:rPr>
        <w:t>Verbovací okresy pro získávání nových zástupců lidské síly</w:t>
      </w:r>
      <w:r w:rsidR="00EA5F05">
        <w:rPr>
          <w:bCs/>
          <w:snapToGrid w:val="0"/>
          <w:sz w:val="28"/>
          <w:szCs w:val="28"/>
        </w:rPr>
        <w:t>“ (s. 40). Kdo to byl „</w:t>
      </w:r>
      <w:r w:rsidR="00EA5F05" w:rsidRPr="00EA5F05">
        <w:rPr>
          <w:bCs/>
          <w:i/>
          <w:iCs/>
          <w:snapToGrid w:val="0"/>
          <w:sz w:val="28"/>
          <w:szCs w:val="28"/>
        </w:rPr>
        <w:t>opuštěný obecní pán</w:t>
      </w:r>
      <w:r w:rsidR="00EA5F05">
        <w:rPr>
          <w:bCs/>
          <w:snapToGrid w:val="0"/>
          <w:sz w:val="28"/>
          <w:szCs w:val="28"/>
        </w:rPr>
        <w:t>“ (s. 43</w:t>
      </w:r>
      <w:r w:rsidR="00F03C06">
        <w:rPr>
          <w:bCs/>
          <w:snapToGrid w:val="0"/>
          <w:sz w:val="28"/>
          <w:szCs w:val="28"/>
        </w:rPr>
        <w:t>)</w:t>
      </w:r>
      <w:r w:rsidR="00EA5F05">
        <w:rPr>
          <w:bCs/>
          <w:snapToGrid w:val="0"/>
          <w:sz w:val="28"/>
          <w:szCs w:val="28"/>
        </w:rPr>
        <w:t xml:space="preserve">? Zde zřejmě sirotek v péči obce. </w:t>
      </w:r>
      <w:r w:rsidR="008F07D4">
        <w:rPr>
          <w:bCs/>
          <w:snapToGrid w:val="0"/>
          <w:sz w:val="28"/>
          <w:szCs w:val="28"/>
        </w:rPr>
        <w:t>Po</w:t>
      </w:r>
      <w:r w:rsidR="008F07D4">
        <w:rPr>
          <w:bCs/>
          <w:snapToGrid w:val="0"/>
          <w:sz w:val="28"/>
          <w:szCs w:val="28"/>
        </w:rPr>
        <w:softHyphen/>
        <w:t xml:space="preserve">dobných případů je mnohem více. </w:t>
      </w:r>
      <w:r w:rsidR="00EA5F05">
        <w:rPr>
          <w:bCs/>
          <w:snapToGrid w:val="0"/>
          <w:sz w:val="28"/>
          <w:szCs w:val="28"/>
        </w:rPr>
        <w:t xml:space="preserve">Chybné čtení pojmů – ne </w:t>
      </w:r>
      <w:proofErr w:type="spellStart"/>
      <w:r w:rsidR="00EA5F05" w:rsidRPr="00EA5F05">
        <w:rPr>
          <w:bCs/>
          <w:i/>
          <w:iCs/>
          <w:snapToGrid w:val="0"/>
          <w:sz w:val="28"/>
          <w:szCs w:val="28"/>
        </w:rPr>
        <w:t>Cerario</w:t>
      </w:r>
      <w:proofErr w:type="spellEnd"/>
      <w:r w:rsidR="00EA5F05">
        <w:rPr>
          <w:bCs/>
          <w:snapToGrid w:val="0"/>
          <w:sz w:val="28"/>
          <w:szCs w:val="28"/>
        </w:rPr>
        <w:t xml:space="preserve">, ale </w:t>
      </w:r>
      <w:proofErr w:type="spellStart"/>
      <w:r w:rsidR="00EA5F05" w:rsidRPr="00EA5F05">
        <w:rPr>
          <w:bCs/>
          <w:i/>
          <w:iCs/>
          <w:snapToGrid w:val="0"/>
          <w:sz w:val="28"/>
          <w:szCs w:val="28"/>
        </w:rPr>
        <w:t>Aerario</w:t>
      </w:r>
      <w:proofErr w:type="spellEnd"/>
      <w:r w:rsidR="00EA5F05" w:rsidRPr="00EA5F05">
        <w:rPr>
          <w:bCs/>
          <w:i/>
          <w:iCs/>
          <w:snapToGrid w:val="0"/>
          <w:sz w:val="28"/>
          <w:szCs w:val="28"/>
        </w:rPr>
        <w:t xml:space="preserve"> </w:t>
      </w:r>
      <w:proofErr w:type="spellStart"/>
      <w:r w:rsidR="00EA5F05" w:rsidRPr="00EA5F05">
        <w:rPr>
          <w:bCs/>
          <w:i/>
          <w:iCs/>
          <w:snapToGrid w:val="0"/>
          <w:sz w:val="28"/>
          <w:szCs w:val="28"/>
        </w:rPr>
        <w:t>Militare</w:t>
      </w:r>
      <w:proofErr w:type="spellEnd"/>
      <w:r w:rsidR="00EA5F05">
        <w:rPr>
          <w:bCs/>
          <w:snapToGrid w:val="0"/>
          <w:sz w:val="28"/>
          <w:szCs w:val="28"/>
        </w:rPr>
        <w:t xml:space="preserve"> (s. 41), pojem vy</w:t>
      </w:r>
      <w:r w:rsidR="008F07D4">
        <w:rPr>
          <w:bCs/>
          <w:snapToGrid w:val="0"/>
          <w:sz w:val="28"/>
          <w:szCs w:val="28"/>
        </w:rPr>
        <w:softHyphen/>
      </w:r>
      <w:r w:rsidR="00EA5F05">
        <w:rPr>
          <w:bCs/>
          <w:snapToGrid w:val="0"/>
          <w:sz w:val="28"/>
          <w:szCs w:val="28"/>
        </w:rPr>
        <w:t xml:space="preserve">užívaný již ve starověké Římské říši. </w:t>
      </w:r>
    </w:p>
    <w:p w14:paraId="651CFFCE" w14:textId="77777777" w:rsidR="008F07D4" w:rsidRPr="00275EEE" w:rsidRDefault="008F07D4" w:rsidP="008F07D4">
      <w:pPr>
        <w:ind w:firstLine="720"/>
        <w:jc w:val="both"/>
        <w:rPr>
          <w:bCs/>
          <w:snapToGrid w:val="0"/>
          <w:sz w:val="28"/>
          <w:szCs w:val="28"/>
        </w:rPr>
      </w:pPr>
    </w:p>
    <w:p w14:paraId="49EE32A1" w14:textId="783E19EA" w:rsidR="008F07D4" w:rsidRPr="008F07D4" w:rsidRDefault="008F07D4" w:rsidP="008F07D4">
      <w:pPr>
        <w:jc w:val="both"/>
        <w:rPr>
          <w:bCs/>
          <w:snapToGrid w:val="0"/>
          <w:sz w:val="28"/>
          <w:szCs w:val="28"/>
        </w:rPr>
      </w:pPr>
      <w:r w:rsidRPr="008F07D4">
        <w:rPr>
          <w:bCs/>
          <w:snapToGrid w:val="0"/>
          <w:sz w:val="28"/>
          <w:szCs w:val="28"/>
        </w:rPr>
        <w:tab/>
        <w:t>Domnívám se, že práce Si</w:t>
      </w:r>
      <w:r>
        <w:rPr>
          <w:bCs/>
          <w:snapToGrid w:val="0"/>
          <w:sz w:val="28"/>
          <w:szCs w:val="28"/>
        </w:rPr>
        <w:t>m</w:t>
      </w:r>
      <w:r w:rsidRPr="008F07D4">
        <w:rPr>
          <w:bCs/>
          <w:snapToGrid w:val="0"/>
          <w:sz w:val="28"/>
          <w:szCs w:val="28"/>
        </w:rPr>
        <w:t xml:space="preserve">ony Hanušové ve většině ukazatelů odpovídá požadavkům, doporučuji ji k obhajobě a navrhuji hodnocení </w:t>
      </w:r>
      <w:proofErr w:type="gramStart"/>
      <w:r w:rsidRPr="008F07D4">
        <w:rPr>
          <w:b/>
          <w:snapToGrid w:val="0"/>
          <w:sz w:val="28"/>
          <w:szCs w:val="28"/>
        </w:rPr>
        <w:t>C</w:t>
      </w:r>
      <w:r>
        <w:rPr>
          <w:bCs/>
          <w:snapToGrid w:val="0"/>
          <w:sz w:val="28"/>
          <w:szCs w:val="28"/>
        </w:rPr>
        <w:t xml:space="preserve"> - </w:t>
      </w:r>
      <w:r w:rsidRPr="008F07D4">
        <w:rPr>
          <w:b/>
          <w:snapToGrid w:val="0"/>
          <w:sz w:val="28"/>
          <w:szCs w:val="28"/>
        </w:rPr>
        <w:t>velmi</w:t>
      </w:r>
      <w:proofErr w:type="gramEnd"/>
      <w:r w:rsidRPr="008F07D4">
        <w:rPr>
          <w:b/>
          <w:snapToGrid w:val="0"/>
          <w:sz w:val="28"/>
          <w:szCs w:val="28"/>
        </w:rPr>
        <w:t xml:space="preserve"> dobře</w:t>
      </w:r>
      <w:r>
        <w:rPr>
          <w:bCs/>
          <w:snapToGrid w:val="0"/>
          <w:sz w:val="28"/>
          <w:szCs w:val="28"/>
        </w:rPr>
        <w:t xml:space="preserve">. </w:t>
      </w:r>
    </w:p>
    <w:p w14:paraId="140EBA65" w14:textId="77777777" w:rsidR="000F4D38" w:rsidRPr="00EF3463" w:rsidRDefault="000F4D38" w:rsidP="008F07D4">
      <w:pPr>
        <w:jc w:val="both"/>
        <w:rPr>
          <w:b/>
          <w:snapToGrid w:val="0"/>
          <w:sz w:val="28"/>
          <w:szCs w:val="28"/>
        </w:rPr>
      </w:pPr>
    </w:p>
    <w:p w14:paraId="42AF260D" w14:textId="77777777" w:rsidR="008F07D4" w:rsidRDefault="008F07D4" w:rsidP="008F07D4">
      <w:pPr>
        <w:rPr>
          <w:b/>
          <w:snapToGrid w:val="0"/>
          <w:sz w:val="28"/>
          <w:szCs w:val="28"/>
        </w:rPr>
      </w:pPr>
    </w:p>
    <w:p w14:paraId="2398C7E7" w14:textId="77777777" w:rsidR="008F07D4" w:rsidRDefault="008F07D4" w:rsidP="008F07D4">
      <w:pPr>
        <w:rPr>
          <w:b/>
          <w:snapToGrid w:val="0"/>
          <w:sz w:val="28"/>
          <w:szCs w:val="28"/>
        </w:rPr>
      </w:pPr>
    </w:p>
    <w:p w14:paraId="34105089" w14:textId="54538817" w:rsidR="008F07D4" w:rsidRDefault="008F07D4" w:rsidP="008F07D4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>Pardubice 23. července 2024</w:t>
      </w:r>
    </w:p>
    <w:p w14:paraId="44DF57EE" w14:textId="77777777" w:rsidR="008F07D4" w:rsidRDefault="008F07D4" w:rsidP="008F07D4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     </w:t>
      </w:r>
    </w:p>
    <w:p w14:paraId="14118039" w14:textId="3148C9D3" w:rsidR="000F4D38" w:rsidRPr="00EF3463" w:rsidRDefault="008F07D4" w:rsidP="008F07D4">
      <w:pPr>
        <w:rPr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                                                               doc. PhDr. Tomáš Jiránek, Ph.D.</w:t>
      </w:r>
      <w:r w:rsidR="000F4D38" w:rsidRPr="00EF3463">
        <w:rPr>
          <w:b/>
          <w:snapToGrid w:val="0"/>
          <w:sz w:val="28"/>
          <w:szCs w:val="28"/>
        </w:rPr>
        <w:t xml:space="preserve">                                                        </w:t>
      </w:r>
    </w:p>
    <w:sectPr w:rsidR="000F4D38" w:rsidRPr="00EF3463" w:rsidSect="008F07D4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F4D38"/>
    <w:rsid w:val="001A7C8F"/>
    <w:rsid w:val="0020021D"/>
    <w:rsid w:val="00275EEE"/>
    <w:rsid w:val="002F122F"/>
    <w:rsid w:val="004009F4"/>
    <w:rsid w:val="00464E35"/>
    <w:rsid w:val="00472578"/>
    <w:rsid w:val="00495D29"/>
    <w:rsid w:val="004C3651"/>
    <w:rsid w:val="005117EA"/>
    <w:rsid w:val="005D3207"/>
    <w:rsid w:val="007B15D3"/>
    <w:rsid w:val="007D4922"/>
    <w:rsid w:val="0080782A"/>
    <w:rsid w:val="008B0848"/>
    <w:rsid w:val="008F07D4"/>
    <w:rsid w:val="00AF4456"/>
    <w:rsid w:val="00BC5A9C"/>
    <w:rsid w:val="00C231C0"/>
    <w:rsid w:val="00EA5F05"/>
    <w:rsid w:val="00EF3463"/>
    <w:rsid w:val="00F03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C6DC8A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671</Words>
  <Characters>3960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Jiranek Tomas</cp:lastModifiedBy>
  <cp:revision>2</cp:revision>
  <cp:lastPrinted>2006-04-13T11:53:00Z</cp:lastPrinted>
  <dcterms:created xsi:type="dcterms:W3CDTF">2024-07-29T07:39:00Z</dcterms:created>
  <dcterms:modified xsi:type="dcterms:W3CDTF">2024-07-29T07:39:00Z</dcterms:modified>
</cp:coreProperties>
</file>