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0216" w:rsidRPr="00770216" w:rsidRDefault="00770216" w:rsidP="00770216">
      <w:pPr>
        <w:pStyle w:val="Default"/>
        <w:jc w:val="both"/>
        <w:rPr>
          <w:sz w:val="28"/>
          <w:szCs w:val="28"/>
        </w:rPr>
      </w:pPr>
      <w:r w:rsidRPr="00770216">
        <w:rPr>
          <w:b/>
          <w:bCs/>
          <w:sz w:val="28"/>
          <w:szCs w:val="28"/>
        </w:rPr>
        <w:t xml:space="preserve">ALTERNATIVE AND FLEXIBLE FORMS OF EMPLOYMENT: SITUATION IN CZECH REPUBLIC </w:t>
      </w:r>
    </w:p>
    <w:p w:rsidR="00770216" w:rsidRPr="00770216" w:rsidRDefault="00770216" w:rsidP="00770216">
      <w:pPr>
        <w:pStyle w:val="Default"/>
        <w:jc w:val="both"/>
        <w:rPr>
          <w:sz w:val="23"/>
          <w:szCs w:val="23"/>
        </w:rPr>
      </w:pPr>
      <w:r w:rsidRPr="00770216">
        <w:rPr>
          <w:b/>
          <w:bCs/>
          <w:sz w:val="23"/>
          <w:szCs w:val="23"/>
        </w:rPr>
        <w:t xml:space="preserve">Martin Smid </w:t>
      </w:r>
    </w:p>
    <w:p w:rsidR="00770216" w:rsidRPr="00770216" w:rsidRDefault="00770216" w:rsidP="00770216">
      <w:pPr>
        <w:pStyle w:val="Default"/>
        <w:jc w:val="both"/>
        <w:rPr>
          <w:sz w:val="23"/>
          <w:szCs w:val="23"/>
        </w:rPr>
      </w:pPr>
      <w:r w:rsidRPr="00770216">
        <w:rPr>
          <w:i/>
          <w:iCs/>
          <w:sz w:val="23"/>
          <w:szCs w:val="23"/>
        </w:rPr>
        <w:t xml:space="preserve">University of Pardubice, Faculty of Economics and Administration, Czech Republic </w:t>
      </w:r>
    </w:p>
    <w:p w:rsidR="00770216" w:rsidRPr="00770216" w:rsidRDefault="00770216" w:rsidP="00770216">
      <w:pPr>
        <w:pStyle w:val="Default"/>
        <w:jc w:val="both"/>
        <w:rPr>
          <w:sz w:val="23"/>
          <w:szCs w:val="23"/>
        </w:rPr>
      </w:pPr>
      <w:r w:rsidRPr="00770216">
        <w:rPr>
          <w:i/>
          <w:iCs/>
          <w:sz w:val="23"/>
          <w:szCs w:val="23"/>
        </w:rPr>
        <w:t xml:space="preserve">Martin.Smid@upce.cz </w:t>
      </w:r>
    </w:p>
    <w:p w:rsidR="00770216" w:rsidRPr="00770216" w:rsidRDefault="00770216" w:rsidP="00770216">
      <w:pPr>
        <w:pStyle w:val="Default"/>
        <w:jc w:val="both"/>
        <w:rPr>
          <w:sz w:val="23"/>
          <w:szCs w:val="23"/>
        </w:rPr>
      </w:pPr>
      <w:r w:rsidRPr="00770216">
        <w:rPr>
          <w:b/>
          <w:bCs/>
          <w:sz w:val="23"/>
          <w:szCs w:val="23"/>
        </w:rPr>
        <w:t xml:space="preserve">Sabina Navratilova </w:t>
      </w:r>
    </w:p>
    <w:p w:rsidR="00770216" w:rsidRPr="00770216" w:rsidRDefault="00770216" w:rsidP="00770216">
      <w:pPr>
        <w:pStyle w:val="Default"/>
        <w:jc w:val="both"/>
        <w:rPr>
          <w:sz w:val="23"/>
          <w:szCs w:val="23"/>
        </w:rPr>
      </w:pPr>
      <w:r w:rsidRPr="00770216">
        <w:rPr>
          <w:i/>
          <w:iCs/>
          <w:sz w:val="23"/>
          <w:szCs w:val="23"/>
        </w:rPr>
        <w:t xml:space="preserve">University of Pardubice, Faculty of Economics and Administration, Czech Republic </w:t>
      </w:r>
    </w:p>
    <w:p w:rsidR="00770216" w:rsidRPr="00770216" w:rsidRDefault="00770216" w:rsidP="00770216">
      <w:pPr>
        <w:pStyle w:val="Default"/>
        <w:jc w:val="both"/>
        <w:rPr>
          <w:sz w:val="23"/>
          <w:szCs w:val="23"/>
        </w:rPr>
      </w:pPr>
      <w:r w:rsidRPr="00770216">
        <w:rPr>
          <w:i/>
          <w:iCs/>
          <w:sz w:val="23"/>
          <w:szCs w:val="23"/>
        </w:rPr>
        <w:t xml:space="preserve">st39893@student.upce.cz </w:t>
      </w:r>
    </w:p>
    <w:p w:rsidR="00770216" w:rsidRPr="00770216" w:rsidRDefault="00770216" w:rsidP="00770216">
      <w:pPr>
        <w:pStyle w:val="Default"/>
        <w:jc w:val="both"/>
        <w:rPr>
          <w:sz w:val="23"/>
          <w:szCs w:val="23"/>
        </w:rPr>
      </w:pPr>
      <w:r w:rsidRPr="00770216">
        <w:rPr>
          <w:b/>
          <w:bCs/>
          <w:i/>
          <w:iCs/>
          <w:sz w:val="23"/>
          <w:szCs w:val="23"/>
        </w:rPr>
        <w:t xml:space="preserve">ABSTRACT </w:t>
      </w:r>
    </w:p>
    <w:p w:rsidR="00770216" w:rsidRPr="00770216" w:rsidRDefault="00770216" w:rsidP="00770216">
      <w:pPr>
        <w:pStyle w:val="Default"/>
        <w:jc w:val="both"/>
        <w:rPr>
          <w:sz w:val="23"/>
          <w:szCs w:val="23"/>
        </w:rPr>
      </w:pPr>
      <w:r w:rsidRPr="00770216">
        <w:rPr>
          <w:i/>
          <w:iCs/>
          <w:sz w:val="23"/>
          <w:szCs w:val="23"/>
        </w:rPr>
        <w:t xml:space="preserve">The paper deals with the legal options of using of alternative and flexible forms of employment in Czech Republic according to the legal frame given mainly </w:t>
      </w:r>
      <w:proofErr w:type="gramStart"/>
      <w:r w:rsidRPr="00770216">
        <w:rPr>
          <w:i/>
          <w:iCs/>
          <w:sz w:val="23"/>
          <w:szCs w:val="23"/>
        </w:rPr>
        <w:t>by the</w:t>
      </w:r>
      <w:proofErr w:type="gramEnd"/>
      <w:r w:rsidRPr="00770216">
        <w:rPr>
          <w:i/>
          <w:iCs/>
          <w:sz w:val="23"/>
          <w:szCs w:val="23"/>
        </w:rPr>
        <w:t xml:space="preserve"> Labour Code (Act No. 262/2006 Coll.). The theoretical approach in the paper is based on the principle of flexicurity combining the concept of flexibility and the concept of security of employment. The difference between flexibility and liberalization of labour law and the context of Industry 4.0 is also mentioned in the paper. Current situation and evolution of </w:t>
      </w:r>
      <w:proofErr w:type="gramStart"/>
      <w:r w:rsidRPr="00770216">
        <w:rPr>
          <w:i/>
          <w:iCs/>
          <w:sz w:val="23"/>
          <w:szCs w:val="23"/>
        </w:rPr>
        <w:t>use</w:t>
      </w:r>
      <w:proofErr w:type="gramEnd"/>
      <w:r w:rsidRPr="00770216">
        <w:rPr>
          <w:i/>
          <w:iCs/>
          <w:sz w:val="23"/>
          <w:szCs w:val="23"/>
        </w:rPr>
        <w:t xml:space="preserve"> of these alternative and flexible forms of employment is analysed in the paper; the analysis is focused on part-time jobs. The paper includes comparison of the situation in the neighboring countries (Germany, Austria, Slovakia and Poland). The conclusion is focused on limits of flexibility and liberalization of labour law and summarizes the benefits of alternative and flexible forms of employment and the possibilities of its higher usage in Czech labour law. </w:t>
      </w:r>
    </w:p>
    <w:p w:rsidR="00770216" w:rsidRPr="00770216" w:rsidRDefault="00770216" w:rsidP="00770216">
      <w:pPr>
        <w:pStyle w:val="Default"/>
        <w:jc w:val="both"/>
        <w:rPr>
          <w:i/>
          <w:iCs/>
          <w:sz w:val="23"/>
          <w:szCs w:val="23"/>
        </w:rPr>
      </w:pPr>
      <w:r w:rsidRPr="00770216">
        <w:rPr>
          <w:b/>
          <w:bCs/>
          <w:i/>
          <w:iCs/>
          <w:sz w:val="23"/>
          <w:szCs w:val="23"/>
        </w:rPr>
        <w:t xml:space="preserve">Keywords: </w:t>
      </w:r>
      <w:r w:rsidRPr="00770216">
        <w:rPr>
          <w:i/>
          <w:iCs/>
          <w:sz w:val="23"/>
          <w:szCs w:val="23"/>
        </w:rPr>
        <w:t xml:space="preserve">Labour law, flexicurity, liberalization, employment </w:t>
      </w:r>
    </w:p>
    <w:p w:rsidR="00770216" w:rsidRPr="00770216" w:rsidRDefault="00770216" w:rsidP="00770216">
      <w:pPr>
        <w:pStyle w:val="Default"/>
        <w:jc w:val="both"/>
        <w:rPr>
          <w:sz w:val="23"/>
          <w:szCs w:val="23"/>
        </w:rPr>
      </w:pPr>
    </w:p>
    <w:p w:rsidR="00770216" w:rsidRPr="00770216" w:rsidRDefault="00770216" w:rsidP="00770216">
      <w:pPr>
        <w:pStyle w:val="Default"/>
        <w:jc w:val="both"/>
        <w:rPr>
          <w:sz w:val="23"/>
          <w:szCs w:val="23"/>
        </w:rPr>
      </w:pPr>
      <w:r w:rsidRPr="00770216">
        <w:rPr>
          <w:b/>
          <w:bCs/>
          <w:sz w:val="23"/>
          <w:szCs w:val="23"/>
        </w:rPr>
        <w:t xml:space="preserve">1. INTRODUCTION </w:t>
      </w:r>
    </w:p>
    <w:p w:rsidR="00770216" w:rsidRPr="00770216" w:rsidRDefault="00770216" w:rsidP="00770216">
      <w:pPr>
        <w:pStyle w:val="Default"/>
        <w:jc w:val="both"/>
        <w:rPr>
          <w:sz w:val="23"/>
          <w:szCs w:val="23"/>
        </w:rPr>
      </w:pPr>
      <w:r w:rsidRPr="00770216">
        <w:rPr>
          <w:sz w:val="23"/>
          <w:szCs w:val="23"/>
        </w:rPr>
        <w:t xml:space="preserve">The aim of the paper is to give the laternative and flexible forms of employment in the context of the principle of flexicurity. First, the main terms (flexicurity, flexibility, security, liberalization) are explained; than follows the comparison of situation of </w:t>
      </w:r>
      <w:proofErr w:type="gramStart"/>
      <w:r w:rsidRPr="00770216">
        <w:rPr>
          <w:sz w:val="23"/>
          <w:szCs w:val="23"/>
        </w:rPr>
        <w:t>use</w:t>
      </w:r>
      <w:proofErr w:type="gramEnd"/>
      <w:r w:rsidRPr="00770216">
        <w:rPr>
          <w:sz w:val="23"/>
          <w:szCs w:val="23"/>
        </w:rPr>
        <w:t xml:space="preserve"> of part-time jobs in Czech Republic and neighbouring countries (Germany, Austria, Slovakia and Poland). One of the important context in which we have to speak about the labour market is the concept of Industry 4.0. </w:t>
      </w:r>
    </w:p>
    <w:p w:rsidR="00770216" w:rsidRPr="00770216" w:rsidRDefault="00770216" w:rsidP="00770216">
      <w:pPr>
        <w:pStyle w:val="Default"/>
        <w:jc w:val="both"/>
        <w:rPr>
          <w:sz w:val="23"/>
          <w:szCs w:val="23"/>
        </w:rPr>
      </w:pPr>
      <w:r w:rsidRPr="00770216">
        <w:rPr>
          <w:sz w:val="23"/>
          <w:szCs w:val="23"/>
        </w:rPr>
        <w:t xml:space="preserve">The paper uses the standard methods of legal interpretation and the basic statistical description and analysis of selected data. Based on that, synthesis of acquired knowledge is given in the conclusion. </w:t>
      </w:r>
    </w:p>
    <w:p w:rsidR="00770216" w:rsidRPr="00770216" w:rsidRDefault="00770216" w:rsidP="00770216">
      <w:pPr>
        <w:pStyle w:val="Default"/>
        <w:jc w:val="both"/>
        <w:rPr>
          <w:sz w:val="23"/>
          <w:szCs w:val="23"/>
        </w:rPr>
      </w:pPr>
    </w:p>
    <w:p w:rsidR="00770216" w:rsidRPr="00770216" w:rsidRDefault="00770216" w:rsidP="00770216">
      <w:pPr>
        <w:pStyle w:val="Default"/>
        <w:jc w:val="both"/>
        <w:rPr>
          <w:sz w:val="23"/>
          <w:szCs w:val="23"/>
        </w:rPr>
      </w:pPr>
      <w:r w:rsidRPr="00770216">
        <w:rPr>
          <w:b/>
          <w:bCs/>
          <w:sz w:val="23"/>
          <w:szCs w:val="23"/>
        </w:rPr>
        <w:t xml:space="preserve">2. THEORETICAL BACKGROUND – IDEA OF FLEXICURITY </w:t>
      </w:r>
    </w:p>
    <w:p w:rsidR="00770216" w:rsidRPr="00770216" w:rsidRDefault="00770216" w:rsidP="00770216">
      <w:pPr>
        <w:pStyle w:val="Default"/>
        <w:jc w:val="both"/>
        <w:rPr>
          <w:sz w:val="23"/>
          <w:szCs w:val="23"/>
        </w:rPr>
      </w:pPr>
      <w:r w:rsidRPr="00770216">
        <w:rPr>
          <w:sz w:val="23"/>
          <w:szCs w:val="23"/>
        </w:rPr>
        <w:t>A key concept that can be applied to the issue of alternative forms of employment is the idea of flexicurity (a combination of words of flexibility and security), as shown by the European Green Paper (Green Paper, 2006, pp. 7-14). According to this document, there should be greater job flexibility while maintaining the protection of employees' rights and decent living conditions for employees. The objectives of the Green Paper are above all to identify the key challenges and contexts of adapting labour law to the labour market reality, to involve all participants in an open dialogue on the future of labour law, and to encourage debate on how flexible and reliable contractual relationships can help create jobs and improve the functioning of the labour market.</w:t>
      </w:r>
      <w:r w:rsidRPr="00770216">
        <w:rPr>
          <w:sz w:val="20"/>
          <w:szCs w:val="20"/>
        </w:rPr>
        <w:t xml:space="preserve">22nd International Scientific Conference on Economic and Social Development – "Legal Challenges of Modern World" </w:t>
      </w:r>
      <w:r w:rsidRPr="00770216">
        <w:rPr>
          <w:sz w:val="23"/>
          <w:szCs w:val="23"/>
        </w:rPr>
        <w:t xml:space="preserve">761 </w:t>
      </w:r>
    </w:p>
    <w:p w:rsidR="00770216" w:rsidRPr="00770216" w:rsidRDefault="00770216" w:rsidP="00770216">
      <w:pPr>
        <w:pStyle w:val="Default"/>
        <w:pageBreakBefore/>
        <w:jc w:val="both"/>
        <w:rPr>
          <w:sz w:val="23"/>
          <w:szCs w:val="23"/>
        </w:rPr>
      </w:pPr>
      <w:r w:rsidRPr="00770216">
        <w:rPr>
          <w:sz w:val="23"/>
          <w:szCs w:val="23"/>
        </w:rPr>
        <w:lastRenderedPageBreak/>
        <w:t xml:space="preserve">The term flexicurity first appeared in connection with the labour market in Denmark and the Netherlands. It </w:t>
      </w:r>
      <w:proofErr w:type="gramStart"/>
      <w:r w:rsidRPr="00770216">
        <w:rPr>
          <w:sz w:val="23"/>
          <w:szCs w:val="23"/>
        </w:rPr>
        <w:t>is used</w:t>
      </w:r>
      <w:proofErr w:type="gramEnd"/>
      <w:r w:rsidRPr="00770216">
        <w:rPr>
          <w:sz w:val="23"/>
          <w:szCs w:val="23"/>
        </w:rPr>
        <w:t xml:space="preserve"> for a model of the labour market that uses a combination of flexibility in content, the creation and termination of a working relationship with the protection of an employee or a person who does not have a job. It combines the liberal form of employment, typical of Anglo-Saxon law, with the protection of income protection typical of continental law, and, finally, intensive measures in active employment policy, common to Scandinavian countries (Hůrka, 2009, p. 24). This model is also referred to as the Danish flexicurity model or the golden triangle (Madsen, 2002, p. 2). Flexicurity is then a way which should lead to a mutual matching of these requirements, even though they may appear contradictory. Flexicurity instruments are primarily labour law, social security law, active employment policy and lifelong learning (Janičová, 2009, p. 188). </w:t>
      </w:r>
    </w:p>
    <w:p w:rsidR="00770216" w:rsidRPr="00770216" w:rsidRDefault="00770216" w:rsidP="00770216">
      <w:pPr>
        <w:pStyle w:val="Default"/>
        <w:jc w:val="both"/>
        <w:rPr>
          <w:b/>
          <w:bCs/>
          <w:sz w:val="23"/>
          <w:szCs w:val="23"/>
        </w:rPr>
      </w:pPr>
    </w:p>
    <w:p w:rsidR="00770216" w:rsidRPr="00770216" w:rsidRDefault="00770216" w:rsidP="00770216">
      <w:pPr>
        <w:pStyle w:val="Default"/>
        <w:jc w:val="both"/>
        <w:rPr>
          <w:sz w:val="23"/>
          <w:szCs w:val="23"/>
        </w:rPr>
      </w:pPr>
      <w:r w:rsidRPr="00770216">
        <w:rPr>
          <w:b/>
          <w:bCs/>
          <w:sz w:val="23"/>
          <w:szCs w:val="23"/>
        </w:rPr>
        <w:t xml:space="preserve">2.1. Flexibility </w:t>
      </w:r>
    </w:p>
    <w:p w:rsidR="00770216" w:rsidRPr="00770216" w:rsidRDefault="00770216" w:rsidP="00770216">
      <w:pPr>
        <w:pStyle w:val="Default"/>
        <w:jc w:val="both"/>
        <w:rPr>
          <w:sz w:val="23"/>
          <w:szCs w:val="23"/>
        </w:rPr>
      </w:pPr>
      <w:r w:rsidRPr="00770216">
        <w:rPr>
          <w:sz w:val="23"/>
          <w:szCs w:val="23"/>
        </w:rPr>
        <w:t xml:space="preserve">Flexibility as a concept can be understood as freedom, flexibility or mobility. In the context of private law, it is primarily a legal space for the realization of the will of the parties. In this respect, flexibility is closely related to dispositive character of private law, namely that legal regulation of law applies only if agreement of parties on their rights and obligations doesn't say differently. Flexibility necessarily brings a lesser degree of legal regulation, or even the need for deregulation (Štangová, 2014, p. 198). </w:t>
      </w:r>
    </w:p>
    <w:p w:rsidR="00770216" w:rsidRPr="00770216" w:rsidRDefault="00770216" w:rsidP="00770216">
      <w:pPr>
        <w:pStyle w:val="Default"/>
        <w:jc w:val="both"/>
        <w:rPr>
          <w:sz w:val="23"/>
          <w:szCs w:val="23"/>
        </w:rPr>
      </w:pPr>
      <w:r w:rsidRPr="00770216">
        <w:rPr>
          <w:sz w:val="23"/>
          <w:szCs w:val="23"/>
        </w:rPr>
        <w:t xml:space="preserve">On the most general level, it is possible to distinguish flexibility of employment and flexibility of work performance. As the flexibility of employment is perceived freedom of choice of the legal relationship in which the parties wish to implement job performance. Concrete examples of this flexibility include: agreements on work performed outside the employment relationship, fixed-term employment, probationary period, agency employment or temporary assignment. The flexibility of work performance means the realization of work in the usual employment relationship, but in a flexible way, taking into account the will of the parties. As examples of the flexibility of work performance we can include: shorter working hours, unequal working hours, overtime, flexible working hours, homeworking and teleworking or job-sharing (Hůrka, 2011, p. 88). </w:t>
      </w:r>
    </w:p>
    <w:p w:rsidR="00770216" w:rsidRPr="00770216" w:rsidRDefault="00770216" w:rsidP="00770216">
      <w:pPr>
        <w:pStyle w:val="Default"/>
        <w:jc w:val="both"/>
        <w:rPr>
          <w:sz w:val="23"/>
          <w:szCs w:val="23"/>
        </w:rPr>
      </w:pPr>
      <w:r w:rsidRPr="00770216">
        <w:rPr>
          <w:sz w:val="23"/>
          <w:szCs w:val="23"/>
        </w:rPr>
        <w:t xml:space="preserve">External flexibility will mean flexibility in the creation and termination of the employment relationship, ie from the employer's point of view, the ease of recruitment and dismissal of employees, from the employee's point of view, the easy way to get employment, but also to leave it. Internal flexibility then lies in the ability of both sides to adjust the form of employment according to their ideas, in particular through flexible forms of work (flexibility of working hours and rest periods, places of work, etc.). </w:t>
      </w:r>
    </w:p>
    <w:p w:rsidR="00770216" w:rsidRPr="00770216" w:rsidRDefault="00770216" w:rsidP="00770216">
      <w:pPr>
        <w:pStyle w:val="Default"/>
        <w:jc w:val="both"/>
        <w:rPr>
          <w:sz w:val="23"/>
          <w:szCs w:val="23"/>
        </w:rPr>
      </w:pPr>
      <w:r w:rsidRPr="00770216">
        <w:rPr>
          <w:sz w:val="23"/>
          <w:szCs w:val="23"/>
        </w:rPr>
        <w:t xml:space="preserve">Flexibility can also be considered in relation to the other side of the legal relationship, and differentiating between unilateral (subjective) and bilateral (objective) flexibility (Hůrka, 2009, p. 28). Unilateral flexibility makes it possible to establish rights and obligations by expressing the will of one party to the legal relationship, bilateral only by the mutual will of both parties. The full flexibility is especially given in </w:t>
      </w:r>
      <w:proofErr w:type="gramStart"/>
      <w:r w:rsidRPr="00770216">
        <w:rPr>
          <w:sz w:val="23"/>
          <w:szCs w:val="23"/>
        </w:rPr>
        <w:t>the</w:t>
      </w:r>
      <w:proofErr w:type="gramEnd"/>
      <w:r w:rsidRPr="00770216">
        <w:rPr>
          <w:sz w:val="23"/>
          <w:szCs w:val="23"/>
        </w:rPr>
        <w:t xml:space="preserve"> case of bilateral flexibility; In case of unilateral legal proceedings, flexibility can be discussed only with connection with the termination of employment (possibility to unilaterally terminate the employment relationship), but not with the conditions and content of the employment relationship (Janičová, 2009, p. 193). Cases where the employer can unilaterally adjust the rights or obligations of an employee (internal regulation, working order, wage bill) are not the expression of flexibility in my opinion. On the contrary, it is a restriction on the autonomy of the will due to the application of the employer's superiority and the employee's subordination during the employment relationship (Stránský, 2014, p. 185). Flexibility is typically </w:t>
      </w:r>
      <w:r w:rsidRPr="00770216">
        <w:rPr>
          <w:sz w:val="20"/>
          <w:szCs w:val="20"/>
        </w:rPr>
        <w:t xml:space="preserve">22nd International Scientific Conference on Economic and Social Development – "Legal Challenges of Modern World" </w:t>
      </w:r>
      <w:r w:rsidRPr="00770216">
        <w:rPr>
          <w:sz w:val="23"/>
          <w:szCs w:val="23"/>
        </w:rPr>
        <w:t xml:space="preserve">762 </w:t>
      </w:r>
    </w:p>
    <w:p w:rsidR="00770216" w:rsidRPr="00770216" w:rsidRDefault="00770216" w:rsidP="00770216">
      <w:pPr>
        <w:pStyle w:val="Default"/>
        <w:pageBreakBefore/>
        <w:jc w:val="both"/>
        <w:rPr>
          <w:sz w:val="23"/>
          <w:szCs w:val="23"/>
        </w:rPr>
      </w:pPr>
      <w:r w:rsidRPr="00770216">
        <w:rPr>
          <w:sz w:val="23"/>
          <w:szCs w:val="23"/>
        </w:rPr>
        <w:lastRenderedPageBreak/>
        <w:t xml:space="preserve">associated with alternative forms of employment. Because of the uneven nature of demand for its goods and services, the employer has to find flexible forms of employment, mainly for two reasons: to cover the increased need for labour for a certain period of time, and to have the opportunity of a seamless termination of the employment in a situation where he / she does not have a work for the employee (Olšovská, 2014, p. 155). Flexibility is inherently linked to the liberalization of labour law. If labour law is to be understood as a private law branch, the rights and obligations in labour law should be regulated primarily by the contract. Therefore, issues in labour law shouldn't be solved by the delegation of the possibility of imposing rights and obligations unilaterally to the employer, but leaving the solution to the contract as a crucial institute of private law. Liberalization of labour law should therefore be seen as a process of releasing space for wider use of contractual freedom. From this point of view, liberalization also leads to flexibility, but this will apply, as is clear from the above, only to bilateral flexibility. Flexibility and liberalization should be understood as parallel phenomena that are mutually conditioned (Bělina, 2009, p. 76). </w:t>
      </w:r>
    </w:p>
    <w:p w:rsidR="00770216" w:rsidRPr="00770216" w:rsidRDefault="00770216" w:rsidP="00770216">
      <w:pPr>
        <w:pStyle w:val="Default"/>
        <w:jc w:val="both"/>
        <w:rPr>
          <w:b/>
          <w:bCs/>
          <w:sz w:val="23"/>
          <w:szCs w:val="23"/>
        </w:rPr>
      </w:pPr>
    </w:p>
    <w:p w:rsidR="00770216" w:rsidRPr="00770216" w:rsidRDefault="00770216" w:rsidP="00770216">
      <w:pPr>
        <w:pStyle w:val="Default"/>
        <w:jc w:val="both"/>
        <w:rPr>
          <w:sz w:val="23"/>
          <w:szCs w:val="23"/>
        </w:rPr>
      </w:pPr>
      <w:r w:rsidRPr="00770216">
        <w:rPr>
          <w:b/>
          <w:bCs/>
          <w:sz w:val="23"/>
          <w:szCs w:val="23"/>
        </w:rPr>
        <w:t xml:space="preserve">2.2. Security </w:t>
      </w:r>
    </w:p>
    <w:p w:rsidR="00770216" w:rsidRPr="00770216" w:rsidRDefault="00770216" w:rsidP="00770216">
      <w:pPr>
        <w:pStyle w:val="Default"/>
        <w:jc w:val="both"/>
        <w:rPr>
          <w:sz w:val="23"/>
          <w:szCs w:val="23"/>
        </w:rPr>
      </w:pPr>
      <w:r w:rsidRPr="00770216">
        <w:rPr>
          <w:sz w:val="23"/>
          <w:szCs w:val="23"/>
        </w:rPr>
        <w:t xml:space="preserve">It is important to bear in mind that, although the need for greater flexibility undoubtedly exists, flexibility also has its limits. The basic limitations limiting the flexibility of legal regulation are fundamental human rights, especially social rights, which represent the basic level of social status of an individual. These rights are guaranteed both by national law and by international law and European Union law (Štangová, 2014, p. 198). </w:t>
      </w:r>
    </w:p>
    <w:p w:rsidR="00770216" w:rsidRPr="00770216" w:rsidRDefault="00770216" w:rsidP="00770216">
      <w:pPr>
        <w:pStyle w:val="Default"/>
        <w:jc w:val="both"/>
        <w:rPr>
          <w:sz w:val="23"/>
          <w:szCs w:val="23"/>
        </w:rPr>
      </w:pPr>
      <w:r w:rsidRPr="00770216">
        <w:rPr>
          <w:sz w:val="23"/>
          <w:szCs w:val="23"/>
        </w:rPr>
        <w:t xml:space="preserve">Security can be applied not only to employees who are in some employment relationship, but to the entire labour market. It is an important defining feature of labour law because its role is to limit the unacceptable use of competitive freedom. In the higher sense, therefore, labour law protects human dignity as a value superior to others – eg economic freedoms (Barancová, 2009, p. 23). </w:t>
      </w:r>
    </w:p>
    <w:p w:rsidR="00770216" w:rsidRPr="00770216" w:rsidRDefault="00770216" w:rsidP="00770216">
      <w:pPr>
        <w:pStyle w:val="Default"/>
        <w:jc w:val="both"/>
        <w:rPr>
          <w:sz w:val="23"/>
          <w:szCs w:val="23"/>
        </w:rPr>
      </w:pPr>
      <w:r w:rsidRPr="00770216">
        <w:rPr>
          <w:sz w:val="23"/>
          <w:szCs w:val="23"/>
        </w:rPr>
        <w:t xml:space="preserve">The security in labour law is represented mainly by: the protection of the collective rights of employees, the protection of income, the protection of the maintenance of the existing employment relationship, the protection of the labour market end employment, the protection of reproduction of knowledge and skills, and the safety and health protection during work (Hůrka, 2009, p. 25). </w:t>
      </w:r>
    </w:p>
    <w:p w:rsidR="00770216" w:rsidRPr="00770216" w:rsidRDefault="00770216" w:rsidP="00770216">
      <w:pPr>
        <w:pStyle w:val="Default"/>
        <w:jc w:val="both"/>
        <w:rPr>
          <w:sz w:val="23"/>
          <w:szCs w:val="23"/>
        </w:rPr>
      </w:pPr>
      <w:r w:rsidRPr="00770216">
        <w:rPr>
          <w:sz w:val="23"/>
          <w:szCs w:val="23"/>
        </w:rPr>
        <w:t xml:space="preserve">In general, this term is inseparably linked to the protective function of labour law, which historically stood for the independence of labour law. The so-called protective legislation has emerged as a set of legal norms to protect employees as the wearer of labour and to prevent </w:t>
      </w:r>
      <w:proofErr w:type="gramStart"/>
      <w:r w:rsidRPr="00770216">
        <w:rPr>
          <w:sz w:val="23"/>
          <w:szCs w:val="23"/>
        </w:rPr>
        <w:t>its abuse</w:t>
      </w:r>
      <w:proofErr w:type="gramEnd"/>
      <w:r w:rsidRPr="00770216">
        <w:rPr>
          <w:sz w:val="23"/>
          <w:szCs w:val="23"/>
        </w:rPr>
        <w:t xml:space="preserve">. So even today, the labour law can be defined as protective law (Galvas, 2015, p. 43). </w:t>
      </w:r>
    </w:p>
    <w:p w:rsidR="00770216" w:rsidRPr="00770216" w:rsidRDefault="00770216" w:rsidP="00770216">
      <w:pPr>
        <w:pStyle w:val="Default"/>
        <w:jc w:val="both"/>
        <w:rPr>
          <w:sz w:val="23"/>
          <w:szCs w:val="23"/>
        </w:rPr>
      </w:pPr>
      <w:r w:rsidRPr="00770216">
        <w:rPr>
          <w:sz w:val="23"/>
          <w:szCs w:val="23"/>
        </w:rPr>
        <w:t xml:space="preserve">This protection is primarily aimed at protecting minimum standards of working conditions, safeguarding the stability of work engagement and protecting the social sphere of employees. In the framework of flexicurity, attention should be focused primarily on the realization of this protection through state policy and the minimization of the transfer of these obligations and the costs associated with them to the employer. </w:t>
      </w:r>
    </w:p>
    <w:p w:rsidR="00770216" w:rsidRPr="00770216" w:rsidRDefault="00770216" w:rsidP="00770216">
      <w:pPr>
        <w:pStyle w:val="Default"/>
        <w:jc w:val="both"/>
        <w:rPr>
          <w:b/>
          <w:bCs/>
          <w:sz w:val="23"/>
          <w:szCs w:val="23"/>
        </w:rPr>
      </w:pPr>
    </w:p>
    <w:p w:rsidR="00770216" w:rsidRPr="00770216" w:rsidRDefault="00770216" w:rsidP="00770216">
      <w:pPr>
        <w:pStyle w:val="Default"/>
        <w:jc w:val="both"/>
        <w:rPr>
          <w:sz w:val="23"/>
          <w:szCs w:val="23"/>
        </w:rPr>
      </w:pPr>
      <w:r w:rsidRPr="00770216">
        <w:rPr>
          <w:b/>
          <w:bCs/>
          <w:sz w:val="23"/>
          <w:szCs w:val="23"/>
        </w:rPr>
        <w:t xml:space="preserve">2.3. Flexicurity </w:t>
      </w:r>
    </w:p>
    <w:p w:rsidR="00770216" w:rsidRPr="00770216" w:rsidRDefault="00770216" w:rsidP="00770216">
      <w:pPr>
        <w:pStyle w:val="Default"/>
        <w:jc w:val="both"/>
        <w:rPr>
          <w:sz w:val="23"/>
          <w:szCs w:val="23"/>
        </w:rPr>
      </w:pPr>
      <w:r w:rsidRPr="00770216">
        <w:rPr>
          <w:sz w:val="23"/>
          <w:szCs w:val="23"/>
        </w:rPr>
        <w:t xml:space="preserve">It's not easy to realize the contractual freedom and guarantee the protection of the employee in the same time. In a way, however, the term flexicurity is totally contradictory. Flexibility means the possibility for contractual parties to work relationships to adjust their mutual rights and obligations as freely as possible, with minimal limitations on the part of the legislator, </w:t>
      </w:r>
      <w:r w:rsidRPr="00770216">
        <w:rPr>
          <w:sz w:val="20"/>
          <w:szCs w:val="20"/>
        </w:rPr>
        <w:t xml:space="preserve">22nd International Scientific Conference on Economic and Social Development – "Legal Challenges of Modern World" </w:t>
      </w:r>
      <w:r w:rsidRPr="00770216">
        <w:rPr>
          <w:sz w:val="23"/>
          <w:szCs w:val="23"/>
        </w:rPr>
        <w:t xml:space="preserve">763 </w:t>
      </w:r>
    </w:p>
    <w:p w:rsidR="00770216" w:rsidRPr="00770216" w:rsidRDefault="00770216" w:rsidP="00770216">
      <w:pPr>
        <w:pStyle w:val="Default"/>
        <w:pageBreakBefore/>
        <w:jc w:val="both"/>
        <w:rPr>
          <w:sz w:val="23"/>
          <w:szCs w:val="23"/>
        </w:rPr>
      </w:pPr>
      <w:r w:rsidRPr="00770216">
        <w:rPr>
          <w:sz w:val="23"/>
          <w:szCs w:val="23"/>
        </w:rPr>
        <w:lastRenderedPageBreak/>
        <w:t xml:space="preserve">whether European or national. Social security, on the contrary, means protection of the labour market, protection of working conditions, ie the intervention of the legislator, again either European or national (Bělina, 2014, p. 10). </w:t>
      </w:r>
    </w:p>
    <w:p w:rsidR="00770216" w:rsidRPr="00770216" w:rsidRDefault="00770216" w:rsidP="00770216">
      <w:pPr>
        <w:pStyle w:val="Default"/>
        <w:jc w:val="both"/>
        <w:rPr>
          <w:sz w:val="23"/>
          <w:szCs w:val="23"/>
        </w:rPr>
      </w:pPr>
      <w:r w:rsidRPr="00770216">
        <w:rPr>
          <w:sz w:val="23"/>
          <w:szCs w:val="23"/>
        </w:rPr>
        <w:t xml:space="preserve">The solution here is first and foremost a flexible solution to the employment contract and the provision of social security in the first place </w:t>
      </w:r>
      <w:proofErr w:type="gramStart"/>
      <w:r w:rsidRPr="00770216">
        <w:rPr>
          <w:sz w:val="23"/>
          <w:szCs w:val="23"/>
        </w:rPr>
        <w:t>by the</w:t>
      </w:r>
      <w:proofErr w:type="gramEnd"/>
      <w:r w:rsidRPr="00770216">
        <w:rPr>
          <w:sz w:val="23"/>
          <w:szCs w:val="23"/>
        </w:rPr>
        <w:t xml:space="preserve"> state (and not to transfer this solution to the employer). It therefore consists of a legal regulation which, on the one hand, allows for the free negotiation of the content of the basic labour law relationship according to the parties' ideas, on the other hand, it provides employees with adequate protection and safety in their work. Flexicurity thus directs to the fulfillment of the meaning of labour law. Its purpose is to enable the employer to perform his / her activities through the work done by the employee and, on the other hand, to ensure that the employee has the appropriate working conditions. In order to achieve this, it is desirable to allow the content of the employment relationship to be negotiated in such a way as to match as much as possible the views of the parties and, at the same time, to ensure conditions for work that protect employees and ensure the safety of life and health. </w:t>
      </w:r>
    </w:p>
    <w:p w:rsidR="00770216" w:rsidRPr="00770216" w:rsidRDefault="00770216" w:rsidP="00770216">
      <w:pPr>
        <w:pStyle w:val="Default"/>
        <w:jc w:val="both"/>
        <w:rPr>
          <w:sz w:val="23"/>
          <w:szCs w:val="23"/>
        </w:rPr>
      </w:pPr>
      <w:r w:rsidRPr="00770216">
        <w:rPr>
          <w:sz w:val="23"/>
          <w:szCs w:val="23"/>
        </w:rPr>
        <w:t xml:space="preserve">Flexicurity consists primarily of a change in the understanding of employee protection, from providing protection under a particular employment relationship to protecting employment in general. Flexicurity thus allows flexibility in the labour market and the labour-law relationship, and thus the use of the autonomy of the will to create, change or terminate the labour-law relationship. At the same time, it must protect the intake of man (both in the workplace and within the social system) and ensure the functioning of the labour market, in particular through an active employment policy. The level of protection of employees should be such that the legislation still protects the rights and legitimate interests of employees, while not motivating employers to disrespect or circumvent it, because then the legislation would be meaningless (Štangová, 2014, p. 198). The idea of flexicurity can be also connected to the concept of 4th generation of industrial revolution (Industry 4.0) which can lead to need for less number of workers but also for more flexible and skilled workers. Many jobs can be lost in favour of automatization and robotization of working processes (Wolter, 2015). According to some authors, a significant drop in the required workforce over the 10-15 year horizon can be expected (Andrew, 2014). </w:t>
      </w:r>
    </w:p>
    <w:p w:rsidR="00770216" w:rsidRPr="00770216" w:rsidRDefault="00770216" w:rsidP="00770216">
      <w:pPr>
        <w:pStyle w:val="Default"/>
        <w:jc w:val="both"/>
        <w:rPr>
          <w:sz w:val="23"/>
          <w:szCs w:val="23"/>
        </w:rPr>
      </w:pPr>
      <w:r w:rsidRPr="00770216">
        <w:rPr>
          <w:sz w:val="23"/>
          <w:szCs w:val="23"/>
        </w:rPr>
        <w:t xml:space="preserve">One of the ways the flexicurity can be used and supported, is the possibility to use some types of alternative employment. These alternative types of employment can be helpful in decreasing unemployment rate and in employing the population groups endangered in the labour market. </w:t>
      </w:r>
    </w:p>
    <w:p w:rsidR="00770216" w:rsidRPr="00770216" w:rsidRDefault="00770216" w:rsidP="00770216">
      <w:pPr>
        <w:pStyle w:val="Default"/>
        <w:jc w:val="both"/>
        <w:rPr>
          <w:b/>
          <w:bCs/>
          <w:sz w:val="23"/>
          <w:szCs w:val="23"/>
        </w:rPr>
      </w:pPr>
    </w:p>
    <w:p w:rsidR="00770216" w:rsidRPr="00770216" w:rsidRDefault="00770216" w:rsidP="00770216">
      <w:pPr>
        <w:pStyle w:val="Default"/>
        <w:jc w:val="both"/>
        <w:rPr>
          <w:sz w:val="23"/>
          <w:szCs w:val="23"/>
        </w:rPr>
      </w:pPr>
      <w:r w:rsidRPr="00770216">
        <w:rPr>
          <w:b/>
          <w:bCs/>
          <w:sz w:val="23"/>
          <w:szCs w:val="23"/>
        </w:rPr>
        <w:t xml:space="preserve">3. ALTERNATIVE FORMS OF EMPLOYMENT IN CZECH LABOUR LAW </w:t>
      </w:r>
    </w:p>
    <w:p w:rsidR="00770216" w:rsidRPr="00770216" w:rsidRDefault="00770216" w:rsidP="00770216">
      <w:pPr>
        <w:pStyle w:val="Default"/>
        <w:jc w:val="both"/>
        <w:rPr>
          <w:sz w:val="23"/>
          <w:szCs w:val="23"/>
        </w:rPr>
      </w:pPr>
      <w:r w:rsidRPr="00770216">
        <w:rPr>
          <w:sz w:val="23"/>
          <w:szCs w:val="23"/>
        </w:rPr>
        <w:t xml:space="preserve">The Czech Labour Code permits the work to be performed only on the basis of one of the basic labour-law relationships, including employment, work-activity agreement and work-performance agreement. In labour law, there are numerus clausus of contractual types, dependent labour can not be exercised on the basis of a legal relationship other than one of the basic labour relations. Recently, we can see that this adjustment is not satisfactory, but has been criticized earlier. According to some authors, the closed system of contractual types is not sustainable for a long time (Galvas, 1994, p. 10; Dolobáč, 2014, p. 226). According to Helena Barancova, removing this obstacle in the long run has benefited from the extension of the subject of labour law and thus its protection (including the related protection of social security law) to other categories of economically active persons, the nature of whose activity is located between employees and self-employed persons. Examples of such contracts or work can be, for example, management contracts or the activity of professional athletes </w:t>
      </w:r>
      <w:r w:rsidRPr="00770216">
        <w:rPr>
          <w:sz w:val="20"/>
          <w:szCs w:val="20"/>
        </w:rPr>
        <w:t xml:space="preserve">22nd International Scientific Conference on Economic and Social Development – "Legal Challenges of Modern World" </w:t>
      </w:r>
      <w:r w:rsidRPr="00770216">
        <w:rPr>
          <w:sz w:val="23"/>
          <w:szCs w:val="23"/>
        </w:rPr>
        <w:t xml:space="preserve">764 </w:t>
      </w:r>
    </w:p>
    <w:p w:rsidR="00770216" w:rsidRPr="00770216" w:rsidRDefault="00770216" w:rsidP="00770216">
      <w:pPr>
        <w:pStyle w:val="Default"/>
        <w:pageBreakBefore/>
        <w:jc w:val="both"/>
        <w:rPr>
          <w:sz w:val="23"/>
          <w:szCs w:val="23"/>
        </w:rPr>
      </w:pPr>
      <w:r w:rsidRPr="00770216">
        <w:rPr>
          <w:sz w:val="23"/>
          <w:szCs w:val="23"/>
        </w:rPr>
        <w:lastRenderedPageBreak/>
        <w:t xml:space="preserve">(Barancová, 2013, p. 83). However, the question of atypical labour relations is wider than the question of performing work outside the traditional employment relationship. Atypical labour relations can be distinguished from a typical employment relationship on the basis of several criteria, including, in particular, the criterion of employee protection, the criterion of the relationship between the employee and the employer and the criterion of place of work. </w:t>
      </w:r>
    </w:p>
    <w:p w:rsidR="00770216" w:rsidRPr="00770216" w:rsidRDefault="00770216" w:rsidP="00770216">
      <w:pPr>
        <w:pStyle w:val="Default"/>
        <w:jc w:val="both"/>
        <w:rPr>
          <w:sz w:val="23"/>
          <w:szCs w:val="23"/>
        </w:rPr>
      </w:pPr>
      <w:r w:rsidRPr="00770216">
        <w:rPr>
          <w:sz w:val="23"/>
          <w:szCs w:val="23"/>
        </w:rPr>
        <w:t xml:space="preserve">These labour relations can therefore be considered atypical in Czech labour law: </w:t>
      </w:r>
    </w:p>
    <w:p w:rsidR="00770216" w:rsidRPr="00770216" w:rsidRDefault="00770216" w:rsidP="00770216">
      <w:pPr>
        <w:pStyle w:val="Default"/>
        <w:jc w:val="both"/>
        <w:rPr>
          <w:sz w:val="23"/>
          <w:szCs w:val="23"/>
        </w:rPr>
      </w:pPr>
      <w:r w:rsidRPr="00770216">
        <w:rPr>
          <w:sz w:val="23"/>
          <w:szCs w:val="23"/>
        </w:rPr>
        <w:t xml:space="preserve">(A) employment relationships based on agreements on work done outside the employment relationship (work-activity contract and work-performance contract), </w:t>
      </w:r>
    </w:p>
    <w:p w:rsidR="00770216" w:rsidRPr="00770216" w:rsidRDefault="00770216" w:rsidP="00770216">
      <w:pPr>
        <w:pStyle w:val="Default"/>
        <w:jc w:val="both"/>
        <w:rPr>
          <w:sz w:val="23"/>
          <w:szCs w:val="23"/>
        </w:rPr>
      </w:pPr>
      <w:r w:rsidRPr="00770216">
        <w:rPr>
          <w:sz w:val="23"/>
          <w:szCs w:val="23"/>
        </w:rPr>
        <w:t xml:space="preserve">(B) homeworking and teleworking carried out as part of an typical employment relationship, </w:t>
      </w:r>
    </w:p>
    <w:p w:rsidR="00770216" w:rsidRPr="00770216" w:rsidRDefault="00770216" w:rsidP="00770216">
      <w:pPr>
        <w:pStyle w:val="Default"/>
        <w:jc w:val="both"/>
        <w:rPr>
          <w:sz w:val="23"/>
          <w:szCs w:val="23"/>
        </w:rPr>
      </w:pPr>
      <w:r w:rsidRPr="00770216">
        <w:rPr>
          <w:sz w:val="23"/>
          <w:szCs w:val="23"/>
        </w:rPr>
        <w:t xml:space="preserve">(C) employment carried for shorter than standard time (part-time job). </w:t>
      </w:r>
    </w:p>
    <w:p w:rsidR="00770216" w:rsidRPr="00770216" w:rsidRDefault="00770216" w:rsidP="00770216">
      <w:pPr>
        <w:pStyle w:val="Default"/>
        <w:jc w:val="both"/>
        <w:rPr>
          <w:sz w:val="23"/>
          <w:szCs w:val="23"/>
        </w:rPr>
      </w:pPr>
      <w:r w:rsidRPr="00770216">
        <w:rPr>
          <w:sz w:val="23"/>
          <w:szCs w:val="23"/>
        </w:rPr>
        <w:t xml:space="preserve">(D) agency employment. </w:t>
      </w:r>
    </w:p>
    <w:p w:rsidR="00770216" w:rsidRPr="00770216" w:rsidRDefault="00770216" w:rsidP="00770216">
      <w:pPr>
        <w:pStyle w:val="Default"/>
        <w:jc w:val="both"/>
        <w:rPr>
          <w:sz w:val="23"/>
          <w:szCs w:val="23"/>
        </w:rPr>
      </w:pPr>
      <w:r w:rsidRPr="00770216">
        <w:rPr>
          <w:sz w:val="23"/>
          <w:szCs w:val="23"/>
        </w:rPr>
        <w:t xml:space="preserve">All these atypical labour relations are characterized by a higher degree of autonomy of will, which is also associated with a lower level of employee protection. These relationships can thus be seen as more flexible. </w:t>
      </w:r>
    </w:p>
    <w:p w:rsidR="00770216" w:rsidRPr="00770216" w:rsidRDefault="00770216" w:rsidP="00770216">
      <w:pPr>
        <w:pStyle w:val="Default"/>
        <w:jc w:val="both"/>
        <w:rPr>
          <w:b/>
          <w:bCs/>
          <w:sz w:val="23"/>
          <w:szCs w:val="23"/>
        </w:rPr>
      </w:pPr>
    </w:p>
    <w:p w:rsidR="00770216" w:rsidRPr="00770216" w:rsidRDefault="00770216" w:rsidP="00770216">
      <w:pPr>
        <w:pStyle w:val="Default"/>
        <w:jc w:val="both"/>
        <w:rPr>
          <w:sz w:val="23"/>
          <w:szCs w:val="23"/>
        </w:rPr>
      </w:pPr>
      <w:r w:rsidRPr="00770216">
        <w:rPr>
          <w:b/>
          <w:bCs/>
          <w:sz w:val="23"/>
          <w:szCs w:val="23"/>
        </w:rPr>
        <w:t xml:space="preserve">4. USE OF PART-TIME EMPLOYMENT IN CZECH REPUBLIC </w:t>
      </w:r>
    </w:p>
    <w:p w:rsidR="00770216" w:rsidRPr="00770216" w:rsidRDefault="00770216" w:rsidP="00770216">
      <w:pPr>
        <w:pStyle w:val="Default"/>
        <w:jc w:val="both"/>
        <w:rPr>
          <w:sz w:val="23"/>
          <w:szCs w:val="23"/>
        </w:rPr>
      </w:pPr>
      <w:r w:rsidRPr="00770216">
        <w:rPr>
          <w:sz w:val="23"/>
          <w:szCs w:val="23"/>
        </w:rPr>
        <w:t xml:space="preserve">For further analysis, part-time employment was chosen and we will compare the situation with part-time employment in Czech Republic with situation in other countries. Generally it can be said that the use of alternative (non-traditional) forms of employment in Czech Republic is very low. This applies to comparison mainly to the Western neighbours of Czech Republic, but for our comparison, all neighbouring countries of Czech Republic (Germany, Austria, Poland and Slovakia) were chosen. The number of part-time employees in the Czech Republic shows a value of 4.7 %. Comparison with most of the neighboring states does not get too good. In Germany, the proportion of these employees is 22.4 %, in Austria 21 %, and 6.4 % in Poland and in Slovakia 5,7 % (OECD, 2016). So Czech Republic has lower rate than all of its neighbouring countries. </w:t>
      </w:r>
    </w:p>
    <w:p w:rsidR="00770216" w:rsidRPr="00770216" w:rsidRDefault="00770216" w:rsidP="00770216">
      <w:pPr>
        <w:pStyle w:val="Default"/>
        <w:jc w:val="both"/>
        <w:rPr>
          <w:sz w:val="23"/>
          <w:szCs w:val="23"/>
        </w:rPr>
      </w:pPr>
      <w:r w:rsidRPr="00770216">
        <w:rPr>
          <w:sz w:val="23"/>
          <w:szCs w:val="23"/>
        </w:rPr>
        <w:t xml:space="preserve">Part-time jobs are historically more popular in Germany and Austria, as we can see in following table by Eurostat. Also in Poland the number is higher than Czech Republic, but generally the situation in Poland, Czech Republic and Slovakia is similar and significantly worse (from the perspective of </w:t>
      </w:r>
      <w:proofErr w:type="gramStart"/>
      <w:r w:rsidRPr="00770216">
        <w:rPr>
          <w:sz w:val="23"/>
          <w:szCs w:val="23"/>
        </w:rPr>
        <w:t>use</w:t>
      </w:r>
      <w:proofErr w:type="gramEnd"/>
      <w:r w:rsidRPr="00770216">
        <w:rPr>
          <w:sz w:val="23"/>
          <w:szCs w:val="23"/>
        </w:rPr>
        <w:t xml:space="preserve"> of part-time jobs) than the average of European Union. In Eurostat statistics, the figures of Slovakia are lower than figures of Czech Republic (in OECD statistics it's otherwise). </w:t>
      </w:r>
    </w:p>
    <w:p w:rsidR="00770216" w:rsidRPr="00770216" w:rsidRDefault="00770216" w:rsidP="00770216">
      <w:pPr>
        <w:pStyle w:val="Default"/>
        <w:jc w:val="both"/>
        <w:rPr>
          <w:sz w:val="23"/>
          <w:szCs w:val="23"/>
        </w:rPr>
      </w:pPr>
      <w:proofErr w:type="gramStart"/>
      <w:r w:rsidRPr="00770216">
        <w:rPr>
          <w:i/>
          <w:iCs/>
          <w:sz w:val="23"/>
          <w:szCs w:val="23"/>
        </w:rPr>
        <w:t>Table</w:t>
      </w:r>
      <w:proofErr w:type="gramEnd"/>
      <w:r w:rsidRPr="00770216">
        <w:rPr>
          <w:i/>
          <w:iCs/>
          <w:sz w:val="23"/>
          <w:szCs w:val="23"/>
        </w:rPr>
        <w:t xml:space="preserve"> 1: Use of part-time job in selected countries in percentage (Eurostat, 2015) </w:t>
      </w:r>
    </w:p>
    <w:p w:rsidR="00770216" w:rsidRPr="00770216" w:rsidRDefault="00770216" w:rsidP="00770216">
      <w:pPr>
        <w:pStyle w:val="Default"/>
        <w:jc w:val="both"/>
        <w:rPr>
          <w:sz w:val="23"/>
          <w:szCs w:val="23"/>
        </w:rPr>
      </w:pPr>
      <w:r w:rsidRPr="00770216">
        <w:rPr>
          <w:sz w:val="23"/>
          <w:szCs w:val="23"/>
        </w:rPr>
        <w:t xml:space="preserve">- </w:t>
      </w:r>
      <w:r w:rsidRPr="00770216">
        <w:rPr>
          <w:i/>
          <w:iCs/>
          <w:sz w:val="23"/>
          <w:szCs w:val="23"/>
        </w:rPr>
        <w:t xml:space="preserve">Ends on the next page - </w:t>
      </w:r>
    </w:p>
    <w:tbl>
      <w:tblPr>
        <w:tblW w:w="9490" w:type="dxa"/>
        <w:tblInd w:w="-108" w:type="dxa"/>
        <w:tblBorders>
          <w:top w:val="nil"/>
          <w:left w:val="nil"/>
          <w:bottom w:val="nil"/>
          <w:right w:val="nil"/>
        </w:tblBorders>
        <w:tblLayout w:type="fixed"/>
        <w:tblLook w:val="0000" w:firstRow="0" w:lastRow="0" w:firstColumn="0" w:lastColumn="0" w:noHBand="0" w:noVBand="0"/>
      </w:tblPr>
      <w:tblGrid>
        <w:gridCol w:w="730"/>
        <w:gridCol w:w="730"/>
        <w:gridCol w:w="730"/>
        <w:gridCol w:w="730"/>
        <w:gridCol w:w="730"/>
        <w:gridCol w:w="730"/>
        <w:gridCol w:w="730"/>
        <w:gridCol w:w="730"/>
        <w:gridCol w:w="730"/>
        <w:gridCol w:w="730"/>
        <w:gridCol w:w="730"/>
        <w:gridCol w:w="730"/>
        <w:gridCol w:w="730"/>
      </w:tblGrid>
      <w:tr w:rsidR="00770216" w:rsidRPr="00770216" w:rsidTr="00770216">
        <w:tblPrEx>
          <w:tblCellMar>
            <w:top w:w="0" w:type="dxa"/>
            <w:bottom w:w="0" w:type="dxa"/>
          </w:tblCellMar>
        </w:tblPrEx>
        <w:trPr>
          <w:trHeight w:val="424"/>
        </w:trPr>
        <w:tc>
          <w:tcPr>
            <w:tcW w:w="730" w:type="dxa"/>
          </w:tcPr>
          <w:p w:rsidR="00770216" w:rsidRPr="00770216" w:rsidRDefault="00770216" w:rsidP="00770216">
            <w:pPr>
              <w:pStyle w:val="Default"/>
              <w:jc w:val="both"/>
              <w:rPr>
                <w:sz w:val="23"/>
                <w:szCs w:val="23"/>
              </w:rPr>
            </w:pPr>
            <w:r w:rsidRPr="00770216">
              <w:rPr>
                <w:b/>
                <w:bCs/>
                <w:sz w:val="23"/>
                <w:szCs w:val="23"/>
              </w:rPr>
              <w:t xml:space="preserve">Year </w:t>
            </w:r>
          </w:p>
          <w:p w:rsidR="00770216" w:rsidRPr="00770216" w:rsidRDefault="00770216" w:rsidP="00770216">
            <w:pPr>
              <w:pStyle w:val="Default"/>
              <w:jc w:val="both"/>
              <w:rPr>
                <w:sz w:val="23"/>
                <w:szCs w:val="23"/>
              </w:rPr>
            </w:pPr>
            <w:r w:rsidRPr="00770216">
              <w:rPr>
                <w:b/>
                <w:bCs/>
                <w:sz w:val="23"/>
                <w:szCs w:val="23"/>
              </w:rPr>
              <w:t xml:space="preserve">Country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2003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2004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2005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2006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2007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2008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2009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2010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2011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2012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2013 </w:t>
            </w:r>
          </w:p>
        </w:tc>
        <w:tc>
          <w:tcPr>
            <w:tcW w:w="730" w:type="dxa"/>
          </w:tcPr>
          <w:p w:rsidR="00770216" w:rsidRPr="00770216" w:rsidRDefault="00770216" w:rsidP="00770216">
            <w:pPr>
              <w:pStyle w:val="Default"/>
              <w:jc w:val="both"/>
              <w:rPr>
                <w:sz w:val="23"/>
                <w:szCs w:val="23"/>
              </w:rPr>
            </w:pPr>
            <w:r w:rsidRPr="00770216">
              <w:rPr>
                <w:b/>
                <w:bCs/>
                <w:sz w:val="23"/>
                <w:szCs w:val="23"/>
              </w:rPr>
              <w:t xml:space="preserve">2014 </w:t>
            </w:r>
          </w:p>
        </w:tc>
      </w:tr>
      <w:tr w:rsidR="00770216" w:rsidRPr="00770216" w:rsidTr="00770216">
        <w:tblPrEx>
          <w:tblCellMar>
            <w:top w:w="0" w:type="dxa"/>
            <w:bottom w:w="0" w:type="dxa"/>
          </w:tblCellMar>
        </w:tblPrEx>
        <w:trPr>
          <w:trHeight w:val="161"/>
        </w:trPr>
        <w:tc>
          <w:tcPr>
            <w:tcW w:w="730" w:type="dxa"/>
          </w:tcPr>
          <w:p w:rsidR="00770216" w:rsidRPr="00770216" w:rsidRDefault="00770216" w:rsidP="00770216">
            <w:pPr>
              <w:pStyle w:val="Default"/>
              <w:jc w:val="both"/>
              <w:rPr>
                <w:sz w:val="23"/>
                <w:szCs w:val="23"/>
              </w:rPr>
            </w:pPr>
            <w:r w:rsidRPr="00770216">
              <w:rPr>
                <w:sz w:val="23"/>
                <w:szCs w:val="23"/>
              </w:rPr>
              <w:t xml:space="preserve">Germany </w:t>
            </w:r>
          </w:p>
        </w:tc>
        <w:tc>
          <w:tcPr>
            <w:tcW w:w="730" w:type="dxa"/>
          </w:tcPr>
          <w:p w:rsidR="00770216" w:rsidRPr="00770216" w:rsidRDefault="00770216" w:rsidP="00770216">
            <w:pPr>
              <w:pStyle w:val="Default"/>
              <w:jc w:val="both"/>
              <w:rPr>
                <w:sz w:val="23"/>
                <w:szCs w:val="23"/>
              </w:rPr>
            </w:pPr>
            <w:r w:rsidRPr="00770216">
              <w:rPr>
                <w:sz w:val="23"/>
                <w:szCs w:val="23"/>
              </w:rPr>
              <w:t xml:space="preserve">21,7 </w:t>
            </w:r>
          </w:p>
        </w:tc>
        <w:tc>
          <w:tcPr>
            <w:tcW w:w="730" w:type="dxa"/>
          </w:tcPr>
          <w:p w:rsidR="00770216" w:rsidRPr="00770216" w:rsidRDefault="00770216" w:rsidP="00770216">
            <w:pPr>
              <w:pStyle w:val="Default"/>
              <w:jc w:val="both"/>
              <w:rPr>
                <w:sz w:val="23"/>
                <w:szCs w:val="23"/>
              </w:rPr>
            </w:pPr>
            <w:r w:rsidRPr="00770216">
              <w:rPr>
                <w:sz w:val="23"/>
                <w:szCs w:val="23"/>
              </w:rPr>
              <w:t xml:space="preserve">22,3 </w:t>
            </w:r>
          </w:p>
        </w:tc>
        <w:tc>
          <w:tcPr>
            <w:tcW w:w="730" w:type="dxa"/>
          </w:tcPr>
          <w:p w:rsidR="00770216" w:rsidRPr="00770216" w:rsidRDefault="00770216" w:rsidP="00770216">
            <w:pPr>
              <w:pStyle w:val="Default"/>
              <w:jc w:val="both"/>
              <w:rPr>
                <w:sz w:val="23"/>
                <w:szCs w:val="23"/>
              </w:rPr>
            </w:pPr>
            <w:r w:rsidRPr="00770216">
              <w:rPr>
                <w:sz w:val="23"/>
                <w:szCs w:val="23"/>
              </w:rPr>
              <w:t xml:space="preserve">24,0 </w:t>
            </w:r>
          </w:p>
        </w:tc>
        <w:tc>
          <w:tcPr>
            <w:tcW w:w="730" w:type="dxa"/>
          </w:tcPr>
          <w:p w:rsidR="00770216" w:rsidRPr="00770216" w:rsidRDefault="00770216" w:rsidP="00770216">
            <w:pPr>
              <w:pStyle w:val="Default"/>
              <w:jc w:val="both"/>
              <w:rPr>
                <w:sz w:val="23"/>
                <w:szCs w:val="23"/>
              </w:rPr>
            </w:pPr>
            <w:r w:rsidRPr="00770216">
              <w:rPr>
                <w:sz w:val="23"/>
                <w:szCs w:val="23"/>
              </w:rPr>
              <w:t xml:space="preserve">25,8 </w:t>
            </w:r>
          </w:p>
        </w:tc>
        <w:tc>
          <w:tcPr>
            <w:tcW w:w="730" w:type="dxa"/>
          </w:tcPr>
          <w:p w:rsidR="00770216" w:rsidRPr="00770216" w:rsidRDefault="00770216" w:rsidP="00770216">
            <w:pPr>
              <w:pStyle w:val="Default"/>
              <w:jc w:val="both"/>
              <w:rPr>
                <w:sz w:val="23"/>
                <w:szCs w:val="23"/>
              </w:rPr>
            </w:pPr>
            <w:r w:rsidRPr="00770216">
              <w:rPr>
                <w:sz w:val="23"/>
                <w:szCs w:val="23"/>
              </w:rPr>
              <w:t xml:space="preserve">26,1 </w:t>
            </w:r>
          </w:p>
        </w:tc>
        <w:tc>
          <w:tcPr>
            <w:tcW w:w="730" w:type="dxa"/>
          </w:tcPr>
          <w:p w:rsidR="00770216" w:rsidRPr="00770216" w:rsidRDefault="00770216" w:rsidP="00770216">
            <w:pPr>
              <w:pStyle w:val="Default"/>
              <w:jc w:val="both"/>
              <w:rPr>
                <w:sz w:val="23"/>
                <w:szCs w:val="23"/>
              </w:rPr>
            </w:pPr>
            <w:r w:rsidRPr="00770216">
              <w:rPr>
                <w:sz w:val="23"/>
                <w:szCs w:val="23"/>
              </w:rPr>
              <w:t xml:space="preserve">25,9 </w:t>
            </w:r>
          </w:p>
        </w:tc>
        <w:tc>
          <w:tcPr>
            <w:tcW w:w="730" w:type="dxa"/>
          </w:tcPr>
          <w:p w:rsidR="00770216" w:rsidRPr="00770216" w:rsidRDefault="00770216" w:rsidP="00770216">
            <w:pPr>
              <w:pStyle w:val="Default"/>
              <w:jc w:val="both"/>
              <w:rPr>
                <w:sz w:val="23"/>
                <w:szCs w:val="23"/>
              </w:rPr>
            </w:pPr>
            <w:r w:rsidRPr="00770216">
              <w:rPr>
                <w:sz w:val="23"/>
                <w:szCs w:val="23"/>
              </w:rPr>
              <w:t xml:space="preserve">26,1 </w:t>
            </w:r>
          </w:p>
        </w:tc>
        <w:tc>
          <w:tcPr>
            <w:tcW w:w="730" w:type="dxa"/>
          </w:tcPr>
          <w:p w:rsidR="00770216" w:rsidRPr="00770216" w:rsidRDefault="00770216" w:rsidP="00770216">
            <w:pPr>
              <w:pStyle w:val="Default"/>
              <w:jc w:val="both"/>
              <w:rPr>
                <w:sz w:val="23"/>
                <w:szCs w:val="23"/>
              </w:rPr>
            </w:pPr>
            <w:r w:rsidRPr="00770216">
              <w:rPr>
                <w:sz w:val="23"/>
                <w:szCs w:val="23"/>
              </w:rPr>
              <w:t xml:space="preserve">26,2 </w:t>
            </w:r>
          </w:p>
        </w:tc>
        <w:tc>
          <w:tcPr>
            <w:tcW w:w="730" w:type="dxa"/>
          </w:tcPr>
          <w:p w:rsidR="00770216" w:rsidRPr="00770216" w:rsidRDefault="00770216" w:rsidP="00770216">
            <w:pPr>
              <w:pStyle w:val="Default"/>
              <w:jc w:val="both"/>
              <w:rPr>
                <w:sz w:val="23"/>
                <w:szCs w:val="23"/>
              </w:rPr>
            </w:pPr>
            <w:r w:rsidRPr="00770216">
              <w:rPr>
                <w:sz w:val="23"/>
                <w:szCs w:val="23"/>
              </w:rPr>
              <w:t xml:space="preserve">26,8 </w:t>
            </w:r>
          </w:p>
        </w:tc>
        <w:tc>
          <w:tcPr>
            <w:tcW w:w="730" w:type="dxa"/>
          </w:tcPr>
          <w:p w:rsidR="00770216" w:rsidRPr="00770216" w:rsidRDefault="00770216" w:rsidP="00770216">
            <w:pPr>
              <w:pStyle w:val="Default"/>
              <w:jc w:val="both"/>
              <w:rPr>
                <w:sz w:val="23"/>
                <w:szCs w:val="23"/>
              </w:rPr>
            </w:pPr>
            <w:r w:rsidRPr="00770216">
              <w:rPr>
                <w:sz w:val="23"/>
                <w:szCs w:val="23"/>
              </w:rPr>
              <w:t xml:space="preserve">26,8 </w:t>
            </w:r>
          </w:p>
        </w:tc>
        <w:tc>
          <w:tcPr>
            <w:tcW w:w="730" w:type="dxa"/>
          </w:tcPr>
          <w:p w:rsidR="00770216" w:rsidRPr="00770216" w:rsidRDefault="00770216" w:rsidP="00770216">
            <w:pPr>
              <w:pStyle w:val="Default"/>
              <w:jc w:val="both"/>
              <w:rPr>
                <w:sz w:val="23"/>
                <w:szCs w:val="23"/>
              </w:rPr>
            </w:pPr>
            <w:r w:rsidRPr="00770216">
              <w:rPr>
                <w:sz w:val="23"/>
                <w:szCs w:val="23"/>
              </w:rPr>
              <w:t xml:space="preserve">27,7 </w:t>
            </w:r>
          </w:p>
        </w:tc>
        <w:tc>
          <w:tcPr>
            <w:tcW w:w="730" w:type="dxa"/>
          </w:tcPr>
          <w:p w:rsidR="00770216" w:rsidRPr="00770216" w:rsidRDefault="00770216" w:rsidP="00770216">
            <w:pPr>
              <w:pStyle w:val="Default"/>
              <w:jc w:val="both"/>
              <w:rPr>
                <w:sz w:val="23"/>
                <w:szCs w:val="23"/>
              </w:rPr>
            </w:pPr>
            <w:r w:rsidRPr="00770216">
              <w:rPr>
                <w:sz w:val="23"/>
                <w:szCs w:val="23"/>
              </w:rPr>
              <w:t xml:space="preserve">27,6 </w:t>
            </w:r>
          </w:p>
        </w:tc>
      </w:tr>
      <w:tr w:rsidR="00770216" w:rsidRPr="00770216" w:rsidTr="00770216">
        <w:tblPrEx>
          <w:tblCellMar>
            <w:top w:w="0" w:type="dxa"/>
            <w:bottom w:w="0" w:type="dxa"/>
          </w:tblCellMar>
        </w:tblPrEx>
        <w:trPr>
          <w:trHeight w:val="161"/>
        </w:trPr>
        <w:tc>
          <w:tcPr>
            <w:tcW w:w="730" w:type="dxa"/>
          </w:tcPr>
          <w:p w:rsidR="00770216" w:rsidRPr="00770216" w:rsidRDefault="00770216" w:rsidP="00770216">
            <w:pPr>
              <w:pStyle w:val="Default"/>
              <w:jc w:val="both"/>
              <w:rPr>
                <w:sz w:val="23"/>
                <w:szCs w:val="23"/>
              </w:rPr>
            </w:pPr>
            <w:r w:rsidRPr="00770216">
              <w:rPr>
                <w:sz w:val="23"/>
                <w:szCs w:val="23"/>
              </w:rPr>
              <w:t xml:space="preserve">Austria </w:t>
            </w:r>
          </w:p>
        </w:tc>
        <w:tc>
          <w:tcPr>
            <w:tcW w:w="730" w:type="dxa"/>
          </w:tcPr>
          <w:p w:rsidR="00770216" w:rsidRPr="00770216" w:rsidRDefault="00770216" w:rsidP="00770216">
            <w:pPr>
              <w:pStyle w:val="Default"/>
              <w:jc w:val="both"/>
              <w:rPr>
                <w:sz w:val="23"/>
                <w:szCs w:val="23"/>
              </w:rPr>
            </w:pPr>
            <w:r w:rsidRPr="00770216">
              <w:rPr>
                <w:sz w:val="23"/>
                <w:szCs w:val="23"/>
              </w:rPr>
              <w:t xml:space="preserve">18,7 </w:t>
            </w:r>
          </w:p>
        </w:tc>
        <w:tc>
          <w:tcPr>
            <w:tcW w:w="730" w:type="dxa"/>
          </w:tcPr>
          <w:p w:rsidR="00770216" w:rsidRPr="00770216" w:rsidRDefault="00770216" w:rsidP="00770216">
            <w:pPr>
              <w:pStyle w:val="Default"/>
              <w:jc w:val="both"/>
              <w:rPr>
                <w:sz w:val="23"/>
                <w:szCs w:val="23"/>
              </w:rPr>
            </w:pPr>
            <w:r w:rsidRPr="00770216">
              <w:rPr>
                <w:sz w:val="23"/>
                <w:szCs w:val="23"/>
              </w:rPr>
              <w:t xml:space="preserve">19,7 </w:t>
            </w:r>
          </w:p>
        </w:tc>
        <w:tc>
          <w:tcPr>
            <w:tcW w:w="730" w:type="dxa"/>
          </w:tcPr>
          <w:p w:rsidR="00770216" w:rsidRPr="00770216" w:rsidRDefault="00770216" w:rsidP="00770216">
            <w:pPr>
              <w:pStyle w:val="Default"/>
              <w:jc w:val="both"/>
              <w:rPr>
                <w:sz w:val="23"/>
                <w:szCs w:val="23"/>
              </w:rPr>
            </w:pPr>
            <w:r w:rsidRPr="00770216">
              <w:rPr>
                <w:sz w:val="23"/>
                <w:szCs w:val="23"/>
              </w:rPr>
              <w:t xml:space="preserve">21,3 </w:t>
            </w:r>
          </w:p>
        </w:tc>
        <w:tc>
          <w:tcPr>
            <w:tcW w:w="730" w:type="dxa"/>
          </w:tcPr>
          <w:p w:rsidR="00770216" w:rsidRPr="00770216" w:rsidRDefault="00770216" w:rsidP="00770216">
            <w:pPr>
              <w:pStyle w:val="Default"/>
              <w:jc w:val="both"/>
              <w:rPr>
                <w:sz w:val="23"/>
                <w:szCs w:val="23"/>
              </w:rPr>
            </w:pPr>
            <w:r w:rsidRPr="00770216">
              <w:rPr>
                <w:sz w:val="23"/>
                <w:szCs w:val="23"/>
              </w:rPr>
              <w:t xml:space="preserve">22,0 </w:t>
            </w:r>
          </w:p>
        </w:tc>
        <w:tc>
          <w:tcPr>
            <w:tcW w:w="730" w:type="dxa"/>
          </w:tcPr>
          <w:p w:rsidR="00770216" w:rsidRPr="00770216" w:rsidRDefault="00770216" w:rsidP="00770216">
            <w:pPr>
              <w:pStyle w:val="Default"/>
              <w:jc w:val="both"/>
              <w:rPr>
                <w:sz w:val="23"/>
                <w:szCs w:val="23"/>
              </w:rPr>
            </w:pPr>
            <w:r w:rsidRPr="00770216">
              <w:rPr>
                <w:sz w:val="23"/>
                <w:szCs w:val="23"/>
              </w:rPr>
              <w:t xml:space="preserve">22,7 </w:t>
            </w:r>
          </w:p>
        </w:tc>
        <w:tc>
          <w:tcPr>
            <w:tcW w:w="730" w:type="dxa"/>
          </w:tcPr>
          <w:p w:rsidR="00770216" w:rsidRPr="00770216" w:rsidRDefault="00770216" w:rsidP="00770216">
            <w:pPr>
              <w:pStyle w:val="Default"/>
              <w:jc w:val="both"/>
              <w:rPr>
                <w:sz w:val="23"/>
                <w:szCs w:val="23"/>
              </w:rPr>
            </w:pPr>
            <w:r w:rsidRPr="00770216">
              <w:rPr>
                <w:sz w:val="23"/>
                <w:szCs w:val="23"/>
              </w:rPr>
              <w:t xml:space="preserve">23,5 </w:t>
            </w:r>
          </w:p>
        </w:tc>
        <w:tc>
          <w:tcPr>
            <w:tcW w:w="730" w:type="dxa"/>
          </w:tcPr>
          <w:p w:rsidR="00770216" w:rsidRPr="00770216" w:rsidRDefault="00770216" w:rsidP="00770216">
            <w:pPr>
              <w:pStyle w:val="Default"/>
              <w:jc w:val="both"/>
              <w:rPr>
                <w:sz w:val="23"/>
                <w:szCs w:val="23"/>
              </w:rPr>
            </w:pPr>
            <w:r w:rsidRPr="00770216">
              <w:rPr>
                <w:sz w:val="23"/>
                <w:szCs w:val="23"/>
              </w:rPr>
              <w:t xml:space="preserve">24,8 </w:t>
            </w:r>
          </w:p>
        </w:tc>
        <w:tc>
          <w:tcPr>
            <w:tcW w:w="730" w:type="dxa"/>
          </w:tcPr>
          <w:p w:rsidR="00770216" w:rsidRPr="00770216" w:rsidRDefault="00770216" w:rsidP="00770216">
            <w:pPr>
              <w:pStyle w:val="Default"/>
              <w:jc w:val="both"/>
              <w:rPr>
                <w:sz w:val="23"/>
                <w:szCs w:val="23"/>
              </w:rPr>
            </w:pPr>
            <w:r w:rsidRPr="00770216">
              <w:rPr>
                <w:sz w:val="23"/>
                <w:szCs w:val="23"/>
              </w:rPr>
              <w:t xml:space="preserve">25,3 </w:t>
            </w:r>
          </w:p>
        </w:tc>
        <w:tc>
          <w:tcPr>
            <w:tcW w:w="730" w:type="dxa"/>
          </w:tcPr>
          <w:p w:rsidR="00770216" w:rsidRPr="00770216" w:rsidRDefault="00770216" w:rsidP="00770216">
            <w:pPr>
              <w:pStyle w:val="Default"/>
              <w:jc w:val="both"/>
              <w:rPr>
                <w:sz w:val="23"/>
                <w:szCs w:val="23"/>
              </w:rPr>
            </w:pPr>
            <w:r w:rsidRPr="00770216">
              <w:rPr>
                <w:sz w:val="23"/>
                <w:szCs w:val="23"/>
              </w:rPr>
              <w:t xml:space="preserve">25,3 </w:t>
            </w:r>
          </w:p>
        </w:tc>
        <w:tc>
          <w:tcPr>
            <w:tcW w:w="730" w:type="dxa"/>
          </w:tcPr>
          <w:p w:rsidR="00770216" w:rsidRPr="00770216" w:rsidRDefault="00770216" w:rsidP="00770216">
            <w:pPr>
              <w:pStyle w:val="Default"/>
              <w:jc w:val="both"/>
              <w:rPr>
                <w:sz w:val="23"/>
                <w:szCs w:val="23"/>
              </w:rPr>
            </w:pPr>
            <w:r w:rsidRPr="00770216">
              <w:rPr>
                <w:sz w:val="23"/>
                <w:szCs w:val="23"/>
              </w:rPr>
              <w:t xml:space="preserve">26,0 </w:t>
            </w:r>
          </w:p>
        </w:tc>
        <w:tc>
          <w:tcPr>
            <w:tcW w:w="730" w:type="dxa"/>
          </w:tcPr>
          <w:p w:rsidR="00770216" w:rsidRPr="00770216" w:rsidRDefault="00770216" w:rsidP="00770216">
            <w:pPr>
              <w:pStyle w:val="Default"/>
              <w:jc w:val="both"/>
              <w:rPr>
                <w:sz w:val="23"/>
                <w:szCs w:val="23"/>
              </w:rPr>
            </w:pPr>
            <w:r w:rsidRPr="00770216">
              <w:rPr>
                <w:sz w:val="23"/>
                <w:szCs w:val="23"/>
              </w:rPr>
              <w:t xml:space="preserve">26,8 </w:t>
            </w:r>
          </w:p>
        </w:tc>
        <w:tc>
          <w:tcPr>
            <w:tcW w:w="730" w:type="dxa"/>
          </w:tcPr>
          <w:p w:rsidR="00770216" w:rsidRPr="00770216" w:rsidRDefault="00770216" w:rsidP="00770216">
            <w:pPr>
              <w:pStyle w:val="Default"/>
              <w:jc w:val="both"/>
              <w:rPr>
                <w:sz w:val="23"/>
                <w:szCs w:val="23"/>
              </w:rPr>
            </w:pPr>
            <w:r w:rsidRPr="00770216">
              <w:rPr>
                <w:sz w:val="23"/>
                <w:szCs w:val="23"/>
              </w:rPr>
              <w:t xml:space="preserve">27,9 </w:t>
            </w:r>
          </w:p>
        </w:tc>
      </w:tr>
      <w:tr w:rsidR="00770216" w:rsidRPr="00770216" w:rsidTr="00770216">
        <w:tblPrEx>
          <w:tblCellMar>
            <w:top w:w="0" w:type="dxa"/>
            <w:bottom w:w="0" w:type="dxa"/>
          </w:tblCellMar>
        </w:tblPrEx>
        <w:trPr>
          <w:trHeight w:val="161"/>
        </w:trPr>
        <w:tc>
          <w:tcPr>
            <w:tcW w:w="730" w:type="dxa"/>
          </w:tcPr>
          <w:p w:rsidR="00770216" w:rsidRPr="00770216" w:rsidRDefault="00770216" w:rsidP="00770216">
            <w:pPr>
              <w:pStyle w:val="Default"/>
              <w:jc w:val="both"/>
              <w:rPr>
                <w:sz w:val="23"/>
                <w:szCs w:val="23"/>
              </w:rPr>
            </w:pPr>
            <w:r w:rsidRPr="00770216">
              <w:rPr>
                <w:sz w:val="23"/>
                <w:szCs w:val="23"/>
              </w:rPr>
              <w:t xml:space="preserve">Poland </w:t>
            </w:r>
          </w:p>
        </w:tc>
        <w:tc>
          <w:tcPr>
            <w:tcW w:w="730" w:type="dxa"/>
          </w:tcPr>
          <w:p w:rsidR="00770216" w:rsidRPr="00770216" w:rsidRDefault="00770216" w:rsidP="00770216">
            <w:pPr>
              <w:pStyle w:val="Default"/>
              <w:jc w:val="both"/>
              <w:rPr>
                <w:sz w:val="23"/>
                <w:szCs w:val="23"/>
              </w:rPr>
            </w:pPr>
            <w:r w:rsidRPr="00770216">
              <w:rPr>
                <w:sz w:val="23"/>
                <w:szCs w:val="23"/>
              </w:rPr>
              <w:t xml:space="preserve">10,5 </w:t>
            </w:r>
          </w:p>
        </w:tc>
        <w:tc>
          <w:tcPr>
            <w:tcW w:w="730" w:type="dxa"/>
          </w:tcPr>
          <w:p w:rsidR="00770216" w:rsidRPr="00770216" w:rsidRDefault="00770216" w:rsidP="00770216">
            <w:pPr>
              <w:pStyle w:val="Default"/>
              <w:jc w:val="both"/>
              <w:rPr>
                <w:sz w:val="23"/>
                <w:szCs w:val="23"/>
              </w:rPr>
            </w:pPr>
            <w:r w:rsidRPr="00770216">
              <w:rPr>
                <w:sz w:val="23"/>
                <w:szCs w:val="23"/>
              </w:rPr>
              <w:t xml:space="preserve">10,8 </w:t>
            </w:r>
          </w:p>
        </w:tc>
        <w:tc>
          <w:tcPr>
            <w:tcW w:w="730" w:type="dxa"/>
          </w:tcPr>
          <w:p w:rsidR="00770216" w:rsidRPr="00770216" w:rsidRDefault="00770216" w:rsidP="00770216">
            <w:pPr>
              <w:pStyle w:val="Default"/>
              <w:jc w:val="both"/>
              <w:rPr>
                <w:sz w:val="23"/>
                <w:szCs w:val="23"/>
              </w:rPr>
            </w:pPr>
            <w:r w:rsidRPr="00770216">
              <w:rPr>
                <w:sz w:val="23"/>
                <w:szCs w:val="23"/>
              </w:rPr>
              <w:t xml:space="preserve">10,8 </w:t>
            </w:r>
          </w:p>
        </w:tc>
        <w:tc>
          <w:tcPr>
            <w:tcW w:w="730" w:type="dxa"/>
          </w:tcPr>
          <w:p w:rsidR="00770216" w:rsidRPr="00770216" w:rsidRDefault="00770216" w:rsidP="00770216">
            <w:pPr>
              <w:pStyle w:val="Default"/>
              <w:jc w:val="both"/>
              <w:rPr>
                <w:sz w:val="23"/>
                <w:szCs w:val="23"/>
              </w:rPr>
            </w:pPr>
            <w:r w:rsidRPr="00770216">
              <w:rPr>
                <w:sz w:val="23"/>
                <w:szCs w:val="23"/>
              </w:rPr>
              <w:t xml:space="preserve">9,8 </w:t>
            </w:r>
          </w:p>
        </w:tc>
        <w:tc>
          <w:tcPr>
            <w:tcW w:w="730" w:type="dxa"/>
          </w:tcPr>
          <w:p w:rsidR="00770216" w:rsidRPr="00770216" w:rsidRDefault="00770216" w:rsidP="00770216">
            <w:pPr>
              <w:pStyle w:val="Default"/>
              <w:jc w:val="both"/>
              <w:rPr>
                <w:sz w:val="23"/>
                <w:szCs w:val="23"/>
              </w:rPr>
            </w:pPr>
            <w:r w:rsidRPr="00770216">
              <w:rPr>
                <w:sz w:val="23"/>
                <w:szCs w:val="23"/>
              </w:rPr>
              <w:t xml:space="preserve">9,2 </w:t>
            </w:r>
          </w:p>
        </w:tc>
        <w:tc>
          <w:tcPr>
            <w:tcW w:w="730" w:type="dxa"/>
          </w:tcPr>
          <w:p w:rsidR="00770216" w:rsidRPr="00770216" w:rsidRDefault="00770216" w:rsidP="00770216">
            <w:pPr>
              <w:pStyle w:val="Default"/>
              <w:jc w:val="both"/>
              <w:rPr>
                <w:sz w:val="23"/>
                <w:szCs w:val="23"/>
              </w:rPr>
            </w:pPr>
            <w:r w:rsidRPr="00770216">
              <w:rPr>
                <w:sz w:val="23"/>
                <w:szCs w:val="23"/>
              </w:rPr>
              <w:t xml:space="preserve">8,5 </w:t>
            </w:r>
          </w:p>
        </w:tc>
        <w:tc>
          <w:tcPr>
            <w:tcW w:w="730" w:type="dxa"/>
          </w:tcPr>
          <w:p w:rsidR="00770216" w:rsidRPr="00770216" w:rsidRDefault="00770216" w:rsidP="00770216">
            <w:pPr>
              <w:pStyle w:val="Default"/>
              <w:jc w:val="both"/>
              <w:rPr>
                <w:sz w:val="23"/>
                <w:szCs w:val="23"/>
              </w:rPr>
            </w:pPr>
            <w:r w:rsidRPr="00770216">
              <w:rPr>
                <w:sz w:val="23"/>
                <w:szCs w:val="23"/>
              </w:rPr>
              <w:t xml:space="preserve">8,4 </w:t>
            </w:r>
          </w:p>
        </w:tc>
        <w:tc>
          <w:tcPr>
            <w:tcW w:w="730" w:type="dxa"/>
          </w:tcPr>
          <w:p w:rsidR="00770216" w:rsidRPr="00770216" w:rsidRDefault="00770216" w:rsidP="00770216">
            <w:pPr>
              <w:pStyle w:val="Default"/>
              <w:jc w:val="both"/>
              <w:rPr>
                <w:sz w:val="23"/>
                <w:szCs w:val="23"/>
              </w:rPr>
            </w:pPr>
            <w:r w:rsidRPr="00770216">
              <w:rPr>
                <w:sz w:val="23"/>
                <w:szCs w:val="23"/>
              </w:rPr>
              <w:t xml:space="preserve">8,4 </w:t>
            </w:r>
          </w:p>
        </w:tc>
        <w:tc>
          <w:tcPr>
            <w:tcW w:w="730" w:type="dxa"/>
          </w:tcPr>
          <w:p w:rsidR="00770216" w:rsidRPr="00770216" w:rsidRDefault="00770216" w:rsidP="00770216">
            <w:pPr>
              <w:pStyle w:val="Default"/>
              <w:jc w:val="both"/>
              <w:rPr>
                <w:sz w:val="23"/>
                <w:szCs w:val="23"/>
              </w:rPr>
            </w:pPr>
            <w:r w:rsidRPr="00770216">
              <w:rPr>
                <w:sz w:val="23"/>
                <w:szCs w:val="23"/>
              </w:rPr>
              <w:t xml:space="preserve">8,0 </w:t>
            </w:r>
          </w:p>
        </w:tc>
        <w:tc>
          <w:tcPr>
            <w:tcW w:w="730" w:type="dxa"/>
          </w:tcPr>
          <w:p w:rsidR="00770216" w:rsidRPr="00770216" w:rsidRDefault="00770216" w:rsidP="00770216">
            <w:pPr>
              <w:pStyle w:val="Default"/>
              <w:jc w:val="both"/>
              <w:rPr>
                <w:sz w:val="23"/>
                <w:szCs w:val="23"/>
              </w:rPr>
            </w:pPr>
            <w:r w:rsidRPr="00770216">
              <w:rPr>
                <w:sz w:val="23"/>
                <w:szCs w:val="23"/>
              </w:rPr>
              <w:t xml:space="preserve">7,9 </w:t>
            </w:r>
          </w:p>
        </w:tc>
        <w:tc>
          <w:tcPr>
            <w:tcW w:w="730" w:type="dxa"/>
          </w:tcPr>
          <w:p w:rsidR="00770216" w:rsidRPr="00770216" w:rsidRDefault="00770216" w:rsidP="00770216">
            <w:pPr>
              <w:pStyle w:val="Default"/>
              <w:jc w:val="both"/>
              <w:rPr>
                <w:sz w:val="23"/>
                <w:szCs w:val="23"/>
              </w:rPr>
            </w:pPr>
            <w:r w:rsidRPr="00770216">
              <w:rPr>
                <w:sz w:val="23"/>
                <w:szCs w:val="23"/>
              </w:rPr>
              <w:t xml:space="preserve">7,8 </w:t>
            </w:r>
          </w:p>
        </w:tc>
        <w:tc>
          <w:tcPr>
            <w:tcW w:w="730" w:type="dxa"/>
          </w:tcPr>
          <w:p w:rsidR="00770216" w:rsidRPr="00770216" w:rsidRDefault="00770216" w:rsidP="00770216">
            <w:pPr>
              <w:pStyle w:val="Default"/>
              <w:jc w:val="both"/>
              <w:rPr>
                <w:sz w:val="23"/>
                <w:szCs w:val="23"/>
              </w:rPr>
            </w:pPr>
            <w:r w:rsidRPr="00770216">
              <w:rPr>
                <w:sz w:val="23"/>
                <w:szCs w:val="23"/>
              </w:rPr>
              <w:t>7,8</w:t>
            </w:r>
          </w:p>
        </w:tc>
      </w:tr>
      <w:tr w:rsidR="00770216" w:rsidRPr="00770216" w:rsidTr="00770216">
        <w:tblPrEx>
          <w:tblCellMar>
            <w:top w:w="0" w:type="dxa"/>
            <w:bottom w:w="0" w:type="dxa"/>
          </w:tblCellMar>
        </w:tblPrEx>
        <w:trPr>
          <w:trHeight w:val="161"/>
        </w:trPr>
        <w:tc>
          <w:tcPr>
            <w:tcW w:w="730" w:type="dxa"/>
            <w:tcBorders>
              <w:left w:val="nil"/>
            </w:tcBorders>
          </w:tcPr>
          <w:p w:rsidR="00770216" w:rsidRPr="00770216" w:rsidRDefault="00770216" w:rsidP="00770216">
            <w:pPr>
              <w:pStyle w:val="Default"/>
              <w:jc w:val="both"/>
              <w:rPr>
                <w:sz w:val="23"/>
                <w:szCs w:val="23"/>
              </w:rPr>
            </w:pPr>
            <w:r w:rsidRPr="00770216">
              <w:rPr>
                <w:sz w:val="23"/>
                <w:szCs w:val="23"/>
              </w:rPr>
              <w:t xml:space="preserve">Slovakia </w:t>
            </w:r>
          </w:p>
        </w:tc>
        <w:tc>
          <w:tcPr>
            <w:tcW w:w="730" w:type="dxa"/>
          </w:tcPr>
          <w:p w:rsidR="00770216" w:rsidRPr="00770216" w:rsidRDefault="00770216" w:rsidP="00770216">
            <w:pPr>
              <w:pStyle w:val="Default"/>
              <w:jc w:val="both"/>
              <w:rPr>
                <w:sz w:val="23"/>
                <w:szCs w:val="23"/>
              </w:rPr>
            </w:pPr>
            <w:r w:rsidRPr="00770216">
              <w:rPr>
                <w:sz w:val="23"/>
                <w:szCs w:val="23"/>
              </w:rPr>
              <w:t xml:space="preserve">2,4 </w:t>
            </w:r>
          </w:p>
        </w:tc>
        <w:tc>
          <w:tcPr>
            <w:tcW w:w="730" w:type="dxa"/>
          </w:tcPr>
          <w:p w:rsidR="00770216" w:rsidRPr="00770216" w:rsidRDefault="00770216" w:rsidP="00770216">
            <w:pPr>
              <w:pStyle w:val="Default"/>
              <w:jc w:val="both"/>
              <w:rPr>
                <w:sz w:val="23"/>
                <w:szCs w:val="23"/>
              </w:rPr>
            </w:pPr>
            <w:r w:rsidRPr="00770216">
              <w:rPr>
                <w:sz w:val="23"/>
                <w:szCs w:val="23"/>
              </w:rPr>
              <w:t xml:space="preserve">2,7 </w:t>
            </w:r>
          </w:p>
        </w:tc>
        <w:tc>
          <w:tcPr>
            <w:tcW w:w="730" w:type="dxa"/>
          </w:tcPr>
          <w:p w:rsidR="00770216" w:rsidRPr="00770216" w:rsidRDefault="00770216" w:rsidP="00770216">
            <w:pPr>
              <w:pStyle w:val="Default"/>
              <w:jc w:val="both"/>
              <w:rPr>
                <w:sz w:val="23"/>
                <w:szCs w:val="23"/>
              </w:rPr>
            </w:pPr>
            <w:r w:rsidRPr="00770216">
              <w:rPr>
                <w:sz w:val="23"/>
                <w:szCs w:val="23"/>
              </w:rPr>
              <w:t xml:space="preserve">2,5 </w:t>
            </w:r>
          </w:p>
        </w:tc>
        <w:tc>
          <w:tcPr>
            <w:tcW w:w="730" w:type="dxa"/>
          </w:tcPr>
          <w:p w:rsidR="00770216" w:rsidRPr="00770216" w:rsidRDefault="00770216" w:rsidP="00770216">
            <w:pPr>
              <w:pStyle w:val="Default"/>
              <w:jc w:val="both"/>
              <w:rPr>
                <w:sz w:val="23"/>
                <w:szCs w:val="23"/>
              </w:rPr>
            </w:pPr>
            <w:r w:rsidRPr="00770216">
              <w:rPr>
                <w:sz w:val="23"/>
                <w:szCs w:val="23"/>
              </w:rPr>
              <w:t xml:space="preserve">2,8 </w:t>
            </w:r>
          </w:p>
        </w:tc>
        <w:tc>
          <w:tcPr>
            <w:tcW w:w="730" w:type="dxa"/>
          </w:tcPr>
          <w:p w:rsidR="00770216" w:rsidRPr="00770216" w:rsidRDefault="00770216" w:rsidP="00770216">
            <w:pPr>
              <w:pStyle w:val="Default"/>
              <w:jc w:val="both"/>
              <w:rPr>
                <w:sz w:val="23"/>
                <w:szCs w:val="23"/>
              </w:rPr>
            </w:pPr>
            <w:r w:rsidRPr="00770216">
              <w:rPr>
                <w:sz w:val="23"/>
                <w:szCs w:val="23"/>
              </w:rPr>
              <w:t xml:space="preserve">2,6 </w:t>
            </w:r>
          </w:p>
        </w:tc>
        <w:tc>
          <w:tcPr>
            <w:tcW w:w="730" w:type="dxa"/>
          </w:tcPr>
          <w:p w:rsidR="00770216" w:rsidRPr="00770216" w:rsidRDefault="00770216" w:rsidP="00770216">
            <w:pPr>
              <w:pStyle w:val="Default"/>
              <w:jc w:val="both"/>
              <w:rPr>
                <w:sz w:val="23"/>
                <w:szCs w:val="23"/>
              </w:rPr>
            </w:pPr>
            <w:r w:rsidRPr="00770216">
              <w:rPr>
                <w:sz w:val="23"/>
                <w:szCs w:val="23"/>
              </w:rPr>
              <w:t xml:space="preserve">2,7 </w:t>
            </w:r>
          </w:p>
        </w:tc>
        <w:tc>
          <w:tcPr>
            <w:tcW w:w="730" w:type="dxa"/>
          </w:tcPr>
          <w:p w:rsidR="00770216" w:rsidRPr="00770216" w:rsidRDefault="00770216" w:rsidP="00770216">
            <w:pPr>
              <w:pStyle w:val="Default"/>
              <w:jc w:val="both"/>
              <w:rPr>
                <w:sz w:val="23"/>
                <w:szCs w:val="23"/>
              </w:rPr>
            </w:pPr>
            <w:r w:rsidRPr="00770216">
              <w:rPr>
                <w:sz w:val="23"/>
                <w:szCs w:val="23"/>
              </w:rPr>
              <w:t xml:space="preserve">3,6 </w:t>
            </w:r>
          </w:p>
        </w:tc>
        <w:tc>
          <w:tcPr>
            <w:tcW w:w="730" w:type="dxa"/>
          </w:tcPr>
          <w:p w:rsidR="00770216" w:rsidRPr="00770216" w:rsidRDefault="00770216" w:rsidP="00770216">
            <w:pPr>
              <w:pStyle w:val="Default"/>
              <w:jc w:val="both"/>
              <w:rPr>
                <w:sz w:val="23"/>
                <w:szCs w:val="23"/>
              </w:rPr>
            </w:pPr>
            <w:r w:rsidRPr="00770216">
              <w:rPr>
                <w:sz w:val="23"/>
                <w:szCs w:val="23"/>
              </w:rPr>
              <w:t xml:space="preserve">3,9 </w:t>
            </w:r>
          </w:p>
        </w:tc>
        <w:tc>
          <w:tcPr>
            <w:tcW w:w="730" w:type="dxa"/>
          </w:tcPr>
          <w:p w:rsidR="00770216" w:rsidRPr="00770216" w:rsidRDefault="00770216" w:rsidP="00770216">
            <w:pPr>
              <w:pStyle w:val="Default"/>
              <w:jc w:val="both"/>
              <w:rPr>
                <w:sz w:val="23"/>
                <w:szCs w:val="23"/>
              </w:rPr>
            </w:pPr>
            <w:r w:rsidRPr="00770216">
              <w:rPr>
                <w:sz w:val="23"/>
                <w:szCs w:val="23"/>
              </w:rPr>
              <w:t xml:space="preserve">4,2 </w:t>
            </w:r>
          </w:p>
        </w:tc>
        <w:tc>
          <w:tcPr>
            <w:tcW w:w="730" w:type="dxa"/>
          </w:tcPr>
          <w:p w:rsidR="00770216" w:rsidRPr="00770216" w:rsidRDefault="00770216" w:rsidP="00770216">
            <w:pPr>
              <w:pStyle w:val="Default"/>
              <w:jc w:val="both"/>
              <w:rPr>
                <w:sz w:val="23"/>
                <w:szCs w:val="23"/>
              </w:rPr>
            </w:pPr>
            <w:r w:rsidRPr="00770216">
              <w:rPr>
                <w:sz w:val="23"/>
                <w:szCs w:val="23"/>
              </w:rPr>
              <w:t xml:space="preserve">4,1 </w:t>
            </w:r>
          </w:p>
        </w:tc>
        <w:tc>
          <w:tcPr>
            <w:tcW w:w="730" w:type="dxa"/>
          </w:tcPr>
          <w:p w:rsidR="00770216" w:rsidRPr="00770216" w:rsidRDefault="00770216" w:rsidP="00770216">
            <w:pPr>
              <w:pStyle w:val="Default"/>
              <w:jc w:val="both"/>
              <w:rPr>
                <w:sz w:val="23"/>
                <w:szCs w:val="23"/>
              </w:rPr>
            </w:pPr>
            <w:r w:rsidRPr="00770216">
              <w:rPr>
                <w:sz w:val="23"/>
                <w:szCs w:val="23"/>
              </w:rPr>
              <w:t xml:space="preserve">4,8 </w:t>
            </w:r>
          </w:p>
        </w:tc>
        <w:tc>
          <w:tcPr>
            <w:tcW w:w="730" w:type="dxa"/>
            <w:tcBorders>
              <w:right w:val="nil"/>
            </w:tcBorders>
          </w:tcPr>
          <w:p w:rsidR="00770216" w:rsidRPr="00770216" w:rsidRDefault="00770216" w:rsidP="00770216">
            <w:pPr>
              <w:pStyle w:val="Default"/>
              <w:jc w:val="both"/>
              <w:rPr>
                <w:sz w:val="23"/>
                <w:szCs w:val="23"/>
              </w:rPr>
            </w:pPr>
            <w:r w:rsidRPr="00770216">
              <w:rPr>
                <w:sz w:val="23"/>
                <w:szCs w:val="23"/>
              </w:rPr>
              <w:t xml:space="preserve">5,2 </w:t>
            </w:r>
          </w:p>
        </w:tc>
      </w:tr>
      <w:tr w:rsidR="00770216" w:rsidRPr="00770216" w:rsidTr="00770216">
        <w:tblPrEx>
          <w:tblCellMar>
            <w:top w:w="0" w:type="dxa"/>
            <w:bottom w:w="0" w:type="dxa"/>
          </w:tblCellMar>
        </w:tblPrEx>
        <w:trPr>
          <w:trHeight w:val="161"/>
        </w:trPr>
        <w:tc>
          <w:tcPr>
            <w:tcW w:w="730" w:type="dxa"/>
            <w:tcBorders>
              <w:left w:val="nil"/>
            </w:tcBorders>
          </w:tcPr>
          <w:p w:rsidR="00770216" w:rsidRPr="00770216" w:rsidRDefault="00770216" w:rsidP="00770216">
            <w:pPr>
              <w:pStyle w:val="Default"/>
              <w:jc w:val="both"/>
              <w:rPr>
                <w:sz w:val="23"/>
                <w:szCs w:val="23"/>
              </w:rPr>
            </w:pPr>
            <w:r w:rsidRPr="00770216">
              <w:rPr>
                <w:sz w:val="23"/>
                <w:szCs w:val="23"/>
              </w:rPr>
              <w:t xml:space="preserve">Czechia </w:t>
            </w:r>
          </w:p>
        </w:tc>
        <w:tc>
          <w:tcPr>
            <w:tcW w:w="730" w:type="dxa"/>
          </w:tcPr>
          <w:p w:rsidR="00770216" w:rsidRPr="00770216" w:rsidRDefault="00770216" w:rsidP="00770216">
            <w:pPr>
              <w:pStyle w:val="Default"/>
              <w:jc w:val="both"/>
              <w:rPr>
                <w:sz w:val="23"/>
                <w:szCs w:val="23"/>
              </w:rPr>
            </w:pPr>
            <w:r w:rsidRPr="00770216">
              <w:rPr>
                <w:sz w:val="23"/>
                <w:szCs w:val="23"/>
              </w:rPr>
              <w:t xml:space="preserve">5,0 </w:t>
            </w:r>
          </w:p>
        </w:tc>
        <w:tc>
          <w:tcPr>
            <w:tcW w:w="730" w:type="dxa"/>
          </w:tcPr>
          <w:p w:rsidR="00770216" w:rsidRPr="00770216" w:rsidRDefault="00770216" w:rsidP="00770216">
            <w:pPr>
              <w:pStyle w:val="Default"/>
              <w:jc w:val="both"/>
              <w:rPr>
                <w:sz w:val="23"/>
                <w:szCs w:val="23"/>
              </w:rPr>
            </w:pPr>
            <w:r w:rsidRPr="00770216">
              <w:rPr>
                <w:sz w:val="23"/>
                <w:szCs w:val="23"/>
              </w:rPr>
              <w:t xml:space="preserve">4,9 </w:t>
            </w:r>
          </w:p>
        </w:tc>
        <w:tc>
          <w:tcPr>
            <w:tcW w:w="730" w:type="dxa"/>
          </w:tcPr>
          <w:p w:rsidR="00770216" w:rsidRPr="00770216" w:rsidRDefault="00770216" w:rsidP="00770216">
            <w:pPr>
              <w:pStyle w:val="Default"/>
              <w:jc w:val="both"/>
              <w:rPr>
                <w:sz w:val="23"/>
                <w:szCs w:val="23"/>
              </w:rPr>
            </w:pPr>
            <w:r w:rsidRPr="00770216">
              <w:rPr>
                <w:sz w:val="23"/>
                <w:szCs w:val="23"/>
              </w:rPr>
              <w:t xml:space="preserve">4,9 </w:t>
            </w:r>
          </w:p>
        </w:tc>
        <w:tc>
          <w:tcPr>
            <w:tcW w:w="730" w:type="dxa"/>
          </w:tcPr>
          <w:p w:rsidR="00770216" w:rsidRPr="00770216" w:rsidRDefault="00770216" w:rsidP="00770216">
            <w:pPr>
              <w:pStyle w:val="Default"/>
              <w:jc w:val="both"/>
              <w:rPr>
                <w:sz w:val="23"/>
                <w:szCs w:val="23"/>
              </w:rPr>
            </w:pPr>
            <w:r w:rsidRPr="00770216">
              <w:rPr>
                <w:sz w:val="23"/>
                <w:szCs w:val="23"/>
              </w:rPr>
              <w:t xml:space="preserve">5,0 </w:t>
            </w:r>
          </w:p>
        </w:tc>
        <w:tc>
          <w:tcPr>
            <w:tcW w:w="730" w:type="dxa"/>
          </w:tcPr>
          <w:p w:rsidR="00770216" w:rsidRPr="00770216" w:rsidRDefault="00770216" w:rsidP="00770216">
            <w:pPr>
              <w:pStyle w:val="Default"/>
              <w:jc w:val="both"/>
              <w:rPr>
                <w:sz w:val="23"/>
                <w:szCs w:val="23"/>
              </w:rPr>
            </w:pPr>
            <w:r w:rsidRPr="00770216">
              <w:rPr>
                <w:sz w:val="23"/>
                <w:szCs w:val="23"/>
              </w:rPr>
              <w:t xml:space="preserve">5,0 </w:t>
            </w:r>
          </w:p>
        </w:tc>
        <w:tc>
          <w:tcPr>
            <w:tcW w:w="730" w:type="dxa"/>
          </w:tcPr>
          <w:p w:rsidR="00770216" w:rsidRPr="00770216" w:rsidRDefault="00770216" w:rsidP="00770216">
            <w:pPr>
              <w:pStyle w:val="Default"/>
              <w:jc w:val="both"/>
              <w:rPr>
                <w:sz w:val="23"/>
                <w:szCs w:val="23"/>
              </w:rPr>
            </w:pPr>
            <w:r w:rsidRPr="00770216">
              <w:rPr>
                <w:sz w:val="23"/>
                <w:szCs w:val="23"/>
              </w:rPr>
              <w:t xml:space="preserve">4,9 </w:t>
            </w:r>
          </w:p>
        </w:tc>
        <w:tc>
          <w:tcPr>
            <w:tcW w:w="730" w:type="dxa"/>
          </w:tcPr>
          <w:p w:rsidR="00770216" w:rsidRPr="00770216" w:rsidRDefault="00770216" w:rsidP="00770216">
            <w:pPr>
              <w:pStyle w:val="Default"/>
              <w:jc w:val="both"/>
              <w:rPr>
                <w:sz w:val="23"/>
                <w:szCs w:val="23"/>
              </w:rPr>
            </w:pPr>
            <w:r w:rsidRPr="00770216">
              <w:rPr>
                <w:sz w:val="23"/>
                <w:szCs w:val="23"/>
              </w:rPr>
              <w:t xml:space="preserve">5,5 </w:t>
            </w:r>
          </w:p>
        </w:tc>
        <w:tc>
          <w:tcPr>
            <w:tcW w:w="730" w:type="dxa"/>
          </w:tcPr>
          <w:p w:rsidR="00770216" w:rsidRPr="00770216" w:rsidRDefault="00770216" w:rsidP="00770216">
            <w:pPr>
              <w:pStyle w:val="Default"/>
              <w:jc w:val="both"/>
              <w:rPr>
                <w:sz w:val="23"/>
                <w:szCs w:val="23"/>
              </w:rPr>
            </w:pPr>
            <w:r w:rsidRPr="00770216">
              <w:rPr>
                <w:sz w:val="23"/>
                <w:szCs w:val="23"/>
              </w:rPr>
              <w:t xml:space="preserve">5,9 </w:t>
            </w:r>
          </w:p>
        </w:tc>
        <w:tc>
          <w:tcPr>
            <w:tcW w:w="730" w:type="dxa"/>
          </w:tcPr>
          <w:p w:rsidR="00770216" w:rsidRPr="00770216" w:rsidRDefault="00770216" w:rsidP="00770216">
            <w:pPr>
              <w:pStyle w:val="Default"/>
              <w:jc w:val="both"/>
              <w:rPr>
                <w:sz w:val="23"/>
                <w:szCs w:val="23"/>
              </w:rPr>
            </w:pPr>
            <w:r w:rsidRPr="00770216">
              <w:rPr>
                <w:sz w:val="23"/>
                <w:szCs w:val="23"/>
              </w:rPr>
              <w:t xml:space="preserve">5,5 </w:t>
            </w:r>
          </w:p>
        </w:tc>
        <w:tc>
          <w:tcPr>
            <w:tcW w:w="730" w:type="dxa"/>
          </w:tcPr>
          <w:p w:rsidR="00770216" w:rsidRPr="00770216" w:rsidRDefault="00770216" w:rsidP="00770216">
            <w:pPr>
              <w:pStyle w:val="Default"/>
              <w:jc w:val="both"/>
              <w:rPr>
                <w:sz w:val="23"/>
                <w:szCs w:val="23"/>
              </w:rPr>
            </w:pPr>
            <w:r w:rsidRPr="00770216">
              <w:rPr>
                <w:sz w:val="23"/>
                <w:szCs w:val="23"/>
              </w:rPr>
              <w:t xml:space="preserve">5,8 </w:t>
            </w:r>
          </w:p>
        </w:tc>
        <w:tc>
          <w:tcPr>
            <w:tcW w:w="730" w:type="dxa"/>
          </w:tcPr>
          <w:p w:rsidR="00770216" w:rsidRPr="00770216" w:rsidRDefault="00770216" w:rsidP="00770216">
            <w:pPr>
              <w:pStyle w:val="Default"/>
              <w:jc w:val="both"/>
              <w:rPr>
                <w:sz w:val="23"/>
                <w:szCs w:val="23"/>
              </w:rPr>
            </w:pPr>
            <w:r w:rsidRPr="00770216">
              <w:rPr>
                <w:sz w:val="23"/>
                <w:szCs w:val="23"/>
              </w:rPr>
              <w:t xml:space="preserve">6,6 </w:t>
            </w:r>
          </w:p>
        </w:tc>
        <w:tc>
          <w:tcPr>
            <w:tcW w:w="730" w:type="dxa"/>
            <w:tcBorders>
              <w:right w:val="nil"/>
            </w:tcBorders>
          </w:tcPr>
          <w:p w:rsidR="00770216" w:rsidRPr="00770216" w:rsidRDefault="00770216" w:rsidP="00770216">
            <w:pPr>
              <w:pStyle w:val="Default"/>
              <w:jc w:val="both"/>
              <w:rPr>
                <w:sz w:val="23"/>
                <w:szCs w:val="23"/>
              </w:rPr>
            </w:pPr>
            <w:r w:rsidRPr="00770216">
              <w:rPr>
                <w:sz w:val="23"/>
                <w:szCs w:val="23"/>
              </w:rPr>
              <w:t xml:space="preserve">6,4 </w:t>
            </w:r>
          </w:p>
        </w:tc>
      </w:tr>
      <w:tr w:rsidR="00770216" w:rsidRPr="00770216" w:rsidTr="00770216">
        <w:tblPrEx>
          <w:tblCellMar>
            <w:top w:w="0" w:type="dxa"/>
            <w:bottom w:w="0" w:type="dxa"/>
          </w:tblCellMar>
        </w:tblPrEx>
        <w:trPr>
          <w:trHeight w:val="161"/>
        </w:trPr>
        <w:tc>
          <w:tcPr>
            <w:tcW w:w="730" w:type="dxa"/>
            <w:tcBorders>
              <w:left w:val="nil"/>
              <w:bottom w:val="nil"/>
            </w:tcBorders>
          </w:tcPr>
          <w:p w:rsidR="00770216" w:rsidRPr="00770216" w:rsidRDefault="00770216" w:rsidP="00770216">
            <w:pPr>
              <w:pStyle w:val="Default"/>
              <w:jc w:val="both"/>
              <w:rPr>
                <w:sz w:val="23"/>
                <w:szCs w:val="23"/>
              </w:rPr>
            </w:pPr>
            <w:r w:rsidRPr="00770216">
              <w:rPr>
                <w:sz w:val="23"/>
                <w:szCs w:val="23"/>
              </w:rPr>
              <w:t xml:space="preserve">EU-28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16,5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17,2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17,7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18,0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18,1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18,2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18,7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19,2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19,5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20,0 </w:t>
            </w:r>
          </w:p>
        </w:tc>
        <w:tc>
          <w:tcPr>
            <w:tcW w:w="730" w:type="dxa"/>
            <w:tcBorders>
              <w:bottom w:val="nil"/>
            </w:tcBorders>
          </w:tcPr>
          <w:p w:rsidR="00770216" w:rsidRPr="00770216" w:rsidRDefault="00770216" w:rsidP="00770216">
            <w:pPr>
              <w:pStyle w:val="Default"/>
              <w:jc w:val="both"/>
              <w:rPr>
                <w:sz w:val="23"/>
                <w:szCs w:val="23"/>
              </w:rPr>
            </w:pPr>
            <w:r w:rsidRPr="00770216">
              <w:rPr>
                <w:sz w:val="23"/>
                <w:szCs w:val="23"/>
              </w:rPr>
              <w:t xml:space="preserve">20,4 </w:t>
            </w:r>
          </w:p>
        </w:tc>
        <w:tc>
          <w:tcPr>
            <w:tcW w:w="730" w:type="dxa"/>
            <w:tcBorders>
              <w:bottom w:val="nil"/>
              <w:right w:val="nil"/>
            </w:tcBorders>
          </w:tcPr>
          <w:p w:rsidR="00770216" w:rsidRPr="00770216" w:rsidRDefault="00770216" w:rsidP="00770216">
            <w:pPr>
              <w:pStyle w:val="Default"/>
              <w:jc w:val="both"/>
              <w:rPr>
                <w:sz w:val="23"/>
                <w:szCs w:val="23"/>
              </w:rPr>
            </w:pPr>
            <w:r w:rsidRPr="00770216">
              <w:rPr>
                <w:sz w:val="23"/>
                <w:szCs w:val="23"/>
              </w:rPr>
              <w:t xml:space="preserve">20,4 </w:t>
            </w:r>
          </w:p>
        </w:tc>
      </w:tr>
    </w:tbl>
    <w:p w:rsidR="00E56B0E" w:rsidRPr="00770216" w:rsidRDefault="00E56B0E" w:rsidP="00770216">
      <w:pPr>
        <w:jc w:val="both"/>
        <w:rPr>
          <w:rFonts w:ascii="Times New Roman" w:hAnsi="Times New Roman" w:cs="Times New Roman"/>
        </w:rPr>
      </w:pPr>
    </w:p>
    <w:p w:rsidR="00770216" w:rsidRPr="00770216" w:rsidRDefault="00770216" w:rsidP="00770216">
      <w:pPr>
        <w:jc w:val="both"/>
        <w:rPr>
          <w:rFonts w:ascii="Times New Roman" w:hAnsi="Times New Roman" w:cs="Times New Roman"/>
        </w:rPr>
      </w:pPr>
      <w:r w:rsidRPr="00770216">
        <w:rPr>
          <w:rFonts w:ascii="Times New Roman" w:hAnsi="Times New Roman" w:cs="Times New Roman"/>
        </w:rPr>
        <w:t xml:space="preserve">In graphical analysis we can see growth of </w:t>
      </w:r>
      <w:proofErr w:type="gramStart"/>
      <w:r w:rsidRPr="00770216">
        <w:rPr>
          <w:rFonts w:ascii="Times New Roman" w:hAnsi="Times New Roman" w:cs="Times New Roman"/>
        </w:rPr>
        <w:t>use</w:t>
      </w:r>
      <w:proofErr w:type="gramEnd"/>
      <w:r w:rsidRPr="00770216">
        <w:rPr>
          <w:rFonts w:ascii="Times New Roman" w:hAnsi="Times New Roman" w:cs="Times New Roman"/>
        </w:rPr>
        <w:t xml:space="preserve"> of part-time employment in most countries (except Poland). It also can be seen that the linear trend of the development is in most countries almost identical to the actual development of </w:t>
      </w:r>
      <w:proofErr w:type="gramStart"/>
      <w:r w:rsidRPr="00770216">
        <w:rPr>
          <w:rFonts w:ascii="Times New Roman" w:hAnsi="Times New Roman" w:cs="Times New Roman"/>
        </w:rPr>
        <w:t>use</w:t>
      </w:r>
      <w:proofErr w:type="gramEnd"/>
      <w:r w:rsidRPr="00770216">
        <w:rPr>
          <w:rFonts w:ascii="Times New Roman" w:hAnsi="Times New Roman" w:cs="Times New Roman"/>
        </w:rPr>
        <w:t xml:space="preserve"> of part-time jobs.</w:t>
      </w:r>
    </w:p>
    <w:p w:rsidR="00770216" w:rsidRPr="00770216" w:rsidRDefault="00770216" w:rsidP="00770216">
      <w:pPr>
        <w:jc w:val="both"/>
        <w:rPr>
          <w:rFonts w:ascii="Times New Roman" w:hAnsi="Times New Roman" w:cs="Times New Roman"/>
        </w:rPr>
      </w:pPr>
      <w:r w:rsidRPr="00770216">
        <w:rPr>
          <w:rFonts w:ascii="Times New Roman" w:hAnsi="Times New Roman" w:cs="Times New Roman"/>
          <w:noProof/>
          <w:lang w:eastAsia="cs-CZ"/>
        </w:rPr>
        <w:lastRenderedPageBreak/>
        <w:drawing>
          <wp:inline distT="0" distB="0" distL="0" distR="0">
            <wp:extent cx="5667375" cy="4857750"/>
            <wp:effectExtent l="0" t="0" r="9525"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67375" cy="4857750"/>
                    </a:xfrm>
                    <a:prstGeom prst="rect">
                      <a:avLst/>
                    </a:prstGeom>
                    <a:noFill/>
                    <a:ln>
                      <a:noFill/>
                    </a:ln>
                  </pic:spPr>
                </pic:pic>
              </a:graphicData>
            </a:graphic>
          </wp:inline>
        </w:drawing>
      </w:r>
    </w:p>
    <w:p w:rsidR="00770216" w:rsidRPr="00770216" w:rsidRDefault="00770216" w:rsidP="00770216">
      <w:pPr>
        <w:pStyle w:val="Default"/>
        <w:jc w:val="both"/>
        <w:rPr>
          <w:sz w:val="23"/>
          <w:szCs w:val="23"/>
        </w:rPr>
      </w:pPr>
      <w:r w:rsidRPr="00770216">
        <w:rPr>
          <w:i/>
          <w:iCs/>
          <w:sz w:val="23"/>
          <w:szCs w:val="23"/>
        </w:rPr>
        <w:t xml:space="preserve">Chart 1: Use of part-time job in selected countries in percentage (Eurostat, 2015) </w:t>
      </w:r>
    </w:p>
    <w:p w:rsidR="00770216" w:rsidRPr="00770216" w:rsidRDefault="00770216" w:rsidP="00770216">
      <w:pPr>
        <w:jc w:val="both"/>
        <w:rPr>
          <w:rFonts w:ascii="Times New Roman" w:hAnsi="Times New Roman" w:cs="Times New Roman"/>
          <w:sz w:val="23"/>
          <w:szCs w:val="23"/>
        </w:rPr>
      </w:pPr>
      <w:r w:rsidRPr="00770216">
        <w:rPr>
          <w:rFonts w:ascii="Times New Roman" w:hAnsi="Times New Roman" w:cs="Times New Roman"/>
          <w:sz w:val="23"/>
          <w:szCs w:val="23"/>
        </w:rPr>
        <w:t xml:space="preserve">On detailed datas divided by genders we can se that part-time employment </w:t>
      </w:r>
      <w:proofErr w:type="gramStart"/>
      <w:r w:rsidRPr="00770216">
        <w:rPr>
          <w:rFonts w:ascii="Times New Roman" w:hAnsi="Times New Roman" w:cs="Times New Roman"/>
          <w:sz w:val="23"/>
          <w:szCs w:val="23"/>
        </w:rPr>
        <w:t>is</w:t>
      </w:r>
      <w:proofErr w:type="gramEnd"/>
      <w:r w:rsidRPr="00770216">
        <w:rPr>
          <w:rFonts w:ascii="Times New Roman" w:hAnsi="Times New Roman" w:cs="Times New Roman"/>
          <w:sz w:val="23"/>
          <w:szCs w:val="23"/>
        </w:rPr>
        <w:t xml:space="preserve"> more </w:t>
      </w:r>
      <w:proofErr w:type="gramStart"/>
      <w:r w:rsidRPr="00770216">
        <w:rPr>
          <w:rFonts w:ascii="Times New Roman" w:hAnsi="Times New Roman" w:cs="Times New Roman"/>
          <w:sz w:val="23"/>
          <w:szCs w:val="23"/>
        </w:rPr>
        <w:t>used</w:t>
      </w:r>
      <w:proofErr w:type="gramEnd"/>
      <w:r w:rsidRPr="00770216">
        <w:rPr>
          <w:rFonts w:ascii="Times New Roman" w:hAnsi="Times New Roman" w:cs="Times New Roman"/>
          <w:sz w:val="23"/>
          <w:szCs w:val="23"/>
        </w:rPr>
        <w:t xml:space="preserve"> by women than by men. It is shown on two examples: Austria, where the the use of part-time jobs by women is very high compared to man and Slovakia, where both numbers are very low. But still, the use of part-time jobs by women almost doubles the use by men.</w:t>
      </w:r>
      <w:r w:rsidRPr="00770216">
        <w:rPr>
          <w:rFonts w:ascii="Times New Roman" w:hAnsi="Times New Roman" w:cs="Times New Roman"/>
          <w:sz w:val="23"/>
          <w:szCs w:val="23"/>
        </w:rPr>
        <w:t>¨</w:t>
      </w:r>
    </w:p>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proofErr w:type="gramStart"/>
      <w:r w:rsidRPr="00770216">
        <w:rPr>
          <w:rFonts w:ascii="Times New Roman" w:hAnsi="Times New Roman" w:cs="Times New Roman"/>
          <w:i/>
          <w:iCs/>
          <w:color w:val="000000"/>
          <w:sz w:val="23"/>
          <w:szCs w:val="23"/>
        </w:rPr>
        <w:t>Table</w:t>
      </w:r>
      <w:proofErr w:type="gramEnd"/>
      <w:r w:rsidRPr="00770216">
        <w:rPr>
          <w:rFonts w:ascii="Times New Roman" w:hAnsi="Times New Roman" w:cs="Times New Roman"/>
          <w:i/>
          <w:iCs/>
          <w:color w:val="000000"/>
          <w:sz w:val="23"/>
          <w:szCs w:val="23"/>
        </w:rPr>
        <w:t xml:space="preserve"> 2: Use of part-time job in Austria by genders, in percentage (Eurostat, 2015)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675"/>
        <w:gridCol w:w="675"/>
        <w:gridCol w:w="675"/>
        <w:gridCol w:w="675"/>
        <w:gridCol w:w="675"/>
        <w:gridCol w:w="675"/>
        <w:gridCol w:w="675"/>
        <w:gridCol w:w="675"/>
        <w:gridCol w:w="675"/>
        <w:gridCol w:w="675"/>
        <w:gridCol w:w="675"/>
        <w:gridCol w:w="675"/>
        <w:gridCol w:w="675"/>
      </w:tblGrid>
      <w:tr w:rsidR="00770216" w:rsidRPr="00770216">
        <w:tblPrEx>
          <w:tblCellMar>
            <w:top w:w="0" w:type="dxa"/>
            <w:bottom w:w="0" w:type="dxa"/>
          </w:tblCellMar>
        </w:tblPrEx>
        <w:trPr>
          <w:trHeight w:val="425"/>
        </w:trPr>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b/>
                <w:bCs/>
                <w:color w:val="000000"/>
                <w:sz w:val="20"/>
                <w:szCs w:val="23"/>
              </w:rPr>
            </w:pPr>
            <w:r w:rsidRPr="00770216">
              <w:rPr>
                <w:rFonts w:ascii="Times New Roman" w:hAnsi="Times New Roman" w:cs="Times New Roman"/>
                <w:b/>
                <w:bCs/>
                <w:color w:val="000000"/>
                <w:sz w:val="20"/>
                <w:szCs w:val="23"/>
              </w:rPr>
              <w:t>Year</w:t>
            </w:r>
          </w:p>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 w:val="20"/>
                <w:szCs w:val="23"/>
              </w:rPr>
              <w:t>Gender</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2004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2005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2006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2007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2009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2010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2011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2012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2013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Cs w:val="23"/>
              </w:rPr>
            </w:pPr>
            <w:r w:rsidRPr="00770216">
              <w:rPr>
                <w:rFonts w:ascii="Times New Roman" w:hAnsi="Times New Roman" w:cs="Times New Roman"/>
                <w:b/>
                <w:bCs/>
                <w:color w:val="000000"/>
                <w:szCs w:val="23"/>
              </w:rPr>
              <w:t xml:space="preserve">2014 </w:t>
            </w:r>
          </w:p>
        </w:tc>
      </w:tr>
      <w:tr w:rsidR="00770216" w:rsidRPr="00770216">
        <w:tblPrEx>
          <w:tblCellMar>
            <w:top w:w="0" w:type="dxa"/>
            <w:bottom w:w="0" w:type="dxa"/>
          </w:tblCellMar>
        </w:tblPrEx>
        <w:trPr>
          <w:trHeight w:val="161"/>
        </w:trPr>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Total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18,7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19,7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21,3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22,0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22,7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23,5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24,8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25,3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25,3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26,0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26,8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27,9 </w:t>
            </w:r>
          </w:p>
        </w:tc>
      </w:tr>
      <w:tr w:rsidR="00770216" w:rsidRPr="00770216">
        <w:tblPrEx>
          <w:tblCellMar>
            <w:top w:w="0" w:type="dxa"/>
            <w:bottom w:w="0" w:type="dxa"/>
          </w:tblCellMar>
        </w:tblPrEx>
        <w:trPr>
          <w:trHeight w:val="161"/>
        </w:trPr>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Men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4,7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4,9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6,2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6,6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7,2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8,2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8,8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9,2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8,9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9,2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10,3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10,9 </w:t>
            </w:r>
          </w:p>
        </w:tc>
      </w:tr>
      <w:tr w:rsidR="00770216" w:rsidRPr="00770216">
        <w:tblPrEx>
          <w:tblCellMar>
            <w:top w:w="0" w:type="dxa"/>
            <w:bottom w:w="0" w:type="dxa"/>
          </w:tblCellMar>
        </w:tblPrEx>
        <w:trPr>
          <w:trHeight w:val="161"/>
        </w:trPr>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Women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36,0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37,8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39,5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40,4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41,2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41,6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43,1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43,8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44,1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45,1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45,6 </w:t>
            </w:r>
          </w:p>
        </w:tc>
        <w:tc>
          <w:tcPr>
            <w:tcW w:w="675"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46,9 </w:t>
            </w:r>
          </w:p>
        </w:tc>
      </w:tr>
    </w:tbl>
    <w:p w:rsidR="00770216" w:rsidRPr="00770216" w:rsidRDefault="00770216" w:rsidP="00770216">
      <w:pPr>
        <w:jc w:val="both"/>
        <w:rPr>
          <w:rFonts w:ascii="Times New Roman" w:hAnsi="Times New Roman" w:cs="Times New Roman"/>
        </w:rPr>
      </w:pPr>
    </w:p>
    <w:p w:rsidR="00770216" w:rsidRPr="00770216" w:rsidRDefault="00770216" w:rsidP="00770216">
      <w:pPr>
        <w:jc w:val="both"/>
        <w:rPr>
          <w:rFonts w:ascii="Times New Roman" w:hAnsi="Times New Roman" w:cs="Times New Roman"/>
          <w:i/>
          <w:iCs/>
          <w:sz w:val="23"/>
          <w:szCs w:val="23"/>
        </w:rPr>
      </w:pPr>
      <w:proofErr w:type="gramStart"/>
      <w:r w:rsidRPr="00770216">
        <w:rPr>
          <w:rFonts w:ascii="Times New Roman" w:hAnsi="Times New Roman" w:cs="Times New Roman"/>
          <w:i/>
          <w:iCs/>
          <w:sz w:val="23"/>
          <w:szCs w:val="23"/>
        </w:rPr>
        <w:t>Table</w:t>
      </w:r>
      <w:proofErr w:type="gramEnd"/>
      <w:r w:rsidRPr="00770216">
        <w:rPr>
          <w:rFonts w:ascii="Times New Roman" w:hAnsi="Times New Roman" w:cs="Times New Roman"/>
          <w:i/>
          <w:iCs/>
          <w:sz w:val="23"/>
          <w:szCs w:val="23"/>
        </w:rPr>
        <w:t xml:space="preserve"> 3: Use of part-time job in Slovakia by genders, in percentage (Eurostat, 2015)</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667"/>
        <w:gridCol w:w="667"/>
        <w:gridCol w:w="667"/>
        <w:gridCol w:w="667"/>
        <w:gridCol w:w="667"/>
        <w:gridCol w:w="667"/>
        <w:gridCol w:w="667"/>
        <w:gridCol w:w="667"/>
        <w:gridCol w:w="667"/>
        <w:gridCol w:w="667"/>
        <w:gridCol w:w="667"/>
        <w:gridCol w:w="667"/>
        <w:gridCol w:w="667"/>
      </w:tblGrid>
      <w:tr w:rsidR="00770216" w:rsidRPr="00770216">
        <w:tblPrEx>
          <w:tblCellMar>
            <w:top w:w="0" w:type="dxa"/>
            <w:bottom w:w="0" w:type="dxa"/>
          </w:tblCellMar>
        </w:tblPrEx>
        <w:trPr>
          <w:trHeight w:val="475"/>
        </w:trPr>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Year </w:t>
            </w:r>
          </w:p>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Gender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20</w:t>
            </w:r>
            <w:bookmarkStart w:id="0" w:name="_GoBack"/>
            <w:bookmarkEnd w:id="0"/>
            <w:r w:rsidRPr="00770216">
              <w:rPr>
                <w:rFonts w:ascii="Times New Roman" w:hAnsi="Times New Roman" w:cs="Times New Roman"/>
                <w:b/>
                <w:bCs/>
                <w:color w:val="000000"/>
                <w:sz w:val="20"/>
                <w:szCs w:val="23"/>
              </w:rPr>
              <w:t xml:space="preserve">03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2005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2006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2009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2010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2011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2012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2013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b/>
                <w:bCs/>
                <w:color w:val="000000"/>
                <w:sz w:val="20"/>
                <w:szCs w:val="23"/>
              </w:rPr>
              <w:t xml:space="preserve">2014 </w:t>
            </w:r>
          </w:p>
        </w:tc>
      </w:tr>
      <w:tr w:rsidR="00770216" w:rsidRPr="00770216">
        <w:tblPrEx>
          <w:tblCellMar>
            <w:top w:w="0" w:type="dxa"/>
            <w:bottom w:w="0" w:type="dxa"/>
          </w:tblCellMar>
        </w:tblPrEx>
        <w:trPr>
          <w:trHeight w:val="161"/>
        </w:trPr>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Total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2,5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2,6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3,6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3,9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4,2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4,1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5,2 </w:t>
            </w:r>
          </w:p>
        </w:tc>
      </w:tr>
      <w:tr w:rsidR="00770216" w:rsidRPr="00770216">
        <w:tblPrEx>
          <w:tblCellMar>
            <w:top w:w="0" w:type="dxa"/>
            <w:bottom w:w="0" w:type="dxa"/>
          </w:tblCellMar>
        </w:tblPrEx>
        <w:trPr>
          <w:trHeight w:val="161"/>
        </w:trPr>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Men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1,3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1,3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1,3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1,1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1,4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2,9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3,9 </w:t>
            </w:r>
          </w:p>
        </w:tc>
      </w:tr>
      <w:tr w:rsidR="00770216" w:rsidRPr="00770216">
        <w:tblPrEx>
          <w:tblCellMar>
            <w:top w:w="0" w:type="dxa"/>
            <w:bottom w:w="0" w:type="dxa"/>
          </w:tblCellMar>
        </w:tblPrEx>
        <w:trPr>
          <w:trHeight w:val="162"/>
        </w:trPr>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0"/>
                <w:szCs w:val="23"/>
              </w:rPr>
            </w:pPr>
            <w:r w:rsidRPr="00770216">
              <w:rPr>
                <w:rFonts w:ascii="Times New Roman" w:hAnsi="Times New Roman" w:cs="Times New Roman"/>
                <w:color w:val="000000"/>
                <w:sz w:val="20"/>
                <w:szCs w:val="23"/>
              </w:rPr>
              <w:t xml:space="preserve">Women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3,8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4,2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4,1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4,5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4,2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4,7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5,4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5,9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5,7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6,4 </w:t>
            </w:r>
          </w:p>
        </w:tc>
        <w:tc>
          <w:tcPr>
            <w:tcW w:w="667" w:type="dxa"/>
          </w:tcPr>
          <w:p w:rsidR="00770216" w:rsidRPr="00770216" w:rsidRDefault="00770216" w:rsidP="00770216">
            <w:pPr>
              <w:autoSpaceDE w:val="0"/>
              <w:autoSpaceDN w:val="0"/>
              <w:adjustRightInd w:val="0"/>
              <w:spacing w:after="0" w:line="240" w:lineRule="auto"/>
              <w:jc w:val="both"/>
              <w:rPr>
                <w:rFonts w:ascii="Times New Roman" w:hAnsi="Times New Roman" w:cs="Times New Roman"/>
                <w:color w:val="000000"/>
                <w:sz w:val="23"/>
                <w:szCs w:val="23"/>
              </w:rPr>
            </w:pPr>
            <w:r w:rsidRPr="00770216">
              <w:rPr>
                <w:rFonts w:ascii="Times New Roman" w:hAnsi="Times New Roman" w:cs="Times New Roman"/>
                <w:color w:val="000000"/>
                <w:sz w:val="23"/>
                <w:szCs w:val="23"/>
              </w:rPr>
              <w:t xml:space="preserve">6,9 </w:t>
            </w:r>
          </w:p>
        </w:tc>
      </w:tr>
    </w:tbl>
    <w:p w:rsidR="00770216" w:rsidRPr="00770216" w:rsidRDefault="00770216" w:rsidP="00770216">
      <w:pPr>
        <w:jc w:val="both"/>
        <w:rPr>
          <w:rFonts w:ascii="Times New Roman" w:hAnsi="Times New Roman" w:cs="Times New Roman"/>
        </w:rPr>
      </w:pPr>
    </w:p>
    <w:p w:rsidR="00770216" w:rsidRPr="00770216" w:rsidRDefault="00770216" w:rsidP="00770216">
      <w:pPr>
        <w:pStyle w:val="Default"/>
        <w:jc w:val="both"/>
        <w:rPr>
          <w:sz w:val="23"/>
          <w:szCs w:val="23"/>
        </w:rPr>
      </w:pPr>
      <w:r w:rsidRPr="00770216">
        <w:rPr>
          <w:sz w:val="23"/>
          <w:szCs w:val="23"/>
        </w:rPr>
        <w:t xml:space="preserve">Thus we can say that lowe usage of part-time employment in Czech Republic (but also in Poland and Slovakia) blocks women from entering the labour market (especially in </w:t>
      </w:r>
      <w:proofErr w:type="gramStart"/>
      <w:r w:rsidRPr="00770216">
        <w:rPr>
          <w:sz w:val="23"/>
          <w:szCs w:val="23"/>
        </w:rPr>
        <w:t>case</w:t>
      </w:r>
      <w:proofErr w:type="gramEnd"/>
      <w:r w:rsidRPr="00770216">
        <w:rPr>
          <w:sz w:val="23"/>
          <w:szCs w:val="23"/>
        </w:rPr>
        <w:t xml:space="preserve"> of women with children). This group of employees is one of the endangered groups on the labour market. </w:t>
      </w:r>
    </w:p>
    <w:p w:rsidR="00770216" w:rsidRPr="00770216" w:rsidRDefault="00770216" w:rsidP="00770216">
      <w:pPr>
        <w:pStyle w:val="Default"/>
        <w:jc w:val="both"/>
        <w:rPr>
          <w:sz w:val="23"/>
          <w:szCs w:val="23"/>
        </w:rPr>
      </w:pPr>
    </w:p>
    <w:p w:rsidR="00770216" w:rsidRPr="00770216" w:rsidRDefault="00770216" w:rsidP="00770216">
      <w:pPr>
        <w:pStyle w:val="Default"/>
        <w:jc w:val="both"/>
        <w:rPr>
          <w:sz w:val="23"/>
          <w:szCs w:val="23"/>
        </w:rPr>
      </w:pPr>
      <w:r w:rsidRPr="00770216">
        <w:rPr>
          <w:b/>
          <w:bCs/>
          <w:sz w:val="23"/>
          <w:szCs w:val="23"/>
        </w:rPr>
        <w:t xml:space="preserve">5. CONCLUSION </w:t>
      </w:r>
    </w:p>
    <w:p w:rsidR="00770216" w:rsidRPr="00770216" w:rsidRDefault="00770216" w:rsidP="00770216">
      <w:pPr>
        <w:pStyle w:val="Default"/>
        <w:jc w:val="both"/>
        <w:rPr>
          <w:sz w:val="23"/>
          <w:szCs w:val="23"/>
        </w:rPr>
      </w:pPr>
      <w:r w:rsidRPr="00770216">
        <w:rPr>
          <w:sz w:val="23"/>
          <w:szCs w:val="23"/>
        </w:rPr>
        <w:t xml:space="preserve">The current development of labour market makes the issue of atypical and flexible types of employment more actual than ever. Few decades ago, it was typical for people to work in one job position for most of their life and usualy for the standard working hours. Today, more people are looking for part-time jobs for many reasons: they need side-job to earn more money or they don't want to spend whole week doing their job and they want more time for their families or hobbies. People also change their jobs more often than it was usual before. Therefore we can se a rise in </w:t>
      </w:r>
      <w:proofErr w:type="gramStart"/>
      <w:r w:rsidRPr="00770216">
        <w:rPr>
          <w:sz w:val="23"/>
          <w:szCs w:val="23"/>
        </w:rPr>
        <w:t>the</w:t>
      </w:r>
      <w:proofErr w:type="gramEnd"/>
      <w:r w:rsidRPr="00770216">
        <w:rPr>
          <w:sz w:val="23"/>
          <w:szCs w:val="23"/>
        </w:rPr>
        <w:t xml:space="preserve"> use of part-time jobs among population in the last 15 years. 16,5 % of workers worked in part-time job in 2003 and 20,4 % did the same in 2014 and the trend is continuing. We can se that the countries of the the Western Europe are in advance in this develompent comparing to the countries of the former Eastern block. Regarding the situation in Czech Republic and its neighbouring countries, use of part-time job </w:t>
      </w:r>
      <w:proofErr w:type="gramStart"/>
      <w:r w:rsidRPr="00770216">
        <w:rPr>
          <w:sz w:val="23"/>
          <w:szCs w:val="23"/>
        </w:rPr>
        <w:t>is</w:t>
      </w:r>
      <w:proofErr w:type="gramEnd"/>
      <w:r w:rsidRPr="00770216">
        <w:rPr>
          <w:sz w:val="23"/>
          <w:szCs w:val="23"/>
        </w:rPr>
        <w:t xml:space="preserve"> much </w:t>
      </w:r>
      <w:proofErr w:type="gramStart"/>
      <w:r w:rsidRPr="00770216">
        <w:rPr>
          <w:sz w:val="23"/>
          <w:szCs w:val="23"/>
        </w:rPr>
        <w:t>more</w:t>
      </w:r>
      <w:proofErr w:type="gramEnd"/>
      <w:r w:rsidRPr="00770216">
        <w:rPr>
          <w:sz w:val="23"/>
          <w:szCs w:val="23"/>
        </w:rPr>
        <w:t xml:space="preserve"> frequent in Germany and Austria (more than 20 %) than in Czech Republic, Poland and Slovakia (less than 10 %). These figures are very low and has to be changed. We can expect a significant decreas of employment in next 10-15 years due to automatization caused by Industry 4.0. The society has to be prepared for upcoming changes and use of part-time employment (and other alternative forms of employment, like minijobs, job-sharing, short-time jobs) are a possible way how to mitigate the consequences of the increase of unemployment in the society, because shortening the working hours could be a way to keep jobs available for more people. This preference of alternative forms of employment can be theoretically connected with the concept of flexicurity introduced by the the Green Paper on modernising labour law published by European Committee. So we can se that these objectives are part of the policies of European Union but the realisation of these objectives is not that strong, at least in the countries of the Eastern part of European Union. </w:t>
      </w:r>
    </w:p>
    <w:p w:rsidR="00770216" w:rsidRPr="00770216" w:rsidRDefault="00770216" w:rsidP="00770216">
      <w:pPr>
        <w:pStyle w:val="Default"/>
        <w:jc w:val="both"/>
        <w:rPr>
          <w:sz w:val="23"/>
          <w:szCs w:val="23"/>
        </w:rPr>
      </w:pPr>
    </w:p>
    <w:p w:rsidR="00770216" w:rsidRPr="00770216" w:rsidRDefault="00770216" w:rsidP="00770216">
      <w:pPr>
        <w:pStyle w:val="Default"/>
        <w:jc w:val="both"/>
        <w:rPr>
          <w:sz w:val="23"/>
          <w:szCs w:val="23"/>
        </w:rPr>
      </w:pPr>
      <w:r w:rsidRPr="00770216">
        <w:rPr>
          <w:b/>
          <w:bCs/>
          <w:sz w:val="23"/>
          <w:szCs w:val="23"/>
        </w:rPr>
        <w:t xml:space="preserve">LITERATURE: </w:t>
      </w:r>
    </w:p>
    <w:p w:rsidR="00770216" w:rsidRPr="00770216" w:rsidRDefault="00770216" w:rsidP="00770216">
      <w:pPr>
        <w:pStyle w:val="Default"/>
        <w:jc w:val="both"/>
        <w:rPr>
          <w:sz w:val="23"/>
          <w:szCs w:val="23"/>
        </w:rPr>
      </w:pPr>
      <w:r w:rsidRPr="00770216">
        <w:rPr>
          <w:sz w:val="23"/>
          <w:szCs w:val="23"/>
        </w:rPr>
        <w:t xml:space="preserve">1. Andrew, P. (2014). Fast Forward 2030, The Future of Work and the Workplace. CBRE: Los Angeles. Retrieved 2017-05-10 from: </w:t>
      </w:r>
    </w:p>
    <w:p w:rsidR="00770216" w:rsidRPr="00770216" w:rsidRDefault="00770216" w:rsidP="00770216">
      <w:pPr>
        <w:pStyle w:val="Default"/>
        <w:jc w:val="both"/>
        <w:rPr>
          <w:sz w:val="23"/>
          <w:szCs w:val="23"/>
        </w:rPr>
      </w:pPr>
      <w:r w:rsidRPr="00770216">
        <w:rPr>
          <w:sz w:val="23"/>
          <w:szCs w:val="23"/>
        </w:rPr>
        <w:t xml:space="preserve">http://www.cbre.com/~/media/images/research%20reports/apac/2015/cbre_genesis_fast_forward_workplace_2030_full_report_e.pdf </w:t>
      </w:r>
    </w:p>
    <w:p w:rsidR="00770216" w:rsidRPr="00770216" w:rsidRDefault="00770216" w:rsidP="00770216">
      <w:pPr>
        <w:pStyle w:val="Default"/>
        <w:jc w:val="both"/>
        <w:rPr>
          <w:sz w:val="23"/>
          <w:szCs w:val="23"/>
        </w:rPr>
      </w:pPr>
      <w:r w:rsidRPr="00770216">
        <w:rPr>
          <w:sz w:val="23"/>
          <w:szCs w:val="23"/>
        </w:rPr>
        <w:t xml:space="preserve">2. Barancová, H. (2013). Teoretické problémy pracovného práva. Plzeň, Aleš Čeněk. </w:t>
      </w:r>
    </w:p>
    <w:p w:rsidR="00770216" w:rsidRPr="00770216" w:rsidRDefault="00770216" w:rsidP="00770216">
      <w:pPr>
        <w:pStyle w:val="Default"/>
        <w:jc w:val="both"/>
        <w:rPr>
          <w:sz w:val="23"/>
          <w:szCs w:val="23"/>
        </w:rPr>
      </w:pPr>
      <w:r w:rsidRPr="00770216">
        <w:rPr>
          <w:sz w:val="23"/>
          <w:szCs w:val="23"/>
        </w:rPr>
        <w:t xml:space="preserve">3. Wolter, M. I. et al. Industrie 4.0. und die Folgen für Arbeitsmarkt und Wirtschaft. IAB Forschungsbericht. 8/2015. Nürnberg: IAB. Retrieved 2017-05-10 from: http://doku.iab.de/forschungsbericht/2015/fb0815.pdf </w:t>
      </w:r>
    </w:p>
    <w:p w:rsidR="00770216" w:rsidRPr="00770216" w:rsidRDefault="00770216" w:rsidP="00770216">
      <w:pPr>
        <w:pStyle w:val="Default"/>
        <w:jc w:val="both"/>
        <w:rPr>
          <w:sz w:val="23"/>
          <w:szCs w:val="23"/>
        </w:rPr>
      </w:pPr>
      <w:r w:rsidRPr="00770216">
        <w:rPr>
          <w:sz w:val="23"/>
          <w:szCs w:val="23"/>
        </w:rPr>
        <w:t xml:space="preserve">4. Bělina, M. (2009). České pracovní právo po novém zákoníku práce. In Bělina, M. et al. Pocta Petru Trösterovi k 70. narozeninám. Praha: ASPI. </w:t>
      </w:r>
    </w:p>
    <w:p w:rsidR="00770216" w:rsidRPr="00770216" w:rsidRDefault="00770216" w:rsidP="00770216">
      <w:pPr>
        <w:pStyle w:val="Default"/>
        <w:jc w:val="both"/>
        <w:rPr>
          <w:sz w:val="23"/>
          <w:szCs w:val="23"/>
        </w:rPr>
      </w:pPr>
      <w:r w:rsidRPr="00770216">
        <w:rPr>
          <w:sz w:val="23"/>
          <w:szCs w:val="23"/>
        </w:rPr>
        <w:t xml:space="preserve">5. Dolobáč, M. (2014). Zmluvná autonómia v pracovnom práve. In Olšovská, A. et al. Labor ipse voluptas: Pocta prof. JUDr. Helene Barancovej, DrSc. Kraków: Spolok Slovákov v Poľsku – Towarzystwo Słowaków w Polsce. </w:t>
      </w:r>
    </w:p>
    <w:p w:rsidR="00770216" w:rsidRPr="00770216" w:rsidRDefault="00770216" w:rsidP="00770216">
      <w:pPr>
        <w:pStyle w:val="Default"/>
        <w:jc w:val="both"/>
        <w:rPr>
          <w:sz w:val="23"/>
          <w:szCs w:val="23"/>
        </w:rPr>
      </w:pPr>
      <w:r w:rsidRPr="00770216">
        <w:rPr>
          <w:sz w:val="23"/>
          <w:szCs w:val="23"/>
        </w:rPr>
        <w:t xml:space="preserve">6. Eurostat: Persons employed part-time. (2015). Retrieved 2016-04-18 from: http://ec.europa.eu/eurostat/tgm/refreshTableAction.do?tab=table&amp;plugin=1&amp;pcode=tps00159&amp;language=en </w:t>
      </w:r>
    </w:p>
    <w:p w:rsidR="00770216" w:rsidRPr="00770216" w:rsidRDefault="00770216" w:rsidP="00770216">
      <w:pPr>
        <w:pStyle w:val="Default"/>
        <w:jc w:val="both"/>
        <w:rPr>
          <w:sz w:val="23"/>
          <w:szCs w:val="23"/>
        </w:rPr>
      </w:pPr>
      <w:r w:rsidRPr="00770216">
        <w:rPr>
          <w:sz w:val="23"/>
          <w:szCs w:val="23"/>
        </w:rPr>
        <w:t xml:space="preserve">7. Galvas, M. et </w:t>
      </w:r>
      <w:proofErr w:type="gramStart"/>
      <w:r w:rsidRPr="00770216">
        <w:rPr>
          <w:sz w:val="23"/>
          <w:szCs w:val="23"/>
        </w:rPr>
        <w:t>al..</w:t>
      </w:r>
      <w:proofErr w:type="gramEnd"/>
      <w:r w:rsidRPr="00770216">
        <w:rPr>
          <w:sz w:val="23"/>
          <w:szCs w:val="23"/>
        </w:rPr>
        <w:t xml:space="preserve"> (2015). Pracovní právo. Brno: Masarykova univerzita, 2015. </w:t>
      </w:r>
    </w:p>
    <w:p w:rsidR="00770216" w:rsidRPr="00770216" w:rsidRDefault="00770216" w:rsidP="00770216">
      <w:pPr>
        <w:pStyle w:val="Default"/>
        <w:jc w:val="both"/>
        <w:rPr>
          <w:sz w:val="23"/>
          <w:szCs w:val="23"/>
        </w:rPr>
      </w:pPr>
      <w:r w:rsidRPr="00770216">
        <w:rPr>
          <w:sz w:val="23"/>
          <w:szCs w:val="23"/>
        </w:rPr>
        <w:t xml:space="preserve">8. Galvas, M. (1994). K základním otázkám svobody smlouvy v pracovním právu. In Galvas M. et al. Smluvní princip a jeho projevy v individuálním pracovním právu. Sborník příspěvků ze sympozia Brno, 17. února 1994. Brno: Masarykova univerzita. </w:t>
      </w:r>
    </w:p>
    <w:p w:rsidR="00770216" w:rsidRPr="00770216" w:rsidRDefault="00770216" w:rsidP="00770216">
      <w:pPr>
        <w:pStyle w:val="Default"/>
        <w:jc w:val="both"/>
        <w:rPr>
          <w:sz w:val="23"/>
          <w:szCs w:val="23"/>
        </w:rPr>
      </w:pPr>
      <w:r w:rsidRPr="00770216">
        <w:rPr>
          <w:sz w:val="23"/>
          <w:szCs w:val="23"/>
        </w:rPr>
        <w:t xml:space="preserve">9. Green Paper: Modernising labour law to meet the challenges of the 21st century. Brussels: Commission of European Communities. (2006). Retrieved 2017-05-10 from: </w:t>
      </w:r>
      <w:r w:rsidRPr="00770216">
        <w:rPr>
          <w:sz w:val="23"/>
          <w:szCs w:val="23"/>
        </w:rPr>
        <w:lastRenderedPageBreak/>
        <w:t xml:space="preserve">http://www.europarl.europa.eu/meetdocs/2004_2009/documents/com/com_com(2006)0708_/com_com(2006)0708_en.pdf </w:t>
      </w:r>
    </w:p>
    <w:p w:rsidR="00770216" w:rsidRPr="00770216" w:rsidRDefault="00770216" w:rsidP="00770216">
      <w:pPr>
        <w:pStyle w:val="Default"/>
        <w:jc w:val="both"/>
        <w:rPr>
          <w:sz w:val="23"/>
          <w:szCs w:val="23"/>
        </w:rPr>
      </w:pPr>
      <w:r w:rsidRPr="00770216">
        <w:rPr>
          <w:sz w:val="23"/>
          <w:szCs w:val="23"/>
        </w:rPr>
        <w:t xml:space="preserve">10. Hůrka. P. (2009). Ochrana zaměstnance a flexibilita zaměstnávání: Princip flexijistoty v českém pracovním právu. Praha: Auditorium. </w:t>
      </w:r>
    </w:p>
    <w:p w:rsidR="00770216" w:rsidRPr="00770216" w:rsidRDefault="00770216" w:rsidP="00770216">
      <w:pPr>
        <w:pStyle w:val="Default"/>
        <w:jc w:val="both"/>
        <w:rPr>
          <w:sz w:val="23"/>
          <w:szCs w:val="23"/>
        </w:rPr>
      </w:pPr>
      <w:r w:rsidRPr="00770216">
        <w:rPr>
          <w:sz w:val="23"/>
          <w:szCs w:val="23"/>
        </w:rPr>
        <w:t xml:space="preserve">11. Hůrka, P. (2011). Pracovní právo ve světle flexicurity. In Barancová, H. et al. Možnosti a hranice liberalizácie pracovných vzťahov. Bratislava: Sprint dva. </w:t>
      </w:r>
    </w:p>
    <w:p w:rsidR="00770216" w:rsidRPr="00770216" w:rsidRDefault="00770216" w:rsidP="00770216">
      <w:pPr>
        <w:pStyle w:val="Default"/>
        <w:jc w:val="both"/>
        <w:rPr>
          <w:sz w:val="23"/>
          <w:szCs w:val="23"/>
        </w:rPr>
      </w:pPr>
      <w:r w:rsidRPr="00770216">
        <w:rPr>
          <w:sz w:val="23"/>
          <w:szCs w:val="23"/>
        </w:rPr>
        <w:t xml:space="preserve">12. Janičová, E. (2009). Flexibilný trh práce a limity zmluvnej slobody v pracovnom práve. In Barancová, H. et al. Pracovné právo 21. storočia. Plzeň: Aleš Čeněk. </w:t>
      </w:r>
    </w:p>
    <w:p w:rsidR="00770216" w:rsidRPr="00770216" w:rsidRDefault="00770216" w:rsidP="00770216">
      <w:pPr>
        <w:pStyle w:val="Default"/>
        <w:jc w:val="both"/>
        <w:rPr>
          <w:sz w:val="23"/>
          <w:szCs w:val="23"/>
        </w:rPr>
      </w:pPr>
      <w:r w:rsidRPr="00770216">
        <w:rPr>
          <w:sz w:val="23"/>
          <w:szCs w:val="23"/>
        </w:rPr>
        <w:t xml:space="preserve">13. Madsen, P. K. (2002). The Danish Model of „Flexicurity“ – A Paradise with some Snakes. In Interactions between Labour Market and Social Protection. Brussels: European Foundation for the Improvement of Living and Working Conditions. Retrieved 2017-05-10 from: http://www.eurofound.europa.eu/sites/default/files/ef_files/ewco/employment/documents/madsen.pdf </w:t>
      </w:r>
    </w:p>
    <w:p w:rsidR="00770216" w:rsidRPr="00770216" w:rsidRDefault="00770216" w:rsidP="00770216">
      <w:pPr>
        <w:pStyle w:val="Default"/>
        <w:jc w:val="both"/>
        <w:rPr>
          <w:sz w:val="23"/>
          <w:szCs w:val="23"/>
        </w:rPr>
      </w:pPr>
      <w:r w:rsidRPr="00770216">
        <w:rPr>
          <w:sz w:val="23"/>
          <w:szCs w:val="23"/>
        </w:rPr>
        <w:t xml:space="preserve">14. OECD Data: Part-time employment rate. (2017). Retrieved 2017-05-10 from: https://data.oecd.org/emp/part-time-employment-rate.htm </w:t>
      </w:r>
    </w:p>
    <w:p w:rsidR="00770216" w:rsidRPr="00770216" w:rsidRDefault="00770216" w:rsidP="00770216">
      <w:pPr>
        <w:pStyle w:val="Default"/>
        <w:jc w:val="both"/>
        <w:rPr>
          <w:sz w:val="23"/>
          <w:szCs w:val="23"/>
        </w:rPr>
      </w:pPr>
      <w:r w:rsidRPr="00770216">
        <w:rPr>
          <w:sz w:val="23"/>
          <w:szCs w:val="23"/>
        </w:rPr>
        <w:t xml:space="preserve">15. Olšovská, A. (2014). Flexibilné zamestnávanie v Slovenskej republike – agentúrne zamestnávanie. In Olšovská, A. et al. Labor ipse voluptas: Pocta prof. JUDr. Helene Barancovej, DrSc. Kraków: Spolok Slovákov v Poľsku – Towarzystwo Słowaków w Polsce. </w:t>
      </w:r>
    </w:p>
    <w:p w:rsidR="00770216" w:rsidRPr="00770216" w:rsidRDefault="00770216" w:rsidP="00770216">
      <w:pPr>
        <w:pStyle w:val="Default"/>
        <w:jc w:val="both"/>
        <w:rPr>
          <w:sz w:val="23"/>
          <w:szCs w:val="23"/>
        </w:rPr>
      </w:pPr>
      <w:r w:rsidRPr="00770216">
        <w:rPr>
          <w:sz w:val="23"/>
          <w:szCs w:val="23"/>
        </w:rPr>
        <w:t xml:space="preserve">16. Stránský, J. (2014). Vývoj a postavení pracovního práva jako soukromoprávního odvětví. Brno: Masarykova univerzita. </w:t>
      </w:r>
    </w:p>
    <w:p w:rsidR="00770216" w:rsidRPr="00770216" w:rsidRDefault="00770216" w:rsidP="00770216">
      <w:pPr>
        <w:pStyle w:val="Default"/>
        <w:jc w:val="both"/>
        <w:rPr>
          <w:sz w:val="23"/>
          <w:szCs w:val="23"/>
        </w:rPr>
      </w:pPr>
      <w:r w:rsidRPr="00770216">
        <w:rPr>
          <w:sz w:val="23"/>
          <w:szCs w:val="23"/>
        </w:rPr>
        <w:t>17. Štangová, V. (2014). Ochrana zaměstnanců v pracovněprávních vztazích v podmínkách globalizace. In Olšovská, A. et al. Labor ipse voluptas: Pocta prof. JUDr. Helene Barancovej, DrSc. Kraków: Spolok Slovákov v Poľsku – Towarzystwo Słowaków w Polsce.</w:t>
      </w:r>
    </w:p>
    <w:p w:rsidR="00770216" w:rsidRPr="00770216" w:rsidRDefault="00770216" w:rsidP="00770216">
      <w:pPr>
        <w:jc w:val="both"/>
        <w:rPr>
          <w:rFonts w:ascii="Times New Roman" w:hAnsi="Times New Roman" w:cs="Times New Roman"/>
        </w:rPr>
      </w:pPr>
    </w:p>
    <w:sectPr w:rsidR="00770216" w:rsidRPr="007702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EE"/>
    <w:family w:val="swiss"/>
    <w:pitch w:val="variable"/>
    <w:sig w:usb0="E00002FF" w:usb1="4000ACFF" w:usb2="00000001" w:usb3="00000000" w:csb0="0000019F" w:csb1="00000000"/>
  </w:font>
  <w:font w:name="Times New Roman">
    <w:altName w:val="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216"/>
    <w:rsid w:val="00770216"/>
    <w:rsid w:val="00E56B0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C6C37"/>
  <w15:chartTrackingRefBased/>
  <w15:docId w15:val="{9D2D4B78-3088-4C80-AE2E-D52D0A0D4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77021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8</Pages>
  <Words>3693</Words>
  <Characters>21795</Characters>
  <Application>Microsoft Office Word</Application>
  <DocSecurity>0</DocSecurity>
  <Lines>181</Lines>
  <Paragraphs>50</Paragraphs>
  <ScaleCrop>false</ScaleCrop>
  <Company>Univerzita Pardubice</Company>
  <LinksUpToDate>false</LinksUpToDate>
  <CharactersWithSpaces>25438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Smid Martin</dc:creator>
  <cp:keywords/>
  <dc:description/>
  <cp:lastModifiedBy>Smid Martin</cp:lastModifiedBy>
  <cp:revision>1</cp:revision>
  <dcterms:created xsi:type="dcterms:W3CDTF">2018-01-12T08:38:00Z</dcterms:created>
  <dcterms:modified xsi:type="dcterms:W3CDTF">2018-01-12T08:44:00Z</dcterms:modified>
</cp:coreProperties>
</file>